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72F1C" w14:textId="77777777" w:rsidR="00E77EF5" w:rsidRPr="005148FD" w:rsidRDefault="004E796F" w:rsidP="00E617A6">
      <w:pPr>
        <w:pStyle w:val="Heading1"/>
        <w:rPr>
          <w:b/>
        </w:rPr>
      </w:pPr>
      <w:r w:rsidRPr="005148FD">
        <w:rPr>
          <w:b/>
        </w:rPr>
        <w:t xml:space="preserve">Plumpton &amp; </w:t>
      </w:r>
      <w:proofErr w:type="spellStart"/>
      <w:r w:rsidRPr="005148FD">
        <w:rPr>
          <w:b/>
        </w:rPr>
        <w:t>Kororoit</w:t>
      </w:r>
      <w:proofErr w:type="spellEnd"/>
      <w:r w:rsidRPr="005148FD">
        <w:rPr>
          <w:b/>
        </w:rPr>
        <w:t xml:space="preserve"> Background Report</w:t>
      </w:r>
    </w:p>
    <w:p w14:paraId="01C0D715" w14:textId="003E4EDD" w:rsidR="004E796F" w:rsidRDefault="00E77EF5" w:rsidP="00E617A6">
      <w:pPr>
        <w:pStyle w:val="Heading1"/>
      </w:pPr>
      <w:r w:rsidRPr="005148FD">
        <w:rPr>
          <w:b/>
        </w:rPr>
        <w:t>June 2016</w:t>
      </w:r>
      <w:r w:rsidR="004E796F">
        <w:br w:type="page"/>
      </w:r>
    </w:p>
    <w:p w14:paraId="12F52F26" w14:textId="11DDB6F7" w:rsidR="00C028F5" w:rsidRPr="005148FD" w:rsidRDefault="00C028F5" w:rsidP="00E617A6">
      <w:pPr>
        <w:pStyle w:val="Heading1"/>
        <w:rPr>
          <w:b/>
        </w:rPr>
      </w:pPr>
      <w:r w:rsidRPr="005148FD">
        <w:rPr>
          <w:b/>
        </w:rPr>
        <w:lastRenderedPageBreak/>
        <w:t>Table of Contents</w:t>
      </w:r>
    </w:p>
    <w:p w14:paraId="631E8CE2" w14:textId="77777777" w:rsidR="00C028F5" w:rsidRPr="00320D8A" w:rsidRDefault="00C028F5" w:rsidP="00C028F5">
      <w:pPr>
        <w:tabs>
          <w:tab w:val="decimal" w:leader="dot" w:pos="8931"/>
        </w:tabs>
        <w:spacing w:after="0" w:line="276" w:lineRule="auto"/>
      </w:pPr>
      <w:r w:rsidRPr="005148FD">
        <w:rPr>
          <w:rStyle w:val="Heading2Char"/>
          <w:rFonts w:eastAsiaTheme="minorHAnsi"/>
        </w:rPr>
        <w:t>1    Introduction</w:t>
      </w:r>
      <w:r w:rsidRPr="00320D8A">
        <w:tab/>
        <w:t>1</w:t>
      </w:r>
    </w:p>
    <w:p w14:paraId="260FB044" w14:textId="2D7863DF" w:rsidR="00C028F5" w:rsidRPr="00320D8A" w:rsidRDefault="00C028F5" w:rsidP="00C028F5">
      <w:pPr>
        <w:tabs>
          <w:tab w:val="decimal" w:leader="dot" w:pos="8931"/>
        </w:tabs>
        <w:spacing w:after="0" w:line="276" w:lineRule="auto"/>
        <w:rPr>
          <w:szCs w:val="28"/>
        </w:rPr>
      </w:pPr>
      <w:r w:rsidRPr="00320D8A">
        <w:t xml:space="preserve">        </w:t>
      </w:r>
      <w:r w:rsidRPr="005148FD">
        <w:t xml:space="preserve">1.1     </w:t>
      </w:r>
      <w:proofErr w:type="spellStart"/>
      <w:r w:rsidRPr="005148FD">
        <w:t>Kororoit</w:t>
      </w:r>
      <w:proofErr w:type="spellEnd"/>
      <w:r w:rsidRPr="005148FD">
        <w:t xml:space="preserve"> PSP – separation into two parts</w:t>
      </w:r>
      <w:r w:rsidRPr="00320D8A">
        <w:rPr>
          <w:szCs w:val="28"/>
        </w:rPr>
        <w:tab/>
      </w:r>
      <w:r w:rsidR="006A760C">
        <w:rPr>
          <w:szCs w:val="28"/>
        </w:rPr>
        <w:t>1</w:t>
      </w:r>
    </w:p>
    <w:p w14:paraId="42E9E556" w14:textId="77777777" w:rsidR="00C028F5" w:rsidRPr="00320D8A" w:rsidRDefault="00C028F5" w:rsidP="00C028F5">
      <w:pPr>
        <w:tabs>
          <w:tab w:val="decimal" w:leader="dot" w:pos="8931"/>
        </w:tabs>
        <w:spacing w:after="0" w:line="276" w:lineRule="auto"/>
        <w:rPr>
          <w:sz w:val="24"/>
          <w:szCs w:val="28"/>
        </w:rPr>
      </w:pPr>
      <w:r w:rsidRPr="005148FD">
        <w:rPr>
          <w:rStyle w:val="Heading2Char"/>
          <w:rFonts w:eastAsiaTheme="minorHAnsi"/>
        </w:rPr>
        <w:t>2    Metropolitan and Regional Context</w:t>
      </w:r>
      <w:r w:rsidRPr="00320D8A">
        <w:tab/>
        <w:t>2</w:t>
      </w:r>
    </w:p>
    <w:p w14:paraId="220FFCC5" w14:textId="77777777" w:rsidR="00C028F5" w:rsidRPr="00320D8A" w:rsidRDefault="00C028F5" w:rsidP="00C028F5">
      <w:pPr>
        <w:tabs>
          <w:tab w:val="decimal" w:leader="dot" w:pos="8931"/>
        </w:tabs>
        <w:spacing w:after="0" w:line="276" w:lineRule="auto"/>
        <w:rPr>
          <w:szCs w:val="28"/>
        </w:rPr>
      </w:pPr>
      <w:r w:rsidRPr="00320D8A">
        <w:t xml:space="preserve">        2.1     West Growth Corridor Plan</w:t>
      </w:r>
      <w:r w:rsidRPr="00320D8A">
        <w:rPr>
          <w:szCs w:val="28"/>
        </w:rPr>
        <w:tab/>
        <w:t>2</w:t>
      </w:r>
    </w:p>
    <w:p w14:paraId="5A60D3F4" w14:textId="77777777" w:rsidR="00C028F5" w:rsidRPr="00320D8A" w:rsidRDefault="00C028F5" w:rsidP="00C028F5">
      <w:pPr>
        <w:tabs>
          <w:tab w:val="decimal" w:leader="dot" w:pos="8931"/>
        </w:tabs>
        <w:spacing w:after="0" w:line="276" w:lineRule="auto"/>
        <w:rPr>
          <w:szCs w:val="28"/>
        </w:rPr>
      </w:pPr>
      <w:r w:rsidRPr="00320D8A">
        <w:t xml:space="preserve">        2.2     Surrounding Precincts</w:t>
      </w:r>
      <w:r w:rsidRPr="00320D8A">
        <w:rPr>
          <w:szCs w:val="28"/>
        </w:rPr>
        <w:tab/>
        <w:t>3</w:t>
      </w:r>
    </w:p>
    <w:p w14:paraId="4FB00EEE" w14:textId="77777777" w:rsidR="00C028F5" w:rsidRPr="00320D8A" w:rsidRDefault="00C028F5" w:rsidP="00C028F5">
      <w:pPr>
        <w:tabs>
          <w:tab w:val="decimal" w:leader="dot" w:pos="8931"/>
        </w:tabs>
        <w:spacing w:after="0" w:line="276" w:lineRule="auto"/>
        <w:rPr>
          <w:sz w:val="24"/>
          <w:szCs w:val="28"/>
        </w:rPr>
      </w:pPr>
      <w:r w:rsidRPr="005148FD">
        <w:rPr>
          <w:rStyle w:val="Heading2Char"/>
          <w:rFonts w:eastAsiaTheme="minorHAnsi"/>
        </w:rPr>
        <w:t>3    Local Context</w:t>
      </w:r>
      <w:r w:rsidRPr="00320D8A">
        <w:tab/>
        <w:t>5</w:t>
      </w:r>
    </w:p>
    <w:p w14:paraId="3039B1C1" w14:textId="77777777" w:rsidR="00C028F5" w:rsidRPr="00320D8A" w:rsidRDefault="00C028F5" w:rsidP="00C028F5">
      <w:pPr>
        <w:tabs>
          <w:tab w:val="decimal" w:leader="dot" w:pos="8931"/>
          <w:tab w:val="right" w:pos="9026"/>
        </w:tabs>
        <w:spacing w:after="0" w:line="276" w:lineRule="auto"/>
        <w:rPr>
          <w:szCs w:val="28"/>
        </w:rPr>
      </w:pPr>
      <w:r w:rsidRPr="00320D8A">
        <w:t xml:space="preserve">        3.1     PSP size, lot size and ownership pattern</w:t>
      </w:r>
      <w:r w:rsidRPr="00320D8A">
        <w:rPr>
          <w:szCs w:val="28"/>
        </w:rPr>
        <w:tab/>
        <w:t>5</w:t>
      </w:r>
      <w:r w:rsidRPr="00320D8A">
        <w:rPr>
          <w:szCs w:val="28"/>
        </w:rPr>
        <w:tab/>
      </w:r>
    </w:p>
    <w:p w14:paraId="3065052B" w14:textId="77777777" w:rsidR="00C028F5" w:rsidRPr="00320D8A" w:rsidRDefault="00C028F5" w:rsidP="00C028F5">
      <w:pPr>
        <w:tabs>
          <w:tab w:val="decimal" w:leader="dot" w:pos="8931"/>
        </w:tabs>
        <w:spacing w:after="0" w:line="276" w:lineRule="auto"/>
        <w:rPr>
          <w:szCs w:val="28"/>
        </w:rPr>
      </w:pPr>
      <w:r w:rsidRPr="00320D8A">
        <w:t xml:space="preserve">        3.2     Topography, geology and waterways</w:t>
      </w:r>
      <w:r w:rsidRPr="00320D8A">
        <w:rPr>
          <w:szCs w:val="28"/>
        </w:rPr>
        <w:tab/>
        <w:t>6</w:t>
      </w:r>
    </w:p>
    <w:p w14:paraId="2E84041C" w14:textId="77777777" w:rsidR="00C028F5" w:rsidRPr="00320D8A" w:rsidRDefault="00C028F5" w:rsidP="00C028F5">
      <w:pPr>
        <w:tabs>
          <w:tab w:val="decimal" w:leader="dot" w:pos="8931"/>
        </w:tabs>
        <w:spacing w:after="0" w:line="276" w:lineRule="auto"/>
        <w:rPr>
          <w:sz w:val="24"/>
          <w:szCs w:val="28"/>
        </w:rPr>
      </w:pPr>
      <w:r w:rsidRPr="005148FD">
        <w:rPr>
          <w:rStyle w:val="Heading2Char"/>
          <w:rFonts w:eastAsiaTheme="minorHAnsi"/>
        </w:rPr>
        <w:t>4    Cultural Heritage</w:t>
      </w:r>
      <w:r w:rsidRPr="00320D8A">
        <w:tab/>
        <w:t>7</w:t>
      </w:r>
    </w:p>
    <w:p w14:paraId="199E7693" w14:textId="77777777" w:rsidR="00C028F5" w:rsidRPr="00320D8A" w:rsidRDefault="00C028F5" w:rsidP="00C028F5">
      <w:pPr>
        <w:tabs>
          <w:tab w:val="decimal" w:leader="dot" w:pos="8931"/>
          <w:tab w:val="right" w:pos="9026"/>
        </w:tabs>
        <w:spacing w:after="0" w:line="276" w:lineRule="auto"/>
        <w:rPr>
          <w:szCs w:val="28"/>
        </w:rPr>
      </w:pPr>
      <w:r w:rsidRPr="00320D8A">
        <w:t xml:space="preserve">        4.1     Cultural values</w:t>
      </w:r>
      <w:r w:rsidRPr="00320D8A">
        <w:rPr>
          <w:szCs w:val="28"/>
        </w:rPr>
        <w:tab/>
        <w:t>8</w:t>
      </w:r>
      <w:r w:rsidRPr="00320D8A">
        <w:rPr>
          <w:szCs w:val="28"/>
        </w:rPr>
        <w:tab/>
      </w:r>
    </w:p>
    <w:p w14:paraId="6F37950E" w14:textId="77777777" w:rsidR="00C028F5" w:rsidRPr="00320D8A" w:rsidRDefault="00C028F5" w:rsidP="00C028F5">
      <w:pPr>
        <w:tabs>
          <w:tab w:val="decimal" w:leader="dot" w:pos="8931"/>
        </w:tabs>
        <w:spacing w:after="0" w:line="276" w:lineRule="auto"/>
        <w:rPr>
          <w:szCs w:val="28"/>
        </w:rPr>
      </w:pPr>
      <w:r w:rsidRPr="00320D8A">
        <w:t xml:space="preserve">        4.2     Bridge crossings</w:t>
      </w:r>
      <w:r w:rsidRPr="00320D8A">
        <w:rPr>
          <w:szCs w:val="28"/>
        </w:rPr>
        <w:tab/>
        <w:t>8</w:t>
      </w:r>
    </w:p>
    <w:p w14:paraId="425E2802" w14:textId="77777777" w:rsidR="00C028F5" w:rsidRPr="00320D8A" w:rsidRDefault="00C028F5" w:rsidP="00C028F5">
      <w:pPr>
        <w:tabs>
          <w:tab w:val="decimal" w:leader="dot" w:pos="8931"/>
        </w:tabs>
        <w:spacing w:after="0" w:line="276" w:lineRule="auto"/>
        <w:rPr>
          <w:sz w:val="28"/>
          <w:szCs w:val="28"/>
        </w:rPr>
      </w:pPr>
      <w:r w:rsidRPr="00320D8A">
        <w:t xml:space="preserve">        4.3     Recommendations and outcomes</w:t>
      </w:r>
      <w:r w:rsidRPr="00320D8A">
        <w:rPr>
          <w:szCs w:val="28"/>
        </w:rPr>
        <w:tab/>
        <w:t>9</w:t>
      </w:r>
    </w:p>
    <w:p w14:paraId="31319A30" w14:textId="77777777" w:rsidR="00C028F5" w:rsidRPr="00320D8A" w:rsidRDefault="00C028F5" w:rsidP="00C028F5">
      <w:pPr>
        <w:tabs>
          <w:tab w:val="decimal" w:leader="dot" w:pos="8931"/>
        </w:tabs>
        <w:spacing w:after="0" w:line="276" w:lineRule="auto"/>
        <w:rPr>
          <w:sz w:val="24"/>
          <w:szCs w:val="28"/>
        </w:rPr>
      </w:pPr>
      <w:r w:rsidRPr="005148FD">
        <w:rPr>
          <w:rStyle w:val="Heading2Char"/>
          <w:rFonts w:eastAsiaTheme="minorHAnsi"/>
        </w:rPr>
        <w:t>5    Post Contact Heritage</w:t>
      </w:r>
      <w:r w:rsidRPr="00320D8A">
        <w:tab/>
        <w:t>11</w:t>
      </w:r>
    </w:p>
    <w:p w14:paraId="56F4E586" w14:textId="77777777" w:rsidR="00C028F5" w:rsidRPr="00320D8A" w:rsidRDefault="00C028F5" w:rsidP="00C028F5">
      <w:pPr>
        <w:tabs>
          <w:tab w:val="decimal" w:leader="dot" w:pos="8931"/>
          <w:tab w:val="right" w:pos="9026"/>
        </w:tabs>
        <w:spacing w:after="0" w:line="276" w:lineRule="auto"/>
        <w:rPr>
          <w:szCs w:val="28"/>
        </w:rPr>
      </w:pPr>
      <w:r w:rsidRPr="00320D8A">
        <w:t xml:space="preserve">        5.1     Farmhouse complex 911-935 Melton Highway</w:t>
      </w:r>
      <w:r w:rsidRPr="00320D8A">
        <w:rPr>
          <w:szCs w:val="28"/>
        </w:rPr>
        <w:tab/>
        <w:t>11</w:t>
      </w:r>
    </w:p>
    <w:p w14:paraId="0C162777" w14:textId="77777777" w:rsidR="00C028F5" w:rsidRPr="00320D8A" w:rsidRDefault="00C028F5" w:rsidP="00C028F5">
      <w:pPr>
        <w:tabs>
          <w:tab w:val="decimal" w:leader="dot" w:pos="8931"/>
        </w:tabs>
        <w:spacing w:after="0" w:line="276" w:lineRule="auto"/>
        <w:rPr>
          <w:szCs w:val="28"/>
        </w:rPr>
      </w:pPr>
      <w:r w:rsidRPr="00320D8A">
        <w:t xml:space="preserve">        5.2     Beattys Road House Site 206 Beattys Road</w:t>
      </w:r>
      <w:r w:rsidRPr="00320D8A">
        <w:tab/>
        <w:t>12</w:t>
      </w:r>
    </w:p>
    <w:p w14:paraId="6EDB55B5" w14:textId="5FB6EE48" w:rsidR="00C028F5" w:rsidRPr="00CD4005" w:rsidRDefault="00C028F5" w:rsidP="00CD4005">
      <w:pPr>
        <w:tabs>
          <w:tab w:val="decimal" w:leader="dot" w:pos="8931"/>
        </w:tabs>
        <w:spacing w:after="0" w:line="276" w:lineRule="auto"/>
        <w:rPr>
          <w:sz w:val="28"/>
          <w:szCs w:val="28"/>
        </w:rPr>
      </w:pPr>
      <w:r w:rsidRPr="00320D8A">
        <w:t xml:space="preserve">        5.3     Deanside </w:t>
      </w:r>
      <w:r w:rsidR="00CD4005">
        <w:t>Homestead</w:t>
      </w:r>
      <w:r w:rsidRPr="00320D8A">
        <w:t xml:space="preserve"> Complex 96-103 Reed Court</w:t>
      </w:r>
      <w:r w:rsidRPr="00320D8A">
        <w:tab/>
        <w:t>12</w:t>
      </w:r>
    </w:p>
    <w:p w14:paraId="6F73F6B0" w14:textId="3F2C10F3" w:rsidR="00C028F5" w:rsidRPr="00320D8A" w:rsidRDefault="00C028F5" w:rsidP="00C028F5">
      <w:pPr>
        <w:tabs>
          <w:tab w:val="decimal" w:leader="dot" w:pos="8931"/>
        </w:tabs>
        <w:spacing w:after="0" w:line="276" w:lineRule="auto"/>
        <w:rPr>
          <w:szCs w:val="28"/>
        </w:rPr>
      </w:pPr>
      <w:r w:rsidRPr="00320D8A">
        <w:t xml:space="preserve">        5.</w:t>
      </w:r>
      <w:r w:rsidR="00CD4005">
        <w:t>4</w:t>
      </w:r>
      <w:r w:rsidRPr="00320D8A">
        <w:t xml:space="preserve">     Deanside southern access track</w:t>
      </w:r>
      <w:r w:rsidRPr="00320D8A">
        <w:tab/>
        <w:t>13</w:t>
      </w:r>
    </w:p>
    <w:p w14:paraId="4ECBBA8B" w14:textId="0B599414" w:rsidR="00C028F5" w:rsidRPr="00320D8A" w:rsidRDefault="00C028F5" w:rsidP="00C028F5">
      <w:pPr>
        <w:tabs>
          <w:tab w:val="decimal" w:leader="dot" w:pos="8931"/>
        </w:tabs>
        <w:spacing w:after="0" w:line="276" w:lineRule="auto"/>
        <w:rPr>
          <w:sz w:val="28"/>
          <w:szCs w:val="28"/>
        </w:rPr>
      </w:pPr>
      <w:r w:rsidRPr="00320D8A">
        <w:t xml:space="preserve">        5.</w:t>
      </w:r>
      <w:r w:rsidR="00CD4005">
        <w:t>5</w:t>
      </w:r>
      <w:r w:rsidRPr="00320D8A">
        <w:t xml:space="preserve">     Rockbank Head</w:t>
      </w:r>
      <w:r w:rsidR="00CD4005">
        <w:t xml:space="preserve"> S</w:t>
      </w:r>
      <w:r w:rsidRPr="00320D8A">
        <w:t>tati</w:t>
      </w:r>
      <w:r w:rsidR="006A760C">
        <w:t>on Dam 1233-1287 Taylors Road</w:t>
      </w:r>
      <w:r w:rsidR="006A760C">
        <w:tab/>
        <w:t>14</w:t>
      </w:r>
    </w:p>
    <w:p w14:paraId="78C04308" w14:textId="2640EEFD" w:rsidR="00C028F5" w:rsidRPr="00320D8A" w:rsidRDefault="00CD4005" w:rsidP="00C028F5">
      <w:pPr>
        <w:tabs>
          <w:tab w:val="decimal" w:leader="dot" w:pos="8931"/>
          <w:tab w:val="right" w:pos="9026"/>
        </w:tabs>
        <w:spacing w:after="0" w:line="276" w:lineRule="auto"/>
      </w:pPr>
      <w:r>
        <w:t xml:space="preserve">        5.6</w:t>
      </w:r>
      <w:r w:rsidR="00C028F5" w:rsidRPr="00320D8A">
        <w:t xml:space="preserve">     Clarkes Road Streamside Reserve – 260 Clarke Road</w:t>
      </w:r>
      <w:r w:rsidR="00C028F5" w:rsidRPr="00320D8A">
        <w:tab/>
        <w:t>14</w:t>
      </w:r>
    </w:p>
    <w:p w14:paraId="02D87043" w14:textId="0FD8B0F4" w:rsidR="00C028F5" w:rsidRPr="00320D8A" w:rsidRDefault="00CD4005" w:rsidP="00C028F5">
      <w:pPr>
        <w:tabs>
          <w:tab w:val="decimal" w:leader="dot" w:pos="8931"/>
          <w:tab w:val="right" w:pos="9026"/>
        </w:tabs>
        <w:spacing w:after="0" w:line="276" w:lineRule="auto"/>
        <w:rPr>
          <w:szCs w:val="28"/>
        </w:rPr>
      </w:pPr>
      <w:r>
        <w:t xml:space="preserve">        5.7</w:t>
      </w:r>
      <w:r w:rsidR="00C028F5" w:rsidRPr="00320D8A">
        <w:t xml:space="preserve">     Kororoit Creek Hut Foundations &amp; Dry Stone Wall Complex 961-1025 Taylors Road</w:t>
      </w:r>
      <w:r w:rsidR="00C028F5" w:rsidRPr="00320D8A">
        <w:tab/>
        <w:t>14</w:t>
      </w:r>
    </w:p>
    <w:p w14:paraId="4457729C" w14:textId="05AE6542" w:rsidR="00C028F5" w:rsidRPr="00320D8A" w:rsidRDefault="00CD4005" w:rsidP="00C028F5">
      <w:pPr>
        <w:tabs>
          <w:tab w:val="decimal" w:leader="dot" w:pos="8931"/>
        </w:tabs>
        <w:spacing w:after="0" w:line="276" w:lineRule="auto"/>
      </w:pPr>
      <w:r>
        <w:t xml:space="preserve">        5.8</w:t>
      </w:r>
      <w:r w:rsidR="00C028F5" w:rsidRPr="00320D8A">
        <w:t xml:space="preserve">     Pinkerton’s Huts &amp; Dry Stone Wall Complex 194-248 Clarke Road &amp; 260 Clarke Road</w:t>
      </w:r>
      <w:r w:rsidR="00C028F5" w:rsidRPr="00320D8A">
        <w:tab/>
        <w:t>14</w:t>
      </w:r>
    </w:p>
    <w:p w14:paraId="69D4B452" w14:textId="67876986" w:rsidR="00C028F5" w:rsidRPr="00320D8A" w:rsidRDefault="00CD4005" w:rsidP="00C028F5">
      <w:pPr>
        <w:tabs>
          <w:tab w:val="decimal" w:leader="dot" w:pos="8931"/>
        </w:tabs>
        <w:spacing w:after="0" w:line="276" w:lineRule="auto"/>
        <w:rPr>
          <w:sz w:val="28"/>
          <w:szCs w:val="28"/>
        </w:rPr>
      </w:pPr>
      <w:r>
        <w:t xml:space="preserve">        5.9</w:t>
      </w:r>
      <w:r w:rsidR="00C028F5" w:rsidRPr="00320D8A">
        <w:t xml:space="preserve">   </w:t>
      </w:r>
      <w:r>
        <w:t xml:space="preserve">  </w:t>
      </w:r>
      <w:r w:rsidR="00C028F5" w:rsidRPr="00320D8A">
        <w:t>Cropley Property Dry Stone Wall 196 Sinclairs Road-276 Sinclairs Road</w:t>
      </w:r>
      <w:r w:rsidR="00C028F5" w:rsidRPr="00320D8A">
        <w:tab/>
        <w:t>14</w:t>
      </w:r>
    </w:p>
    <w:p w14:paraId="2016A2FB" w14:textId="320385D9" w:rsidR="00C028F5" w:rsidRPr="00320D8A" w:rsidRDefault="00CD4005" w:rsidP="00C028F5">
      <w:pPr>
        <w:tabs>
          <w:tab w:val="decimal" w:leader="dot" w:pos="8931"/>
          <w:tab w:val="right" w:pos="9026"/>
        </w:tabs>
        <w:spacing w:after="0" w:line="276" w:lineRule="auto"/>
        <w:rPr>
          <w:szCs w:val="28"/>
        </w:rPr>
      </w:pPr>
      <w:r>
        <w:t xml:space="preserve">        5.10</w:t>
      </w:r>
      <w:r w:rsidR="00C028F5" w:rsidRPr="00320D8A">
        <w:t xml:space="preserve">   Stoneleigh Homestead 196-246 Sinclairs Road</w:t>
      </w:r>
      <w:r w:rsidR="00C028F5" w:rsidRPr="00320D8A">
        <w:tab/>
        <w:t>14</w:t>
      </w:r>
      <w:r w:rsidR="00C028F5" w:rsidRPr="00320D8A">
        <w:rPr>
          <w:szCs w:val="28"/>
        </w:rPr>
        <w:tab/>
      </w:r>
    </w:p>
    <w:p w14:paraId="1F772DF5" w14:textId="4EE092C9" w:rsidR="00C028F5" w:rsidRPr="00320D8A" w:rsidRDefault="00CD4005" w:rsidP="00C028F5">
      <w:pPr>
        <w:tabs>
          <w:tab w:val="decimal" w:leader="dot" w:pos="8931"/>
        </w:tabs>
        <w:spacing w:after="0" w:line="276" w:lineRule="auto"/>
      </w:pPr>
      <w:r>
        <w:t xml:space="preserve">        5.11</w:t>
      </w:r>
      <w:r w:rsidR="00C028F5" w:rsidRPr="00320D8A">
        <w:t xml:space="preserve">   Sites of historical archaeological likelihood</w:t>
      </w:r>
      <w:r w:rsidR="00C028F5" w:rsidRPr="00320D8A">
        <w:tab/>
        <w:t>15</w:t>
      </w:r>
    </w:p>
    <w:p w14:paraId="3A2AE160" w14:textId="04968E00" w:rsidR="00C028F5" w:rsidRPr="00320D8A" w:rsidRDefault="00CD4005" w:rsidP="00C028F5">
      <w:pPr>
        <w:tabs>
          <w:tab w:val="decimal" w:leader="dot" w:pos="8931"/>
        </w:tabs>
        <w:spacing w:after="0" w:line="276" w:lineRule="auto"/>
        <w:rPr>
          <w:sz w:val="28"/>
          <w:szCs w:val="28"/>
        </w:rPr>
      </w:pPr>
      <w:r>
        <w:t xml:space="preserve">        5.12</w:t>
      </w:r>
      <w:r w:rsidR="00C028F5" w:rsidRPr="00320D8A">
        <w:t xml:space="preserve">   Tree plantings</w:t>
      </w:r>
      <w:r w:rsidR="00C028F5" w:rsidRPr="00320D8A">
        <w:tab/>
        <w:t>15</w:t>
      </w:r>
    </w:p>
    <w:p w14:paraId="1A1503C2" w14:textId="04A17BC3" w:rsidR="00C028F5" w:rsidRPr="00320D8A" w:rsidRDefault="00CD4005" w:rsidP="00C028F5">
      <w:pPr>
        <w:tabs>
          <w:tab w:val="decimal" w:leader="dot" w:pos="8931"/>
        </w:tabs>
        <w:spacing w:after="0" w:line="276" w:lineRule="auto"/>
      </w:pPr>
      <w:r>
        <w:t xml:space="preserve">        5.13</w:t>
      </w:r>
      <w:r w:rsidR="00C028F5" w:rsidRPr="00320D8A">
        <w:t xml:space="preserve">   Beattys Road</w:t>
      </w:r>
      <w:r w:rsidR="00C028F5" w:rsidRPr="00320D8A">
        <w:tab/>
        <w:t>15</w:t>
      </w:r>
    </w:p>
    <w:p w14:paraId="333DE1D3" w14:textId="53B1D00D" w:rsidR="00C028F5" w:rsidRPr="00320D8A" w:rsidRDefault="00CD4005" w:rsidP="00C028F5">
      <w:pPr>
        <w:tabs>
          <w:tab w:val="decimal" w:leader="dot" w:pos="8931"/>
        </w:tabs>
        <w:spacing w:after="0" w:line="276" w:lineRule="auto"/>
        <w:rPr>
          <w:sz w:val="28"/>
          <w:szCs w:val="28"/>
        </w:rPr>
      </w:pPr>
      <w:r>
        <w:t xml:space="preserve">        5.14</w:t>
      </w:r>
      <w:r w:rsidR="00C028F5" w:rsidRPr="00320D8A">
        <w:t xml:space="preserve">   Dry Stone Walls</w:t>
      </w:r>
      <w:r w:rsidR="00C028F5" w:rsidRPr="00320D8A">
        <w:tab/>
        <w:t>15</w:t>
      </w:r>
    </w:p>
    <w:p w14:paraId="680D25E7" w14:textId="3EA8DAD0" w:rsidR="00C028F5" w:rsidRPr="00320D8A" w:rsidRDefault="00C028F5" w:rsidP="00C028F5">
      <w:pPr>
        <w:tabs>
          <w:tab w:val="decimal" w:leader="dot" w:pos="8931"/>
        </w:tabs>
        <w:spacing w:after="0" w:line="276" w:lineRule="auto"/>
        <w:rPr>
          <w:sz w:val="24"/>
          <w:szCs w:val="28"/>
        </w:rPr>
      </w:pPr>
      <w:r w:rsidRPr="005148FD">
        <w:rPr>
          <w:rStyle w:val="Heading2Char"/>
          <w:rFonts w:eastAsiaTheme="minorHAnsi"/>
        </w:rPr>
        <w:t>6    Land C</w:t>
      </w:r>
      <w:r w:rsidR="006A760C">
        <w:rPr>
          <w:rStyle w:val="Heading2Char"/>
          <w:rFonts w:eastAsiaTheme="minorHAnsi"/>
        </w:rPr>
        <w:t>apability</w:t>
      </w:r>
      <w:r w:rsidRPr="00320D8A">
        <w:tab/>
        <w:t>17</w:t>
      </w:r>
    </w:p>
    <w:p w14:paraId="5B740F58" w14:textId="77777777" w:rsidR="00C028F5" w:rsidRPr="00320D8A" w:rsidRDefault="00C028F5" w:rsidP="00C028F5">
      <w:pPr>
        <w:tabs>
          <w:tab w:val="decimal" w:leader="dot" w:pos="8931"/>
          <w:tab w:val="right" w:pos="9026"/>
        </w:tabs>
        <w:spacing w:after="0" w:line="276" w:lineRule="auto"/>
      </w:pPr>
      <w:r w:rsidRPr="00320D8A">
        <w:t xml:space="preserve">        6.1     Contamination</w:t>
      </w:r>
      <w:r w:rsidRPr="00320D8A">
        <w:tab/>
        <w:t>17</w:t>
      </w:r>
    </w:p>
    <w:p w14:paraId="0E7D898D" w14:textId="77777777" w:rsidR="00C028F5" w:rsidRPr="00320D8A" w:rsidRDefault="00C028F5" w:rsidP="00C028F5">
      <w:pPr>
        <w:tabs>
          <w:tab w:val="decimal" w:leader="dot" w:pos="8931"/>
          <w:tab w:val="right" w:pos="9026"/>
        </w:tabs>
        <w:spacing w:after="0" w:line="276" w:lineRule="auto"/>
        <w:rPr>
          <w:szCs w:val="28"/>
        </w:rPr>
      </w:pPr>
      <w:r w:rsidRPr="00320D8A">
        <w:t xml:space="preserve">        6.2     Geology</w:t>
      </w:r>
      <w:r w:rsidRPr="00320D8A">
        <w:tab/>
        <w:t>18</w:t>
      </w:r>
    </w:p>
    <w:p w14:paraId="01128CE4" w14:textId="77777777" w:rsidR="00C028F5" w:rsidRPr="00320D8A" w:rsidRDefault="00C028F5" w:rsidP="00C028F5">
      <w:pPr>
        <w:tabs>
          <w:tab w:val="decimal" w:leader="dot" w:pos="8931"/>
        </w:tabs>
        <w:spacing w:after="0" w:line="276" w:lineRule="auto"/>
        <w:rPr>
          <w:sz w:val="28"/>
          <w:szCs w:val="28"/>
        </w:rPr>
      </w:pPr>
      <w:r w:rsidRPr="00320D8A">
        <w:t xml:space="preserve">        6.3     Geotechnical</w:t>
      </w:r>
      <w:r w:rsidRPr="00320D8A">
        <w:tab/>
        <w:t>18</w:t>
      </w:r>
    </w:p>
    <w:p w14:paraId="3FB3AFD0" w14:textId="77777777" w:rsidR="00C028F5" w:rsidRPr="00320D8A" w:rsidRDefault="00C028F5" w:rsidP="00C028F5">
      <w:pPr>
        <w:tabs>
          <w:tab w:val="decimal" w:leader="dot" w:pos="8931"/>
          <w:tab w:val="right" w:pos="9026"/>
        </w:tabs>
        <w:spacing w:after="0" w:line="276" w:lineRule="auto"/>
        <w:rPr>
          <w:szCs w:val="28"/>
        </w:rPr>
      </w:pPr>
      <w:r w:rsidRPr="00320D8A">
        <w:t xml:space="preserve">        6.4     Hydrology</w:t>
      </w:r>
      <w:r w:rsidRPr="00320D8A">
        <w:tab/>
        <w:t>18</w:t>
      </w:r>
      <w:r w:rsidRPr="00320D8A">
        <w:rPr>
          <w:szCs w:val="28"/>
        </w:rPr>
        <w:tab/>
      </w:r>
    </w:p>
    <w:p w14:paraId="6B6CA61D" w14:textId="77777777" w:rsidR="00C028F5" w:rsidRPr="00320D8A" w:rsidRDefault="00C028F5" w:rsidP="00C028F5">
      <w:pPr>
        <w:tabs>
          <w:tab w:val="decimal" w:leader="dot" w:pos="8931"/>
        </w:tabs>
        <w:spacing w:after="0" w:line="276" w:lineRule="auto"/>
        <w:rPr>
          <w:szCs w:val="28"/>
        </w:rPr>
      </w:pPr>
      <w:r w:rsidRPr="00320D8A">
        <w:t xml:space="preserve">        6.5     Hydrogeology</w:t>
      </w:r>
      <w:r w:rsidRPr="00320D8A">
        <w:tab/>
        <w:t>18</w:t>
      </w:r>
    </w:p>
    <w:p w14:paraId="422D8CE3" w14:textId="77777777" w:rsidR="00C028F5" w:rsidRPr="00320D8A" w:rsidRDefault="00C028F5" w:rsidP="00C028F5">
      <w:pPr>
        <w:tabs>
          <w:tab w:val="decimal" w:leader="dot" w:pos="8931"/>
        </w:tabs>
        <w:spacing w:after="0" w:line="276" w:lineRule="auto"/>
        <w:rPr>
          <w:sz w:val="28"/>
          <w:szCs w:val="28"/>
        </w:rPr>
      </w:pPr>
      <w:r w:rsidRPr="00320D8A">
        <w:t xml:space="preserve">        6.6     Recommendations</w:t>
      </w:r>
      <w:r w:rsidRPr="00320D8A">
        <w:tab/>
        <w:t>19</w:t>
      </w:r>
    </w:p>
    <w:p w14:paraId="6882BF19" w14:textId="77777777" w:rsidR="00C028F5" w:rsidRPr="00320D8A" w:rsidRDefault="00C028F5" w:rsidP="00C028F5">
      <w:pPr>
        <w:tabs>
          <w:tab w:val="decimal" w:leader="dot" w:pos="8931"/>
        </w:tabs>
        <w:spacing w:after="0" w:line="276" w:lineRule="auto"/>
        <w:rPr>
          <w:sz w:val="24"/>
          <w:szCs w:val="28"/>
        </w:rPr>
      </w:pPr>
      <w:r w:rsidRPr="005148FD">
        <w:rPr>
          <w:rStyle w:val="Heading2Char"/>
          <w:rFonts w:eastAsiaTheme="minorHAnsi"/>
        </w:rPr>
        <w:t>7    Biodiversity</w:t>
      </w:r>
      <w:r w:rsidRPr="00320D8A">
        <w:tab/>
        <w:t>20</w:t>
      </w:r>
    </w:p>
    <w:p w14:paraId="7AEA0BBA" w14:textId="77777777" w:rsidR="00C028F5" w:rsidRPr="00320D8A" w:rsidRDefault="00C028F5" w:rsidP="00C028F5">
      <w:pPr>
        <w:tabs>
          <w:tab w:val="decimal" w:leader="dot" w:pos="8931"/>
          <w:tab w:val="right" w:pos="9026"/>
        </w:tabs>
        <w:spacing w:after="0" w:line="276" w:lineRule="auto"/>
      </w:pPr>
      <w:r w:rsidRPr="00320D8A">
        <w:t xml:space="preserve">        7.1     Biodiversity Conservation Strategy</w:t>
      </w:r>
      <w:r w:rsidRPr="00320D8A">
        <w:tab/>
        <w:t>20</w:t>
      </w:r>
    </w:p>
    <w:p w14:paraId="7FD0E31D" w14:textId="77777777" w:rsidR="00C028F5" w:rsidRPr="00320D8A" w:rsidRDefault="00C028F5" w:rsidP="00C028F5">
      <w:pPr>
        <w:tabs>
          <w:tab w:val="decimal" w:leader="dot" w:pos="8931"/>
          <w:tab w:val="right" w:pos="9026"/>
        </w:tabs>
        <w:spacing w:after="0" w:line="276" w:lineRule="auto"/>
        <w:rPr>
          <w:szCs w:val="28"/>
        </w:rPr>
      </w:pPr>
      <w:r w:rsidRPr="00320D8A">
        <w:t xml:space="preserve">        7.2     Retention and offset requirements</w:t>
      </w:r>
      <w:r w:rsidRPr="00320D8A">
        <w:tab/>
        <w:t>21</w:t>
      </w:r>
    </w:p>
    <w:p w14:paraId="0BA5DC2E" w14:textId="77777777" w:rsidR="00C028F5" w:rsidRPr="00320D8A" w:rsidRDefault="00C028F5" w:rsidP="00C028F5">
      <w:pPr>
        <w:tabs>
          <w:tab w:val="decimal" w:leader="dot" w:pos="8931"/>
        </w:tabs>
        <w:spacing w:after="0" w:line="276" w:lineRule="auto"/>
        <w:rPr>
          <w:sz w:val="28"/>
          <w:szCs w:val="28"/>
        </w:rPr>
      </w:pPr>
      <w:r w:rsidRPr="00320D8A">
        <w:t xml:space="preserve">        7.3     Conservation Areas Grassland Reserves</w:t>
      </w:r>
      <w:r w:rsidRPr="00320D8A">
        <w:tab/>
        <w:t>21</w:t>
      </w:r>
    </w:p>
    <w:p w14:paraId="74FC81F0" w14:textId="77777777" w:rsidR="00C028F5" w:rsidRPr="00320D8A" w:rsidRDefault="00C028F5" w:rsidP="00C028F5">
      <w:pPr>
        <w:tabs>
          <w:tab w:val="decimal" w:leader="dot" w:pos="8931"/>
          <w:tab w:val="right" w:pos="9026"/>
        </w:tabs>
        <w:spacing w:after="0" w:line="276" w:lineRule="auto"/>
        <w:rPr>
          <w:szCs w:val="28"/>
        </w:rPr>
      </w:pPr>
      <w:r w:rsidRPr="00320D8A">
        <w:t xml:space="preserve">        7.4     Growling Grass Frog Corridor</w:t>
      </w:r>
      <w:r w:rsidRPr="00320D8A">
        <w:tab/>
        <w:t>22</w:t>
      </w:r>
      <w:r w:rsidRPr="00320D8A">
        <w:rPr>
          <w:szCs w:val="28"/>
        </w:rPr>
        <w:tab/>
      </w:r>
    </w:p>
    <w:p w14:paraId="1611BAFE" w14:textId="77777777" w:rsidR="00C028F5" w:rsidRPr="00320D8A" w:rsidRDefault="00C028F5" w:rsidP="00C028F5">
      <w:pPr>
        <w:tabs>
          <w:tab w:val="decimal" w:leader="dot" w:pos="8931"/>
        </w:tabs>
        <w:spacing w:after="0" w:line="276" w:lineRule="auto"/>
        <w:rPr>
          <w:szCs w:val="28"/>
        </w:rPr>
      </w:pPr>
      <w:r w:rsidRPr="00320D8A">
        <w:t xml:space="preserve">        7.5     Arboricultural report</w:t>
      </w:r>
      <w:r w:rsidRPr="00320D8A">
        <w:tab/>
        <w:t>22</w:t>
      </w:r>
    </w:p>
    <w:p w14:paraId="413F5DD7" w14:textId="77777777" w:rsidR="00C028F5" w:rsidRPr="00320D8A" w:rsidRDefault="00C028F5" w:rsidP="00C028F5">
      <w:pPr>
        <w:tabs>
          <w:tab w:val="decimal" w:leader="dot" w:pos="8931"/>
        </w:tabs>
        <w:spacing w:after="0" w:line="276" w:lineRule="auto"/>
        <w:rPr>
          <w:sz w:val="24"/>
          <w:szCs w:val="28"/>
        </w:rPr>
      </w:pPr>
      <w:r w:rsidRPr="005148FD">
        <w:rPr>
          <w:rStyle w:val="Heading2Char"/>
          <w:rFonts w:eastAsiaTheme="minorHAnsi"/>
        </w:rPr>
        <w:t>8    Bushfire Threat and Management Actions</w:t>
      </w:r>
      <w:r w:rsidRPr="00320D8A">
        <w:tab/>
        <w:t>24</w:t>
      </w:r>
    </w:p>
    <w:p w14:paraId="36FFEA75" w14:textId="77777777" w:rsidR="00C028F5" w:rsidRPr="00320D8A" w:rsidRDefault="00C028F5" w:rsidP="00C028F5">
      <w:pPr>
        <w:tabs>
          <w:tab w:val="decimal" w:leader="dot" w:pos="8931"/>
        </w:tabs>
        <w:spacing w:after="0" w:line="276" w:lineRule="auto"/>
        <w:rPr>
          <w:sz w:val="24"/>
          <w:szCs w:val="28"/>
        </w:rPr>
      </w:pPr>
      <w:r w:rsidRPr="005148FD">
        <w:rPr>
          <w:rStyle w:val="Heading2Char"/>
          <w:rFonts w:eastAsiaTheme="minorHAnsi"/>
        </w:rPr>
        <w:lastRenderedPageBreak/>
        <w:t>9    Town Centres, Industrial Precinct and Retail</w:t>
      </w:r>
      <w:r w:rsidRPr="00320D8A">
        <w:tab/>
        <w:t>25</w:t>
      </w:r>
    </w:p>
    <w:p w14:paraId="12D24CD2" w14:textId="77777777" w:rsidR="00C028F5" w:rsidRPr="00320D8A" w:rsidRDefault="00C028F5" w:rsidP="00C028F5">
      <w:pPr>
        <w:tabs>
          <w:tab w:val="decimal" w:leader="dot" w:pos="8931"/>
          <w:tab w:val="right" w:pos="9026"/>
        </w:tabs>
        <w:spacing w:after="0" w:line="276" w:lineRule="auto"/>
      </w:pPr>
      <w:r w:rsidRPr="00320D8A">
        <w:t xml:space="preserve">        9.1     Plumpton business and Industrial precinct</w:t>
      </w:r>
      <w:r w:rsidRPr="00320D8A">
        <w:tab/>
        <w:t>25</w:t>
      </w:r>
    </w:p>
    <w:p w14:paraId="28D9BE40" w14:textId="77777777" w:rsidR="00C028F5" w:rsidRPr="00320D8A" w:rsidRDefault="00C028F5" w:rsidP="00C028F5">
      <w:pPr>
        <w:tabs>
          <w:tab w:val="decimal" w:leader="dot" w:pos="8931"/>
          <w:tab w:val="right" w:pos="9026"/>
        </w:tabs>
        <w:spacing w:after="0" w:line="276" w:lineRule="auto"/>
      </w:pPr>
      <w:r w:rsidRPr="00320D8A">
        <w:t xml:space="preserve">        9.2     Plumpton Major Town Centre</w:t>
      </w:r>
      <w:r w:rsidRPr="00320D8A">
        <w:tab/>
        <w:t>26</w:t>
      </w:r>
    </w:p>
    <w:p w14:paraId="44646C4D" w14:textId="0101C2C3" w:rsidR="00C028F5" w:rsidRPr="00320D8A" w:rsidRDefault="00C028F5" w:rsidP="00C028F5">
      <w:pPr>
        <w:tabs>
          <w:tab w:val="decimal" w:leader="dot" w:pos="8931"/>
          <w:tab w:val="right" w:pos="9026"/>
        </w:tabs>
        <w:spacing w:after="0" w:line="276" w:lineRule="auto"/>
        <w:rPr>
          <w:szCs w:val="28"/>
        </w:rPr>
      </w:pPr>
      <w:r w:rsidRPr="00320D8A">
        <w:t xml:space="preserve">     </w:t>
      </w:r>
      <w:r w:rsidR="006A760C">
        <w:t xml:space="preserve">   9.3     Local Town Centres</w:t>
      </w:r>
      <w:r w:rsidR="006A760C">
        <w:tab/>
        <w:t>27</w:t>
      </w:r>
    </w:p>
    <w:p w14:paraId="5B9B91A6" w14:textId="77777777" w:rsidR="00C028F5" w:rsidRPr="00320D8A" w:rsidRDefault="00C028F5" w:rsidP="00C028F5">
      <w:pPr>
        <w:tabs>
          <w:tab w:val="decimal" w:leader="dot" w:pos="8931"/>
        </w:tabs>
        <w:spacing w:after="0" w:line="276" w:lineRule="auto"/>
        <w:rPr>
          <w:sz w:val="24"/>
          <w:szCs w:val="28"/>
        </w:rPr>
      </w:pPr>
      <w:proofErr w:type="gramStart"/>
      <w:r w:rsidRPr="005148FD">
        <w:rPr>
          <w:rStyle w:val="Heading2Char"/>
          <w:rFonts w:eastAsiaTheme="minorHAnsi"/>
        </w:rPr>
        <w:t>10  Community</w:t>
      </w:r>
      <w:proofErr w:type="gramEnd"/>
      <w:r w:rsidRPr="005148FD">
        <w:rPr>
          <w:rStyle w:val="Heading2Char"/>
          <w:rFonts w:eastAsiaTheme="minorHAnsi"/>
        </w:rPr>
        <w:t xml:space="preserve"> Facilities</w:t>
      </w:r>
      <w:r w:rsidRPr="00320D8A">
        <w:tab/>
        <w:t>28</w:t>
      </w:r>
    </w:p>
    <w:p w14:paraId="7A2F78AC" w14:textId="77777777" w:rsidR="00C028F5" w:rsidRPr="00320D8A" w:rsidRDefault="00C028F5" w:rsidP="00C028F5">
      <w:pPr>
        <w:tabs>
          <w:tab w:val="decimal" w:leader="dot" w:pos="8931"/>
        </w:tabs>
        <w:spacing w:after="0" w:line="276" w:lineRule="auto"/>
        <w:rPr>
          <w:sz w:val="24"/>
          <w:szCs w:val="28"/>
        </w:rPr>
      </w:pPr>
      <w:proofErr w:type="gramStart"/>
      <w:r w:rsidRPr="005148FD">
        <w:rPr>
          <w:rStyle w:val="Heading2Char"/>
          <w:rFonts w:eastAsiaTheme="minorHAnsi"/>
        </w:rPr>
        <w:t>11  Emergency</w:t>
      </w:r>
      <w:proofErr w:type="gramEnd"/>
      <w:r w:rsidRPr="005148FD">
        <w:rPr>
          <w:rStyle w:val="Heading2Char"/>
          <w:rFonts w:eastAsiaTheme="minorHAnsi"/>
        </w:rPr>
        <w:t xml:space="preserve"> Services</w:t>
      </w:r>
      <w:r w:rsidRPr="00320D8A">
        <w:tab/>
        <w:t>30</w:t>
      </w:r>
    </w:p>
    <w:p w14:paraId="0A3569DB" w14:textId="77777777" w:rsidR="00C028F5" w:rsidRPr="00320D8A" w:rsidRDefault="00C028F5" w:rsidP="00C028F5">
      <w:pPr>
        <w:tabs>
          <w:tab w:val="decimal" w:leader="dot" w:pos="8931"/>
        </w:tabs>
        <w:spacing w:after="0" w:line="276" w:lineRule="auto"/>
        <w:rPr>
          <w:sz w:val="24"/>
          <w:szCs w:val="28"/>
        </w:rPr>
      </w:pPr>
      <w:proofErr w:type="gramStart"/>
      <w:r w:rsidRPr="005148FD">
        <w:rPr>
          <w:rStyle w:val="Heading2Char"/>
          <w:rFonts w:eastAsiaTheme="minorHAnsi"/>
        </w:rPr>
        <w:t>12  Open</w:t>
      </w:r>
      <w:proofErr w:type="gramEnd"/>
      <w:r w:rsidRPr="005148FD">
        <w:rPr>
          <w:rStyle w:val="Heading2Char"/>
          <w:rFonts w:eastAsiaTheme="minorHAnsi"/>
        </w:rPr>
        <w:t xml:space="preserve"> Space</w:t>
      </w:r>
      <w:r w:rsidRPr="00320D8A">
        <w:tab/>
        <w:t>31</w:t>
      </w:r>
    </w:p>
    <w:p w14:paraId="3E2AA457" w14:textId="77777777" w:rsidR="00C028F5" w:rsidRPr="00320D8A" w:rsidRDefault="00C028F5" w:rsidP="00C028F5">
      <w:pPr>
        <w:tabs>
          <w:tab w:val="decimal" w:leader="dot" w:pos="8931"/>
          <w:tab w:val="right" w:pos="9026"/>
        </w:tabs>
        <w:spacing w:after="0" w:line="276" w:lineRule="auto"/>
      </w:pPr>
      <w:r w:rsidRPr="00320D8A">
        <w:t xml:space="preserve">        12.1     Sports reserves</w:t>
      </w:r>
      <w:r w:rsidRPr="00320D8A">
        <w:tab/>
        <w:t>31</w:t>
      </w:r>
    </w:p>
    <w:p w14:paraId="04EF76C6" w14:textId="77777777" w:rsidR="00C028F5" w:rsidRPr="00320D8A" w:rsidRDefault="00C028F5" w:rsidP="00C028F5">
      <w:pPr>
        <w:tabs>
          <w:tab w:val="decimal" w:leader="dot" w:pos="8931"/>
          <w:tab w:val="right" w:pos="9026"/>
        </w:tabs>
        <w:spacing w:after="0" w:line="276" w:lineRule="auto"/>
      </w:pPr>
      <w:r w:rsidRPr="00320D8A">
        <w:t xml:space="preserve">        12.2     Local parks</w:t>
      </w:r>
      <w:r w:rsidRPr="00320D8A">
        <w:tab/>
        <w:t>31</w:t>
      </w:r>
    </w:p>
    <w:p w14:paraId="71AC433F" w14:textId="77777777" w:rsidR="00C028F5" w:rsidRPr="00320D8A" w:rsidRDefault="00C028F5" w:rsidP="00C028F5">
      <w:pPr>
        <w:tabs>
          <w:tab w:val="decimal" w:leader="dot" w:pos="8931"/>
          <w:tab w:val="right" w:pos="9026"/>
        </w:tabs>
        <w:spacing w:after="0" w:line="276" w:lineRule="auto"/>
        <w:rPr>
          <w:szCs w:val="28"/>
        </w:rPr>
      </w:pPr>
      <w:r w:rsidRPr="00320D8A">
        <w:t xml:space="preserve">        12.3     Linear open space</w:t>
      </w:r>
      <w:r w:rsidRPr="00320D8A">
        <w:tab/>
        <w:t>31</w:t>
      </w:r>
    </w:p>
    <w:p w14:paraId="789CC65D" w14:textId="77777777" w:rsidR="00C028F5" w:rsidRPr="00320D8A" w:rsidRDefault="00C028F5" w:rsidP="00C028F5">
      <w:pPr>
        <w:tabs>
          <w:tab w:val="decimal" w:leader="dot" w:pos="8931"/>
        </w:tabs>
        <w:spacing w:after="0" w:line="276" w:lineRule="auto"/>
        <w:rPr>
          <w:sz w:val="24"/>
          <w:szCs w:val="28"/>
        </w:rPr>
      </w:pPr>
      <w:proofErr w:type="gramStart"/>
      <w:r w:rsidRPr="005148FD">
        <w:rPr>
          <w:rStyle w:val="Heading2Char"/>
          <w:rFonts w:eastAsiaTheme="minorHAnsi"/>
        </w:rPr>
        <w:t>13  Whole</w:t>
      </w:r>
      <w:proofErr w:type="gramEnd"/>
      <w:r w:rsidRPr="005148FD">
        <w:rPr>
          <w:rStyle w:val="Heading2Char"/>
          <w:rFonts w:eastAsiaTheme="minorHAnsi"/>
        </w:rPr>
        <w:t xml:space="preserve"> of Water Cycle Assessment, Water and Drainage</w:t>
      </w:r>
      <w:r w:rsidRPr="00320D8A">
        <w:tab/>
        <w:t>32</w:t>
      </w:r>
    </w:p>
    <w:p w14:paraId="3172CF01" w14:textId="77777777" w:rsidR="00C028F5" w:rsidRPr="00320D8A" w:rsidRDefault="00C028F5" w:rsidP="00C028F5">
      <w:pPr>
        <w:tabs>
          <w:tab w:val="decimal" w:leader="dot" w:pos="8931"/>
        </w:tabs>
        <w:spacing w:after="0" w:line="276" w:lineRule="auto"/>
      </w:pPr>
      <w:proofErr w:type="gramStart"/>
      <w:r w:rsidRPr="005148FD">
        <w:rPr>
          <w:rStyle w:val="Heading2Char"/>
          <w:rFonts w:eastAsiaTheme="minorHAnsi"/>
        </w:rPr>
        <w:t>14  Transport</w:t>
      </w:r>
      <w:proofErr w:type="gramEnd"/>
      <w:r w:rsidRPr="005148FD">
        <w:rPr>
          <w:rStyle w:val="Heading2Char"/>
          <w:rFonts w:eastAsiaTheme="minorHAnsi"/>
        </w:rPr>
        <w:t xml:space="preserve"> and Movement</w:t>
      </w:r>
      <w:r w:rsidRPr="00320D8A">
        <w:tab/>
        <w:t>34</w:t>
      </w:r>
    </w:p>
    <w:p w14:paraId="1C7C1E86" w14:textId="77777777" w:rsidR="00C028F5" w:rsidRPr="00320D8A" w:rsidRDefault="00C028F5" w:rsidP="00C028F5">
      <w:pPr>
        <w:tabs>
          <w:tab w:val="decimal" w:leader="dot" w:pos="8931"/>
          <w:tab w:val="right" w:pos="9026"/>
        </w:tabs>
        <w:spacing w:after="0" w:line="276" w:lineRule="auto"/>
      </w:pPr>
      <w:r w:rsidRPr="00320D8A">
        <w:t xml:space="preserve">        14.1     Road and bridge infrastructure</w:t>
      </w:r>
      <w:r w:rsidRPr="00320D8A">
        <w:tab/>
        <w:t>34</w:t>
      </w:r>
    </w:p>
    <w:p w14:paraId="60ABC741" w14:textId="77777777" w:rsidR="00C028F5" w:rsidRPr="00320D8A" w:rsidRDefault="00C028F5" w:rsidP="00C028F5">
      <w:pPr>
        <w:tabs>
          <w:tab w:val="decimal" w:leader="dot" w:pos="8931"/>
          <w:tab w:val="right" w:pos="9026"/>
        </w:tabs>
        <w:spacing w:after="0" w:line="276" w:lineRule="auto"/>
      </w:pPr>
      <w:r w:rsidRPr="00320D8A">
        <w:t xml:space="preserve">        14.2     Bus services</w:t>
      </w:r>
      <w:r w:rsidRPr="00320D8A">
        <w:tab/>
        <w:t>35</w:t>
      </w:r>
    </w:p>
    <w:p w14:paraId="3907FAE1" w14:textId="6CA5E4CF" w:rsidR="00C028F5" w:rsidRPr="00320D8A" w:rsidRDefault="00C028F5" w:rsidP="00C028F5">
      <w:pPr>
        <w:tabs>
          <w:tab w:val="decimal" w:leader="dot" w:pos="8931"/>
          <w:tab w:val="right" w:pos="9026"/>
        </w:tabs>
        <w:spacing w:after="0" w:line="276" w:lineRule="auto"/>
        <w:rPr>
          <w:szCs w:val="28"/>
        </w:rPr>
      </w:pPr>
      <w:r w:rsidRPr="00320D8A">
        <w:t xml:space="preserve">        14.3    </w:t>
      </w:r>
      <w:r w:rsidR="006A760C">
        <w:t xml:space="preserve"> Pedestrian and cycle network</w:t>
      </w:r>
      <w:r w:rsidR="006A760C">
        <w:tab/>
        <w:t>36</w:t>
      </w:r>
    </w:p>
    <w:p w14:paraId="023063A8" w14:textId="77777777" w:rsidR="00C028F5" w:rsidRPr="00320D8A" w:rsidRDefault="00C028F5" w:rsidP="00C028F5">
      <w:pPr>
        <w:tabs>
          <w:tab w:val="decimal" w:leader="dot" w:pos="8931"/>
        </w:tabs>
        <w:spacing w:after="0" w:line="276" w:lineRule="auto"/>
      </w:pPr>
      <w:proofErr w:type="gramStart"/>
      <w:r w:rsidRPr="005148FD">
        <w:rPr>
          <w:rStyle w:val="Heading2Char"/>
          <w:rFonts w:eastAsiaTheme="minorHAnsi"/>
        </w:rPr>
        <w:t>15  Utility</w:t>
      </w:r>
      <w:proofErr w:type="gramEnd"/>
      <w:r w:rsidRPr="005148FD">
        <w:rPr>
          <w:rStyle w:val="Heading2Char"/>
          <w:rFonts w:eastAsiaTheme="minorHAnsi"/>
        </w:rPr>
        <w:t xml:space="preserve"> and Service Infrastructure</w:t>
      </w:r>
      <w:r w:rsidRPr="00320D8A">
        <w:tab/>
        <w:t>37</w:t>
      </w:r>
    </w:p>
    <w:p w14:paraId="156BD650" w14:textId="77777777" w:rsidR="00C028F5" w:rsidRPr="00320D8A" w:rsidRDefault="00C028F5" w:rsidP="00C028F5">
      <w:pPr>
        <w:tabs>
          <w:tab w:val="decimal" w:leader="dot" w:pos="8931"/>
          <w:tab w:val="right" w:pos="9026"/>
        </w:tabs>
        <w:spacing w:after="0" w:line="276" w:lineRule="auto"/>
      </w:pPr>
      <w:r w:rsidRPr="00320D8A">
        <w:t xml:space="preserve">        15.1     Sewerage</w:t>
      </w:r>
      <w:r w:rsidRPr="00320D8A">
        <w:tab/>
        <w:t>37</w:t>
      </w:r>
    </w:p>
    <w:p w14:paraId="650969F8" w14:textId="77777777" w:rsidR="00C028F5" w:rsidRPr="00320D8A" w:rsidRDefault="00C028F5" w:rsidP="00C028F5">
      <w:pPr>
        <w:tabs>
          <w:tab w:val="decimal" w:leader="dot" w:pos="8931"/>
          <w:tab w:val="right" w:pos="9026"/>
        </w:tabs>
        <w:spacing w:after="0" w:line="276" w:lineRule="auto"/>
        <w:rPr>
          <w:szCs w:val="28"/>
        </w:rPr>
      </w:pPr>
      <w:r w:rsidRPr="00320D8A">
        <w:t xml:space="preserve">        15.2     Potable water supply</w:t>
      </w:r>
      <w:r w:rsidRPr="00320D8A">
        <w:tab/>
        <w:t>37</w:t>
      </w:r>
    </w:p>
    <w:p w14:paraId="353334B3" w14:textId="77777777" w:rsidR="00C028F5" w:rsidRPr="00320D8A" w:rsidRDefault="00C028F5" w:rsidP="00C028F5">
      <w:pPr>
        <w:tabs>
          <w:tab w:val="decimal" w:leader="dot" w:pos="8931"/>
        </w:tabs>
        <w:spacing w:after="0" w:line="276" w:lineRule="auto"/>
        <w:rPr>
          <w:sz w:val="28"/>
          <w:szCs w:val="28"/>
        </w:rPr>
      </w:pPr>
      <w:r w:rsidRPr="00320D8A">
        <w:t xml:space="preserve">        15.3     Recycled water supply</w:t>
      </w:r>
      <w:r w:rsidRPr="00320D8A">
        <w:tab/>
        <w:t>38</w:t>
      </w:r>
    </w:p>
    <w:p w14:paraId="08797632" w14:textId="77777777" w:rsidR="00C028F5" w:rsidRPr="00320D8A" w:rsidRDefault="00C028F5" w:rsidP="00C028F5">
      <w:pPr>
        <w:tabs>
          <w:tab w:val="decimal" w:leader="dot" w:pos="8931"/>
          <w:tab w:val="right" w:pos="9026"/>
        </w:tabs>
        <w:spacing w:after="0" w:line="276" w:lineRule="auto"/>
        <w:rPr>
          <w:szCs w:val="28"/>
        </w:rPr>
      </w:pPr>
      <w:r w:rsidRPr="00320D8A">
        <w:t xml:space="preserve">        15.4     Electricity supply and transmission infrastructure</w:t>
      </w:r>
      <w:r w:rsidRPr="00320D8A">
        <w:tab/>
        <w:t>38</w:t>
      </w:r>
      <w:r w:rsidRPr="00320D8A">
        <w:rPr>
          <w:szCs w:val="28"/>
        </w:rPr>
        <w:tab/>
      </w:r>
    </w:p>
    <w:p w14:paraId="36B8145C" w14:textId="77777777" w:rsidR="00C028F5" w:rsidRPr="00320D8A" w:rsidRDefault="00C028F5" w:rsidP="00C028F5">
      <w:pPr>
        <w:tabs>
          <w:tab w:val="decimal" w:leader="dot" w:pos="8931"/>
        </w:tabs>
        <w:spacing w:after="0" w:line="276" w:lineRule="auto"/>
        <w:rPr>
          <w:szCs w:val="28"/>
        </w:rPr>
      </w:pPr>
      <w:r w:rsidRPr="00320D8A">
        <w:t xml:space="preserve">        15.5     Gas supply and high pressure gas transmission infrastructure</w:t>
      </w:r>
      <w:r w:rsidRPr="00320D8A">
        <w:tab/>
        <w:t>39</w:t>
      </w:r>
    </w:p>
    <w:p w14:paraId="4EF1F01A" w14:textId="77777777" w:rsidR="00C028F5" w:rsidRPr="00320D8A" w:rsidRDefault="00C028F5" w:rsidP="00C028F5">
      <w:pPr>
        <w:tabs>
          <w:tab w:val="decimal" w:leader="dot" w:pos="8931"/>
        </w:tabs>
        <w:spacing w:after="0" w:line="276" w:lineRule="auto"/>
        <w:rPr>
          <w:szCs w:val="28"/>
        </w:rPr>
      </w:pPr>
      <w:r w:rsidRPr="00320D8A">
        <w:t xml:space="preserve">        15.6     Telecommunications</w:t>
      </w:r>
      <w:r w:rsidRPr="00320D8A">
        <w:tab/>
        <w:t>39</w:t>
      </w:r>
    </w:p>
    <w:p w14:paraId="3294F7C1" w14:textId="77777777" w:rsidR="00C028F5" w:rsidRPr="00504600" w:rsidRDefault="00C028F5" w:rsidP="00C028F5">
      <w:pPr>
        <w:tabs>
          <w:tab w:val="decimal" w:leader="dot" w:pos="8931"/>
        </w:tabs>
        <w:spacing w:after="0" w:line="276" w:lineRule="auto"/>
      </w:pPr>
      <w:proofErr w:type="gramStart"/>
      <w:r w:rsidRPr="005148FD">
        <w:rPr>
          <w:rStyle w:val="Heading2Char"/>
          <w:rFonts w:eastAsiaTheme="minorHAnsi"/>
        </w:rPr>
        <w:t>16  References</w:t>
      </w:r>
      <w:proofErr w:type="gramEnd"/>
      <w:r w:rsidRPr="00320D8A">
        <w:tab/>
        <w:t>40</w:t>
      </w:r>
    </w:p>
    <w:p w14:paraId="17F16695" w14:textId="77777777" w:rsidR="00C028F5" w:rsidRPr="00504600" w:rsidRDefault="00C028F5" w:rsidP="00C028F5">
      <w:pPr>
        <w:tabs>
          <w:tab w:val="decimal" w:leader="dot" w:pos="8931"/>
        </w:tabs>
        <w:spacing w:after="0" w:line="240" w:lineRule="auto"/>
        <w:rPr>
          <w:sz w:val="24"/>
          <w:szCs w:val="28"/>
        </w:rPr>
      </w:pPr>
    </w:p>
    <w:p w14:paraId="22F90FD6" w14:textId="77777777" w:rsidR="00C028F5" w:rsidRPr="00504600" w:rsidRDefault="00C028F5" w:rsidP="00C028F5">
      <w:pPr>
        <w:tabs>
          <w:tab w:val="decimal" w:leader="dot" w:pos="8931"/>
        </w:tabs>
        <w:spacing w:after="0" w:line="240" w:lineRule="auto"/>
        <w:rPr>
          <w:sz w:val="24"/>
          <w:szCs w:val="28"/>
        </w:rPr>
      </w:pPr>
    </w:p>
    <w:p w14:paraId="47E156F0" w14:textId="77777777" w:rsidR="00C028F5" w:rsidRPr="00504600" w:rsidRDefault="00C028F5" w:rsidP="00C028F5"/>
    <w:p w14:paraId="4C16C1F1" w14:textId="77777777" w:rsidR="004417A2" w:rsidRPr="00504600" w:rsidRDefault="004417A2" w:rsidP="004417A2">
      <w:pPr>
        <w:tabs>
          <w:tab w:val="decimal" w:leader="dot" w:pos="8931"/>
        </w:tabs>
        <w:spacing w:after="0" w:line="240" w:lineRule="auto"/>
        <w:rPr>
          <w:sz w:val="24"/>
          <w:szCs w:val="28"/>
        </w:rPr>
      </w:pPr>
    </w:p>
    <w:p w14:paraId="201B28C6" w14:textId="77777777" w:rsidR="004417A2" w:rsidRPr="00504600" w:rsidRDefault="004417A2" w:rsidP="004417A2">
      <w:pPr>
        <w:tabs>
          <w:tab w:val="decimal" w:leader="dot" w:pos="8931"/>
        </w:tabs>
        <w:spacing w:after="0" w:line="240" w:lineRule="auto"/>
        <w:rPr>
          <w:sz w:val="24"/>
          <w:szCs w:val="28"/>
        </w:rPr>
      </w:pPr>
    </w:p>
    <w:p w14:paraId="4CF7EED3" w14:textId="77777777" w:rsidR="004417A2" w:rsidRPr="00504600" w:rsidRDefault="004417A2" w:rsidP="004417A2"/>
    <w:p w14:paraId="02CD374C" w14:textId="77777777" w:rsidR="002C2C8A" w:rsidRDefault="002C2C8A" w:rsidP="00694DD3">
      <w:pPr>
        <w:pStyle w:val="ListParagraph"/>
        <w:ind w:left="1077"/>
        <w:rPr>
          <w:b/>
          <w:sz w:val="32"/>
          <w:szCs w:val="28"/>
          <w:u w:val="single"/>
        </w:rPr>
        <w:sectPr w:rsidR="002C2C8A" w:rsidSect="002C2C8A">
          <w:footerReference w:type="default" r:id="rId8"/>
          <w:pgSz w:w="11906" w:h="16838"/>
          <w:pgMar w:top="1440" w:right="1440" w:bottom="1440" w:left="1440" w:header="708" w:footer="708" w:gutter="0"/>
          <w:pgNumType w:start="1"/>
          <w:cols w:space="708"/>
          <w:docGrid w:linePitch="360"/>
        </w:sectPr>
      </w:pPr>
    </w:p>
    <w:p w14:paraId="5A244F2B" w14:textId="5E7EB945" w:rsidR="00A026D4" w:rsidRPr="005148FD" w:rsidRDefault="00A026D4" w:rsidP="00187D4E">
      <w:pPr>
        <w:pStyle w:val="Heading1"/>
        <w:numPr>
          <w:ilvl w:val="0"/>
          <w:numId w:val="23"/>
        </w:numPr>
        <w:rPr>
          <w:b/>
        </w:rPr>
      </w:pPr>
      <w:r w:rsidRPr="005148FD">
        <w:rPr>
          <w:b/>
        </w:rPr>
        <w:lastRenderedPageBreak/>
        <w:t>Introduction</w:t>
      </w:r>
    </w:p>
    <w:p w14:paraId="3DFE0A73" w14:textId="77777777" w:rsidR="00B00D46" w:rsidRDefault="00E964CA">
      <w:r>
        <w:t>The Metropolitan Planning Authority (MPA) has prepared precinct structure plans (PSPs) for the Plumpton and Kororoit precincts. A PSP is a ‘big picture</w:t>
      </w:r>
      <w:r w:rsidR="00CE18B0">
        <w:t>’ plan that sets the vision for developing new communities and is the primary plan for guiding urban development in the growth areas of Melbourne.</w:t>
      </w:r>
    </w:p>
    <w:p w14:paraId="55E3B1D9" w14:textId="0DBC1294" w:rsidR="00CE18B0" w:rsidRDefault="00CE18B0">
      <w:r>
        <w:t xml:space="preserve">The precinct is included in the </w:t>
      </w:r>
      <w:r w:rsidRPr="001C0FB7">
        <w:rPr>
          <w:i/>
        </w:rPr>
        <w:t>West Growth Corridor Plan</w:t>
      </w:r>
      <w:r>
        <w:t xml:space="preserve"> </w:t>
      </w:r>
      <w:r w:rsidR="00DC4716">
        <w:t xml:space="preserve">(2012) </w:t>
      </w:r>
      <w:r>
        <w:t xml:space="preserve">which is a </w:t>
      </w:r>
      <w:r w:rsidR="008A1C1E">
        <w:t xml:space="preserve">high level integrated land use and transport plan that provides a </w:t>
      </w:r>
      <w:r>
        <w:t>strategy for long term development in the</w:t>
      </w:r>
      <w:r w:rsidR="008A1C1E">
        <w:t xml:space="preserve"> western corridor of Melbourne. It identifies broad transport networks, industrial and employment zone</w:t>
      </w:r>
      <w:r w:rsidR="00B57603">
        <w:t>s</w:t>
      </w:r>
      <w:r w:rsidR="008A1C1E">
        <w:t xml:space="preserve">, residential areas and recreation precincts. </w:t>
      </w:r>
    </w:p>
    <w:p w14:paraId="1B2AA408" w14:textId="77777777" w:rsidR="00B748D1" w:rsidRDefault="00B748D1">
      <w:r w:rsidRPr="00F2741A">
        <w:t>The area will undergo a full transition of land use as part of large scale residential and industrial development, with considerable population increase and demographic change.</w:t>
      </w:r>
    </w:p>
    <w:p w14:paraId="4DE38459" w14:textId="6A87EE48" w:rsidR="00140AD6" w:rsidRDefault="00CE18B0">
      <w:r>
        <w:t xml:space="preserve">The MPA has commissioned a number of background technical studies to inform the future urban form of the two precincts. The purpose of this document is to provide a summary of the findings of these studies and to highlight issues and opportunities </w:t>
      </w:r>
      <w:r w:rsidR="001056EC">
        <w:t>that were</w:t>
      </w:r>
      <w:r>
        <w:t xml:space="preserve"> considered in the preparation of the </w:t>
      </w:r>
      <w:r w:rsidR="001056EC">
        <w:t xml:space="preserve">two </w:t>
      </w:r>
      <w:r>
        <w:t>PSPs.</w:t>
      </w:r>
    </w:p>
    <w:p w14:paraId="1B026540" w14:textId="0DDF7FEC" w:rsidR="005E785E" w:rsidRPr="000F1F6D" w:rsidRDefault="00BC6D7F" w:rsidP="005148FD">
      <w:pPr>
        <w:pStyle w:val="Heading2"/>
      </w:pPr>
      <w:r>
        <w:t xml:space="preserve">1.1 </w:t>
      </w:r>
      <w:proofErr w:type="spellStart"/>
      <w:r w:rsidR="005E785E" w:rsidRPr="000F1F6D">
        <w:t>Kororoit</w:t>
      </w:r>
      <w:proofErr w:type="spellEnd"/>
      <w:r w:rsidR="005E785E" w:rsidRPr="000F1F6D">
        <w:t xml:space="preserve"> PSP – separation into two parts</w:t>
      </w:r>
    </w:p>
    <w:p w14:paraId="732D0D1F" w14:textId="07DCB753" w:rsidR="00D11451" w:rsidRDefault="00D11451">
      <w:r>
        <w:t xml:space="preserve">The Kororoit PSP has been separated into two parts: PSP 1080 and PSP 1080.2 (also known as ‘Kororoit Part 2’). PSP 1080.2 comprises the proposed future Kororoit Regional Park and has been separated from PSP 1080 while the boundary for the proposed Regional Park is being confirmed by the Department of Environment, Land, Water and Planning. Once the boundary for the proposed Regional Park has been confirmed PSP 1080.2 will proceed. </w:t>
      </w:r>
    </w:p>
    <w:p w14:paraId="62AC5243" w14:textId="7B921E44" w:rsidR="00D11451" w:rsidRDefault="00D11451">
      <w:r>
        <w:t xml:space="preserve">As the land in PSP 1080.2 was considered part of PSP 1080 for the purpose of commissioning background </w:t>
      </w:r>
      <w:r w:rsidR="005E785E">
        <w:t>technical reports, the Plumpton and Kororoit Background Report will include information on PSP 1080.2 where it relates to the background of the area. Where the Plumpton and Kororoit Background Report discusses the future planning of the area, information relating to PSP 1080.2 will not generally be included as PSP 1080.2 has not yet been prepared ready for public exhibition and a number of items remain unresolved.</w:t>
      </w:r>
    </w:p>
    <w:p w14:paraId="6E486642" w14:textId="0865068D" w:rsidR="00E964CA" w:rsidRPr="00140AD6" w:rsidRDefault="00140AD6">
      <w:bookmarkStart w:id="0" w:name="_GoBack"/>
      <w:bookmarkEnd w:id="0"/>
      <w:r>
        <w:br w:type="page"/>
      </w:r>
    </w:p>
    <w:p w14:paraId="2C592213" w14:textId="6E0E5166" w:rsidR="00B00D46" w:rsidRPr="005148FD" w:rsidRDefault="00B00D46" w:rsidP="00187D4E">
      <w:pPr>
        <w:pStyle w:val="Heading1"/>
        <w:numPr>
          <w:ilvl w:val="0"/>
          <w:numId w:val="23"/>
        </w:numPr>
        <w:rPr>
          <w:b/>
        </w:rPr>
      </w:pPr>
      <w:r w:rsidRPr="005148FD">
        <w:rPr>
          <w:b/>
        </w:rPr>
        <w:lastRenderedPageBreak/>
        <w:t>Metropolitan &amp; Regional Context</w:t>
      </w:r>
    </w:p>
    <w:p w14:paraId="727D0146" w14:textId="77777777" w:rsidR="007A3DB8" w:rsidRDefault="00B00D46">
      <w:r>
        <w:t>The metropolitan and regional context for the Precinct is shown on Plan 1 – Regional Context.</w:t>
      </w:r>
    </w:p>
    <w:p w14:paraId="0E87CC39" w14:textId="523B3FF9" w:rsidR="00E7312E" w:rsidRPr="000C7A6F" w:rsidRDefault="00BC6D7F" w:rsidP="005148FD">
      <w:pPr>
        <w:pStyle w:val="Heading2"/>
      </w:pPr>
      <w:r>
        <w:t xml:space="preserve">2.1 </w:t>
      </w:r>
      <w:r w:rsidR="00E7312E" w:rsidRPr="000C7A6F">
        <w:t>West Growth Corridor Plan</w:t>
      </w:r>
    </w:p>
    <w:p w14:paraId="5C188ADB" w14:textId="250B1484" w:rsidR="000E0EF0" w:rsidRDefault="000E76CE" w:rsidP="000E76CE">
      <w:r w:rsidRPr="007154E6">
        <w:t>The Plumpton and Kororoit precincts (PSP 1078 and PSP 1080) are existing rural areas in the West Growth Corridor in the City of Melton</w:t>
      </w:r>
      <w:r w:rsidR="004457DB">
        <w:t xml:space="preserve"> and cover</w:t>
      </w:r>
      <w:r w:rsidR="00670CBB">
        <w:t xml:space="preserve"> the localities of Rockbank and Plumpton</w:t>
      </w:r>
      <w:r w:rsidRPr="007154E6">
        <w:t xml:space="preserve">. The two precincts are situated approximately </w:t>
      </w:r>
      <w:r w:rsidR="007154E6" w:rsidRPr="007154E6">
        <w:t>35km</w:t>
      </w:r>
      <w:r w:rsidR="00A636C1">
        <w:t xml:space="preserve"> </w:t>
      </w:r>
      <w:r w:rsidR="00DC4716">
        <w:t xml:space="preserve">west </w:t>
      </w:r>
      <w:r w:rsidR="00A636C1">
        <w:t xml:space="preserve">of Melbourne </w:t>
      </w:r>
      <w:r w:rsidR="00DC4716">
        <w:t xml:space="preserve">Central Business District and </w:t>
      </w:r>
      <w:r w:rsidR="00A636C1">
        <w:t>bound</w:t>
      </w:r>
      <w:r w:rsidR="00B57603">
        <w:t>ed</w:t>
      </w:r>
      <w:r w:rsidR="00A636C1">
        <w:t xml:space="preserve"> by the Melton Highway to the north, the developed suburbs of Hillside</w:t>
      </w:r>
      <w:r w:rsidR="00B57603">
        <w:t>, Taylors Hill West</w:t>
      </w:r>
      <w:r w:rsidR="00A636C1">
        <w:t xml:space="preserve"> and Caroline Springs</w:t>
      </w:r>
      <w:r w:rsidR="0025565B">
        <w:t xml:space="preserve"> to the east</w:t>
      </w:r>
      <w:r w:rsidR="00A636C1">
        <w:t>, the Western Freeway to the south</w:t>
      </w:r>
      <w:r w:rsidR="0025565B">
        <w:t xml:space="preserve"> and</w:t>
      </w:r>
      <w:r w:rsidR="00A636C1">
        <w:t xml:space="preserve"> the</w:t>
      </w:r>
      <w:r w:rsidR="00DC4716">
        <w:t xml:space="preserve"> future</w:t>
      </w:r>
      <w:r w:rsidR="00A636C1">
        <w:t xml:space="preserve"> Outer Metropolitan Ri</w:t>
      </w:r>
      <w:r w:rsidR="00CF0D3D">
        <w:t>ng r</w:t>
      </w:r>
      <w:r w:rsidR="0025565B">
        <w:t xml:space="preserve">oad (OMR) to the west. </w:t>
      </w:r>
      <w:r w:rsidR="00A636C1">
        <w:t xml:space="preserve">Taylors Road </w:t>
      </w:r>
      <w:r w:rsidR="0025565B">
        <w:t>is</w:t>
      </w:r>
      <w:r w:rsidR="00A636C1">
        <w:t xml:space="preserve"> the divide between the two precincts.</w:t>
      </w:r>
    </w:p>
    <w:p w14:paraId="3493DC29" w14:textId="6D9E4312" w:rsidR="00661742" w:rsidRDefault="00670CBB" w:rsidP="000E76CE">
      <w:pPr>
        <w:rPr>
          <w:rFonts w:ascii="Calibri" w:hAnsi="Calibri" w:cs="Calibri"/>
          <w:color w:val="000000"/>
        </w:rPr>
      </w:pPr>
      <w:r w:rsidRPr="00694DD3">
        <w:t xml:space="preserve">The area will undergo a full transition of land use as part of large scale residential, business and industrial development, with considerable population increase and demographic change. </w:t>
      </w:r>
      <w:r w:rsidR="007154E6" w:rsidRPr="00670CBB">
        <w:rPr>
          <w:rFonts w:ascii="Calibri" w:hAnsi="Calibri" w:cs="Calibri"/>
          <w:color w:val="000000"/>
        </w:rPr>
        <w:t>Plumpton and Kororoit</w:t>
      </w:r>
      <w:r w:rsidR="000E76CE" w:rsidRPr="00670CBB">
        <w:rPr>
          <w:rFonts w:ascii="Calibri" w:hAnsi="Calibri" w:cs="Calibri"/>
          <w:color w:val="000000"/>
        </w:rPr>
        <w:t xml:space="preserve"> will be home to </w:t>
      </w:r>
      <w:r w:rsidR="000E76CE" w:rsidRPr="00A00E88">
        <w:rPr>
          <w:rFonts w:ascii="Calibri" w:hAnsi="Calibri" w:cs="Calibri"/>
          <w:color w:val="000000"/>
        </w:rPr>
        <w:t xml:space="preserve">approximately </w:t>
      </w:r>
      <w:r w:rsidR="000E76CE" w:rsidRPr="00917A97">
        <w:rPr>
          <w:rFonts w:ascii="Calibri" w:hAnsi="Calibri" w:cs="Calibri"/>
          <w:color w:val="000000"/>
        </w:rPr>
        <w:t>5</w:t>
      </w:r>
      <w:r w:rsidR="00A07612" w:rsidRPr="00917A97">
        <w:rPr>
          <w:rFonts w:ascii="Calibri" w:hAnsi="Calibri" w:cs="Calibri"/>
          <w:color w:val="000000"/>
        </w:rPr>
        <w:t>5</w:t>
      </w:r>
      <w:r w:rsidR="000E76CE" w:rsidRPr="00917A97">
        <w:rPr>
          <w:rFonts w:ascii="Calibri" w:hAnsi="Calibri" w:cs="Calibri"/>
          <w:color w:val="000000"/>
        </w:rPr>
        <w:t>,</w:t>
      </w:r>
      <w:r w:rsidR="00A07612" w:rsidRPr="00917A97">
        <w:rPr>
          <w:rFonts w:ascii="Calibri" w:hAnsi="Calibri" w:cs="Calibri"/>
          <w:color w:val="000000"/>
        </w:rPr>
        <w:t>5</w:t>
      </w:r>
      <w:r w:rsidR="00A00E88" w:rsidRPr="00917A97">
        <w:rPr>
          <w:rFonts w:ascii="Calibri" w:hAnsi="Calibri" w:cs="Calibri"/>
          <w:color w:val="000000"/>
        </w:rPr>
        <w:t>00</w:t>
      </w:r>
      <w:r w:rsidR="000E76CE" w:rsidRPr="00917A97">
        <w:rPr>
          <w:rFonts w:ascii="Calibri" w:hAnsi="Calibri" w:cs="Calibri"/>
          <w:color w:val="000000"/>
        </w:rPr>
        <w:t xml:space="preserve"> people</w:t>
      </w:r>
      <w:r w:rsidR="000E76CE" w:rsidRPr="00A00E88">
        <w:rPr>
          <w:rFonts w:ascii="Calibri" w:hAnsi="Calibri" w:cs="Calibri"/>
          <w:color w:val="000000"/>
        </w:rPr>
        <w:t xml:space="preserve"> in</w:t>
      </w:r>
      <w:r w:rsidR="000E76CE" w:rsidRPr="00670CBB">
        <w:rPr>
          <w:rFonts w:ascii="Calibri" w:hAnsi="Calibri" w:cs="Calibri"/>
          <w:color w:val="000000"/>
        </w:rPr>
        <w:t xml:space="preserve"> the nex</w:t>
      </w:r>
      <w:r w:rsidR="00A7703B" w:rsidRPr="004457DB">
        <w:rPr>
          <w:rFonts w:ascii="Calibri" w:hAnsi="Calibri" w:cs="Calibri"/>
          <w:color w:val="000000"/>
        </w:rPr>
        <w:t xml:space="preserve">t 20-30 years, contributing to the </w:t>
      </w:r>
      <w:r w:rsidR="000E76CE" w:rsidRPr="008B038F">
        <w:rPr>
          <w:rFonts w:ascii="Calibri" w:hAnsi="Calibri" w:cs="Calibri"/>
          <w:color w:val="000000"/>
        </w:rPr>
        <w:t>pro</w:t>
      </w:r>
      <w:r w:rsidR="00A7703B" w:rsidRPr="008B038F">
        <w:rPr>
          <w:rFonts w:ascii="Calibri" w:hAnsi="Calibri" w:cs="Calibri"/>
          <w:color w:val="000000"/>
        </w:rPr>
        <w:t>jected</w:t>
      </w:r>
      <w:r w:rsidR="00A7703B">
        <w:rPr>
          <w:rFonts w:ascii="Calibri" w:hAnsi="Calibri" w:cs="Calibri"/>
          <w:color w:val="000000"/>
        </w:rPr>
        <w:t xml:space="preserve"> population increase to </w:t>
      </w:r>
      <w:r w:rsidR="00661742">
        <w:rPr>
          <w:rFonts w:ascii="Calibri" w:hAnsi="Calibri" w:cs="Calibri"/>
          <w:color w:val="000000"/>
        </w:rPr>
        <w:t>255</w:t>
      </w:r>
      <w:r w:rsidR="000E76CE" w:rsidRPr="00661742">
        <w:rPr>
          <w:rFonts w:ascii="Calibri" w:hAnsi="Calibri" w:cs="Calibri"/>
          <w:color w:val="000000"/>
        </w:rPr>
        <w:t>,000 residents within the City of Melton by 2031</w:t>
      </w:r>
      <w:r w:rsidR="000E76CE" w:rsidRPr="000E76CE">
        <w:rPr>
          <w:rFonts w:ascii="Calibri" w:hAnsi="Calibri" w:cs="Calibri"/>
          <w:color w:val="000000"/>
        </w:rPr>
        <w:t xml:space="preserve"> and</w:t>
      </w:r>
      <w:r w:rsidR="00661742">
        <w:rPr>
          <w:rFonts w:ascii="Calibri" w:hAnsi="Calibri" w:cs="Calibri"/>
          <w:color w:val="000000"/>
        </w:rPr>
        <w:t xml:space="preserve"> an ultimate population of 400</w:t>
      </w:r>
      <w:r w:rsidR="00A7703B">
        <w:rPr>
          <w:rFonts w:ascii="Calibri" w:hAnsi="Calibri" w:cs="Calibri"/>
          <w:color w:val="000000"/>
        </w:rPr>
        <w:t xml:space="preserve">,000 </w:t>
      </w:r>
      <w:r w:rsidR="00661742">
        <w:rPr>
          <w:rFonts w:ascii="Calibri" w:hAnsi="Calibri" w:cs="Calibri"/>
          <w:color w:val="000000"/>
        </w:rPr>
        <w:t>or more</w:t>
      </w:r>
      <w:r w:rsidR="00DC4716">
        <w:rPr>
          <w:rFonts w:ascii="Calibri" w:hAnsi="Calibri" w:cs="Calibri"/>
          <w:color w:val="000000"/>
        </w:rPr>
        <w:t xml:space="preserve"> (Victoria in Future, 2015)</w:t>
      </w:r>
      <w:r w:rsidR="00661742">
        <w:rPr>
          <w:rFonts w:ascii="Calibri" w:hAnsi="Calibri" w:cs="Calibri"/>
          <w:color w:val="000000"/>
        </w:rPr>
        <w:t>.</w:t>
      </w:r>
    </w:p>
    <w:p w14:paraId="2771DA40" w14:textId="32E9906A" w:rsidR="001056EC" w:rsidRDefault="00A07612" w:rsidP="000E76CE">
      <w:pPr>
        <w:rPr>
          <w:rFonts w:cs="Arial"/>
          <w:bCs/>
        </w:rPr>
      </w:pPr>
      <w:r>
        <w:t xml:space="preserve">The </w:t>
      </w:r>
      <w:r w:rsidRPr="001C0FB7">
        <w:rPr>
          <w:i/>
        </w:rPr>
        <w:t>West Growth Corridor Plan</w:t>
      </w:r>
      <w:r w:rsidR="001056EC">
        <w:t xml:space="preserve"> (WGCP)</w:t>
      </w:r>
      <w:r>
        <w:t xml:space="preserve"> identifies the PSP areas to be </w:t>
      </w:r>
      <w:r w:rsidR="00DC4716">
        <w:t xml:space="preserve">predominantly </w:t>
      </w:r>
      <w:r>
        <w:t xml:space="preserve">residential </w:t>
      </w:r>
      <w:r w:rsidR="00B05694">
        <w:t xml:space="preserve">with </w:t>
      </w:r>
      <w:r w:rsidR="00CC5F53">
        <w:t>areas of b</w:t>
      </w:r>
      <w:r w:rsidR="001056EC">
        <w:t>iodiversity and landscape values. Approximately 400 hectares</w:t>
      </w:r>
      <w:r w:rsidR="00B05694">
        <w:t xml:space="preserve"> has</w:t>
      </w:r>
      <w:r w:rsidR="00CC5F53">
        <w:t xml:space="preserve"> been nominated for conservation</w:t>
      </w:r>
      <w:r w:rsidR="00D822DD">
        <w:t xml:space="preserve"> purposes within</w:t>
      </w:r>
      <w:r w:rsidR="00B05694">
        <w:t xml:space="preserve"> the Kororoit precinct</w:t>
      </w:r>
      <w:r w:rsidR="00CC5F53">
        <w:t xml:space="preserve">. </w:t>
      </w:r>
      <w:r w:rsidR="001056EC" w:rsidRPr="006D386D">
        <w:rPr>
          <w:rFonts w:cs="Arial"/>
          <w:bCs/>
        </w:rPr>
        <w:t xml:space="preserve">The </w:t>
      </w:r>
      <w:r w:rsidR="00A7703B">
        <w:rPr>
          <w:rFonts w:cs="Arial"/>
          <w:bCs/>
        </w:rPr>
        <w:t>W</w:t>
      </w:r>
      <w:r w:rsidR="001056EC" w:rsidRPr="006D386D">
        <w:rPr>
          <w:rFonts w:cs="Arial"/>
          <w:bCs/>
        </w:rPr>
        <w:t>GCP also anchor</w:t>
      </w:r>
      <w:r w:rsidR="001056EC">
        <w:rPr>
          <w:rFonts w:cs="Arial"/>
          <w:bCs/>
        </w:rPr>
        <w:t>s</w:t>
      </w:r>
      <w:r w:rsidR="001056EC" w:rsidRPr="006D386D">
        <w:rPr>
          <w:rFonts w:cs="Arial"/>
          <w:bCs/>
        </w:rPr>
        <w:t xml:space="preserve"> a new regional park off the creek corridor, which will serve the wider Melton growth area.</w:t>
      </w:r>
    </w:p>
    <w:p w14:paraId="7D568369" w14:textId="77777777" w:rsidR="00D31E63" w:rsidRDefault="00D31E63" w:rsidP="00117342">
      <w:pPr>
        <w:rPr>
          <w:rFonts w:cs="Calibri"/>
          <w:color w:val="000000"/>
        </w:rPr>
      </w:pPr>
      <w:r>
        <w:t xml:space="preserve">Growth within Plumpton and Kororoit will be supported by new and improved infrastructure networks including freeways (proposed Outer Metropolitan Ring road), the future extensions of Hopkins Road and Tarleton Road and upgrade works for Taylors Road and Neale Road. </w:t>
      </w:r>
      <w:r w:rsidR="00BD33E5" w:rsidRPr="006D386D">
        <w:rPr>
          <w:rFonts w:cs="Calibri"/>
          <w:color w:val="000000"/>
        </w:rPr>
        <w:t xml:space="preserve">The </w:t>
      </w:r>
      <w:r w:rsidR="00BD33E5">
        <w:rPr>
          <w:rFonts w:cs="Calibri"/>
          <w:color w:val="000000"/>
        </w:rPr>
        <w:t>WGCP</w:t>
      </w:r>
      <w:r w:rsidR="00BD33E5" w:rsidRPr="006D386D">
        <w:rPr>
          <w:rFonts w:cs="Calibri"/>
          <w:color w:val="000000"/>
        </w:rPr>
        <w:t xml:space="preserve"> proposes a north-south arterial road link extending north from the existing interchange at Hop</w:t>
      </w:r>
      <w:r w:rsidR="00BD33E5">
        <w:rPr>
          <w:rFonts w:cs="Calibri"/>
          <w:color w:val="000000"/>
        </w:rPr>
        <w:t xml:space="preserve">kins Road to the Melton Highway to improve transport access in a rapidly developing area. It will provide a critical linkage between communities, and to housing, jobs and services. </w:t>
      </w:r>
    </w:p>
    <w:p w14:paraId="0E28C4AB" w14:textId="7AFC3E97" w:rsidR="00117342" w:rsidRDefault="00D822DD" w:rsidP="00117342">
      <w:r>
        <w:t>The Plumpton precinct is</w:t>
      </w:r>
      <w:r w:rsidR="0091113F">
        <w:t xml:space="preserve"> identified as prov</w:t>
      </w:r>
      <w:r>
        <w:t>id</w:t>
      </w:r>
      <w:r w:rsidR="0091113F">
        <w:t xml:space="preserve">ing local and regional employment opportunities with approximately </w:t>
      </w:r>
      <w:r w:rsidR="00B05694">
        <w:t>100 hectares proposed for industrial</w:t>
      </w:r>
      <w:r w:rsidR="00DC4716">
        <w:t xml:space="preserve"> and other employment</w:t>
      </w:r>
      <w:r w:rsidR="00B05694">
        <w:t xml:space="preserve"> uses.</w:t>
      </w:r>
      <w:r w:rsidR="001C0FB7">
        <w:t xml:space="preserve"> It will contribute</w:t>
      </w:r>
      <w:r w:rsidR="00CA559D">
        <w:t xml:space="preserve"> to the</w:t>
      </w:r>
      <w:r w:rsidR="00A7703B">
        <w:t xml:space="preserve"> </w:t>
      </w:r>
      <w:r w:rsidR="008370B9">
        <w:t>targeted 164,000 or more new</w:t>
      </w:r>
      <w:r w:rsidR="005C62BF">
        <w:t xml:space="preserve"> jobs</w:t>
      </w:r>
      <w:r w:rsidR="008370B9">
        <w:t xml:space="preserve"> across the western corridor.</w:t>
      </w:r>
      <w:r w:rsidR="00B05694">
        <w:t xml:space="preserve"> The Plumpton industrial precinct was strategically located to contribute to the achievement of greater diver</w:t>
      </w:r>
      <w:r w:rsidR="002C4F0B">
        <w:t>sity of employ</w:t>
      </w:r>
      <w:r w:rsidR="00B748D1">
        <w:t>ment in the w</w:t>
      </w:r>
      <w:r w:rsidR="002C4F0B">
        <w:t xml:space="preserve">est. </w:t>
      </w:r>
      <w:r w:rsidR="00117342">
        <w:t>It will also play a vital role in industrial, freight and logistics activity and diversify its economy with new industrial areas, business areas and activity centres contributing to growth and diversification.</w:t>
      </w:r>
    </w:p>
    <w:p w14:paraId="228BE5D8" w14:textId="0134C51E" w:rsidR="00246B17" w:rsidRDefault="001056EC" w:rsidP="005148FD">
      <w:r>
        <w:t>The communit</w:t>
      </w:r>
      <w:r w:rsidR="00DC4716">
        <w:t>ies of Plumpton and Kororoit</w:t>
      </w:r>
      <w:r>
        <w:t xml:space="preserve"> will be serviced by a Major Town Centre </w:t>
      </w:r>
      <w:r w:rsidR="00DC4716">
        <w:t xml:space="preserve">(MTC) </w:t>
      </w:r>
      <w:r>
        <w:t xml:space="preserve">proposed </w:t>
      </w:r>
      <w:r w:rsidR="00DC4716">
        <w:t xml:space="preserve">at the intersection of </w:t>
      </w:r>
      <w:r w:rsidR="00BD33E5">
        <w:t xml:space="preserve">the extended </w:t>
      </w:r>
      <w:r w:rsidR="00DC4716">
        <w:t xml:space="preserve">Hopkins Road and </w:t>
      </w:r>
      <w:r w:rsidR="00BD33E5">
        <w:t xml:space="preserve">the existing </w:t>
      </w:r>
      <w:r w:rsidR="00DC4716">
        <w:t>Beattys Road</w:t>
      </w:r>
      <w:r w:rsidR="00BD33E5">
        <w:t xml:space="preserve">. </w:t>
      </w:r>
      <w:r w:rsidR="00DC4716">
        <w:t>The WGCP proposed this MTC on the south east side of the intersection</w:t>
      </w:r>
      <w:r w:rsidR="00BD33E5">
        <w:t xml:space="preserve"> of Hopkins Road and Tarleton Road</w:t>
      </w:r>
      <w:r w:rsidR="00CF0D3D">
        <w:t xml:space="preserve"> </w:t>
      </w:r>
      <w:r w:rsidR="00B57603">
        <w:t>H</w:t>
      </w:r>
      <w:r w:rsidR="00CF0D3D">
        <w:t>owever following</w:t>
      </w:r>
      <w:r w:rsidR="00DC4716">
        <w:t xml:space="preserve"> further </w:t>
      </w:r>
      <w:r w:rsidR="00CC4FC1">
        <w:t>design work</w:t>
      </w:r>
      <w:r w:rsidR="00CF0D3D">
        <w:t xml:space="preserve"> undertaken as part of the PSP</w:t>
      </w:r>
      <w:r w:rsidR="00DC4716">
        <w:t xml:space="preserve"> and consideration of improved integration </w:t>
      </w:r>
      <w:r w:rsidR="0025104E">
        <w:t>with the future industrial precinct</w:t>
      </w:r>
      <w:r w:rsidR="00DC4716">
        <w:t xml:space="preserve">, the MTC </w:t>
      </w:r>
      <w:r w:rsidR="00B57603">
        <w:t xml:space="preserve">has been relocated </w:t>
      </w:r>
      <w:r w:rsidR="00DC4716">
        <w:t xml:space="preserve">to the north east </w:t>
      </w:r>
      <w:r w:rsidR="00B57603">
        <w:t xml:space="preserve">corner of the </w:t>
      </w:r>
      <w:r w:rsidR="00DC4716">
        <w:t xml:space="preserve">intersection. </w:t>
      </w:r>
      <w:r w:rsidR="002C4F0B">
        <w:t xml:space="preserve">Beattys Road is a significant heritage feature within the Melton growth corridor </w:t>
      </w:r>
      <w:r w:rsidR="00A31A47">
        <w:t xml:space="preserve">due to its former role as a route to the goldfields, </w:t>
      </w:r>
      <w:r w:rsidR="002C4F0B">
        <w:t xml:space="preserve">and </w:t>
      </w:r>
      <w:r w:rsidR="0025104E">
        <w:t>will form the civic spine of the town centre. It will become a focal point and a location for high order community infrastructure.</w:t>
      </w:r>
    </w:p>
    <w:p w14:paraId="607AC219" w14:textId="77777777" w:rsidR="005148FD" w:rsidRDefault="005148FD" w:rsidP="005148FD"/>
    <w:p w14:paraId="60752DBF" w14:textId="77777777" w:rsidR="005148FD" w:rsidRPr="005148FD" w:rsidRDefault="005148FD" w:rsidP="005148FD"/>
    <w:p w14:paraId="6BFD5E84" w14:textId="7CEA0FA5" w:rsidR="00246B17" w:rsidRDefault="00246B17" w:rsidP="00246B17">
      <w:pPr>
        <w:pStyle w:val="ListParagraph"/>
        <w:ind w:left="1077"/>
        <w:rPr>
          <w:b/>
          <w:sz w:val="28"/>
          <w:szCs w:val="28"/>
          <w:u w:val="single"/>
        </w:rPr>
      </w:pPr>
    </w:p>
    <w:p w14:paraId="4A448923" w14:textId="461218FC" w:rsidR="00B00D46" w:rsidRPr="000C7A6F" w:rsidRDefault="00BC6D7F" w:rsidP="005148FD">
      <w:pPr>
        <w:pStyle w:val="Heading2"/>
      </w:pPr>
      <w:r>
        <w:t xml:space="preserve">2.2 </w:t>
      </w:r>
      <w:r w:rsidR="00B00D46" w:rsidRPr="000C7A6F">
        <w:t>Surrounding Precincts</w:t>
      </w:r>
    </w:p>
    <w:p w14:paraId="424DD9E2" w14:textId="57C37BA4" w:rsidR="004D56FF" w:rsidRPr="00D822DD" w:rsidRDefault="002232B2" w:rsidP="00B05694">
      <w:pPr>
        <w:jc w:val="both"/>
      </w:pPr>
      <w:r w:rsidRPr="00D822DD">
        <w:t>A number of new settle</w:t>
      </w:r>
      <w:r>
        <w:t>ments are currently planned, b</w:t>
      </w:r>
      <w:r w:rsidRPr="00D822DD">
        <w:t>eing developed</w:t>
      </w:r>
      <w:r>
        <w:t xml:space="preserve"> or development has recently finalised</w:t>
      </w:r>
      <w:r w:rsidRPr="00D822DD">
        <w:t xml:space="preserve"> around Plumpton and Kororoit. </w:t>
      </w:r>
      <w:r w:rsidR="00102F21" w:rsidRPr="00D822DD">
        <w:t>The Plumpton and Kororoit PSPs are positioned between Caroline Springs</w:t>
      </w:r>
      <w:r w:rsidR="005D756A">
        <w:t>, Taylors Hill West</w:t>
      </w:r>
      <w:r>
        <w:t xml:space="preserve"> PSP</w:t>
      </w:r>
      <w:r w:rsidR="00102F21" w:rsidRPr="00D822DD">
        <w:t xml:space="preserve"> and Hillside to the </w:t>
      </w:r>
      <w:r w:rsidR="005D756A">
        <w:t>e</w:t>
      </w:r>
      <w:r w:rsidR="00102F21" w:rsidRPr="00D822DD">
        <w:t xml:space="preserve">ast, Rockbank North </w:t>
      </w:r>
      <w:r w:rsidR="002E3CE8">
        <w:t>and Warrensbrook</w:t>
      </w:r>
      <w:r>
        <w:t xml:space="preserve"> PSPs</w:t>
      </w:r>
      <w:r w:rsidR="002E3CE8">
        <w:t xml:space="preserve"> </w:t>
      </w:r>
      <w:r w:rsidR="00102F21" w:rsidRPr="00D822DD">
        <w:t>to the west and Mt Atkinson</w:t>
      </w:r>
      <w:r w:rsidR="002E3CE8">
        <w:t>, Tarneit Plains and Warrawee</w:t>
      </w:r>
      <w:r>
        <w:t xml:space="preserve"> PSPs</w:t>
      </w:r>
      <w:r w:rsidR="00102F21" w:rsidRPr="00D822DD">
        <w:t xml:space="preserve"> to the south. </w:t>
      </w:r>
    </w:p>
    <w:p w14:paraId="3FAC8898" w14:textId="6B518356" w:rsidR="00B05694" w:rsidRPr="0065276D" w:rsidRDefault="00B05694" w:rsidP="005148FD">
      <w:pPr>
        <w:pStyle w:val="Heading3"/>
      </w:pPr>
      <w:r w:rsidRPr="0065276D">
        <w:t>R</w:t>
      </w:r>
      <w:r w:rsidR="00F33AFA">
        <w:t>ockbank Precinct Structure Plan</w:t>
      </w:r>
    </w:p>
    <w:p w14:paraId="19382571" w14:textId="27CDFDE8" w:rsidR="00B05694" w:rsidRPr="00B05694" w:rsidRDefault="00B05694" w:rsidP="00B05694">
      <w:pPr>
        <w:jc w:val="both"/>
      </w:pPr>
      <w:r w:rsidRPr="00B05694">
        <w:t xml:space="preserve">Rockbank Precinct Structure Plan is immediately </w:t>
      </w:r>
      <w:r w:rsidR="00B57603">
        <w:t>south-</w:t>
      </w:r>
      <w:r w:rsidRPr="00B05694">
        <w:t xml:space="preserve">west of </w:t>
      </w:r>
      <w:r w:rsidR="00B57603">
        <w:t xml:space="preserve">Kororoit </w:t>
      </w:r>
      <w:r w:rsidRPr="00B05694">
        <w:t>PSP. The precinct includes a total area of 750 hectares and its future land use will be predominantly residential in nature</w:t>
      </w:r>
      <w:r w:rsidRPr="00106DB5">
        <w:t>.</w:t>
      </w:r>
      <w:r w:rsidR="00106DB5" w:rsidRPr="00694DD3">
        <w:t xml:space="preserve"> Rockbank is projected to have a future population of 22,200 people and yield of</w:t>
      </w:r>
      <w:r w:rsidR="00B57603">
        <w:t xml:space="preserve"> around</w:t>
      </w:r>
      <w:r w:rsidR="00106DB5" w:rsidRPr="00694DD3">
        <w:t xml:space="preserve"> 7,</w:t>
      </w:r>
      <w:r w:rsidR="00B57603" w:rsidRPr="00694DD3">
        <w:t>9</w:t>
      </w:r>
      <w:r w:rsidR="00B57603">
        <w:t>00</w:t>
      </w:r>
      <w:r w:rsidR="00B57603" w:rsidRPr="00694DD3">
        <w:t xml:space="preserve"> </w:t>
      </w:r>
      <w:r w:rsidR="00106DB5" w:rsidRPr="00694DD3">
        <w:t>dwellings.</w:t>
      </w:r>
      <w:r w:rsidR="00106DB5" w:rsidRPr="00AB5D98">
        <w:rPr>
          <w:sz w:val="20"/>
          <w:szCs w:val="20"/>
        </w:rPr>
        <w:t xml:space="preserve">  </w:t>
      </w:r>
    </w:p>
    <w:p w14:paraId="1A01188D" w14:textId="45CEA9B8" w:rsidR="0078773D" w:rsidRPr="0065276D" w:rsidRDefault="0078773D" w:rsidP="005148FD">
      <w:pPr>
        <w:pStyle w:val="Heading3"/>
      </w:pPr>
      <w:r w:rsidRPr="0065276D">
        <w:t>Rockbank North Precinct Structure Plan</w:t>
      </w:r>
    </w:p>
    <w:p w14:paraId="1D3E438C" w14:textId="13CBF3F1" w:rsidR="00D822DD" w:rsidRDefault="00D822DD" w:rsidP="00B05694">
      <w:pPr>
        <w:rPr>
          <w:rFonts w:cs="Humnst777 BT"/>
          <w:color w:val="000000"/>
        </w:rPr>
      </w:pPr>
      <w:r w:rsidRPr="0084073A">
        <w:rPr>
          <w:rFonts w:cs="Humnst777 BT"/>
          <w:color w:val="000000"/>
        </w:rPr>
        <w:t>Rockbank North</w:t>
      </w:r>
      <w:r w:rsidR="00106DB5" w:rsidRPr="0084073A">
        <w:rPr>
          <w:rFonts w:cs="Humnst777 BT"/>
          <w:color w:val="000000"/>
        </w:rPr>
        <w:t xml:space="preserve"> </w:t>
      </w:r>
      <w:r w:rsidR="0084073A" w:rsidRPr="0084073A">
        <w:rPr>
          <w:rFonts w:cs="Humnst777 BT"/>
          <w:color w:val="000000"/>
        </w:rPr>
        <w:t>(Woodlea Estate)</w:t>
      </w:r>
      <w:r w:rsidRPr="0084073A">
        <w:rPr>
          <w:rFonts w:cs="Humnst777 BT"/>
          <w:color w:val="000000"/>
        </w:rPr>
        <w:t xml:space="preserve"> is located </w:t>
      </w:r>
      <w:r w:rsidR="002232B2">
        <w:rPr>
          <w:rFonts w:cs="Humnst777 BT"/>
          <w:color w:val="000000"/>
        </w:rPr>
        <w:t>wes</w:t>
      </w:r>
      <w:r w:rsidR="005A13F5">
        <w:rPr>
          <w:rFonts w:cs="Humnst777 BT"/>
          <w:color w:val="000000"/>
        </w:rPr>
        <w:t>t</w:t>
      </w:r>
      <w:r w:rsidRPr="0084073A">
        <w:rPr>
          <w:rFonts w:cs="Humnst777 BT"/>
          <w:color w:val="000000"/>
        </w:rPr>
        <w:t xml:space="preserve"> of the precinct, across the </w:t>
      </w:r>
      <w:r w:rsidR="002232B2">
        <w:rPr>
          <w:rFonts w:cs="Humnst777 BT"/>
          <w:color w:val="000000"/>
        </w:rPr>
        <w:t>OMR</w:t>
      </w:r>
      <w:r w:rsidRPr="0084073A">
        <w:rPr>
          <w:rFonts w:cs="Humnst777 BT"/>
          <w:color w:val="000000"/>
        </w:rPr>
        <w:t>. Rockbank North PSP was approved in June 2012</w:t>
      </w:r>
      <w:r w:rsidR="0084073A" w:rsidRPr="0084073A">
        <w:rPr>
          <w:rFonts w:cs="Humnst777 BT"/>
          <w:color w:val="000000"/>
        </w:rPr>
        <w:t xml:space="preserve"> and development is currently underway. Upon completion it is </w:t>
      </w:r>
      <w:r w:rsidR="0084073A" w:rsidRPr="008B038F">
        <w:rPr>
          <w:rFonts w:cs="Humnst777 BT"/>
          <w:color w:val="000000"/>
        </w:rPr>
        <w:t xml:space="preserve">expected to </w:t>
      </w:r>
      <w:r w:rsidR="005A13F5">
        <w:rPr>
          <w:rFonts w:cs="Humnst777 BT"/>
          <w:color w:val="000000"/>
        </w:rPr>
        <w:t xml:space="preserve">include 7,100 residential lots and have a population of </w:t>
      </w:r>
      <w:r w:rsidR="0084073A" w:rsidRPr="008B038F">
        <w:rPr>
          <w:rFonts w:cs="Humnst777 BT"/>
          <w:color w:val="000000"/>
        </w:rPr>
        <w:t>20,400 people</w:t>
      </w:r>
      <w:r w:rsidR="005A13F5">
        <w:rPr>
          <w:rFonts w:cs="Humnst777 BT"/>
          <w:color w:val="000000"/>
        </w:rPr>
        <w:t xml:space="preserve">. </w:t>
      </w:r>
      <w:r w:rsidR="005A13F5">
        <w:rPr>
          <w:color w:val="333333"/>
          <w:shd w:val="clear" w:color="auto" w:fill="FFFFFF"/>
        </w:rPr>
        <w:t>It will</w:t>
      </w:r>
      <w:r w:rsidR="0084073A" w:rsidRPr="00694DD3">
        <w:rPr>
          <w:color w:val="333333"/>
          <w:shd w:val="clear" w:color="auto" w:fill="FFFFFF"/>
        </w:rPr>
        <w:t xml:space="preserve"> include a major and local town centre</w:t>
      </w:r>
      <w:r w:rsidR="005A13F5">
        <w:rPr>
          <w:color w:val="333333"/>
          <w:shd w:val="clear" w:color="auto" w:fill="FFFFFF"/>
        </w:rPr>
        <w:t xml:space="preserve">s, </w:t>
      </w:r>
      <w:r w:rsidR="005A13F5" w:rsidRPr="008B038F">
        <w:rPr>
          <w:rFonts w:cs="Humnst777 BT"/>
          <w:color w:val="000000"/>
        </w:rPr>
        <w:t>three primary schools, a secondary school, a health and education precinct and an indoor sports facility.</w:t>
      </w:r>
    </w:p>
    <w:p w14:paraId="32DFC89A" w14:textId="74C8B702" w:rsidR="00DE09EE" w:rsidRDefault="00DE09EE" w:rsidP="005148FD">
      <w:pPr>
        <w:pStyle w:val="Heading3"/>
      </w:pPr>
      <w:r>
        <w:t>Warrensbrook Precinct Structure Plan</w:t>
      </w:r>
    </w:p>
    <w:p w14:paraId="33F0AB13" w14:textId="3C4114F6" w:rsidR="00DE09EE" w:rsidRDefault="00DE09EE" w:rsidP="00B05694">
      <w:pPr>
        <w:rPr>
          <w:rFonts w:cs="Humnst777 BT"/>
          <w:color w:val="000000"/>
        </w:rPr>
      </w:pPr>
      <w:r>
        <w:rPr>
          <w:rFonts w:cs="Humnst777 BT"/>
          <w:color w:val="000000"/>
        </w:rPr>
        <w:t>Warrensbrook</w:t>
      </w:r>
      <w:r w:rsidR="002232B2">
        <w:rPr>
          <w:rFonts w:cs="Humnst777 BT"/>
          <w:color w:val="000000"/>
        </w:rPr>
        <w:t xml:space="preserve"> is directly west of the Plumpton PSP. It</w:t>
      </w:r>
      <w:r>
        <w:rPr>
          <w:rFonts w:cs="Humnst777 BT"/>
          <w:color w:val="000000"/>
        </w:rPr>
        <w:t xml:space="preserve"> is a future residential precinct and a hub of tourism and agribusiness development. The area includes a number of wineries and </w:t>
      </w:r>
      <w:r w:rsidR="00FD4666">
        <w:rPr>
          <w:rFonts w:cs="Humnst777 BT"/>
          <w:color w:val="000000"/>
        </w:rPr>
        <w:t>function</w:t>
      </w:r>
      <w:r>
        <w:rPr>
          <w:rFonts w:cs="Humnst777 BT"/>
          <w:color w:val="000000"/>
        </w:rPr>
        <w:t xml:space="preserve"> facilities. </w:t>
      </w:r>
      <w:r w:rsidR="002232B2">
        <w:rPr>
          <w:rFonts w:cs="Humnst777 BT"/>
          <w:color w:val="000000"/>
        </w:rPr>
        <w:t>The PSP planning is yet to commence.</w:t>
      </w:r>
    </w:p>
    <w:p w14:paraId="33CD613A" w14:textId="4F5BDD24" w:rsidR="00DE0A60" w:rsidRPr="0065276D" w:rsidRDefault="00DE0A60" w:rsidP="005148FD">
      <w:pPr>
        <w:pStyle w:val="Heading3"/>
      </w:pPr>
      <w:r>
        <w:t>Mt Atkinson and Tarneit Plains Precinct Structure Plan</w:t>
      </w:r>
    </w:p>
    <w:p w14:paraId="3AB5F69E" w14:textId="65DC0752" w:rsidR="00DE09EE" w:rsidRDefault="00D822DD" w:rsidP="00694DD3">
      <w:pPr>
        <w:rPr>
          <w:b/>
          <w:sz w:val="24"/>
          <w:szCs w:val="24"/>
          <w:u w:val="single"/>
        </w:rPr>
      </w:pPr>
      <w:r w:rsidRPr="0084073A">
        <w:rPr>
          <w:rFonts w:cs="Humnst777 BT"/>
          <w:color w:val="000000"/>
        </w:rPr>
        <w:t xml:space="preserve">Mt Atkinson </w:t>
      </w:r>
      <w:r w:rsidR="00B323D2" w:rsidRPr="0084073A">
        <w:rPr>
          <w:rFonts w:cs="Humnst777 BT"/>
          <w:color w:val="000000"/>
        </w:rPr>
        <w:t xml:space="preserve">and Tarneit Plains </w:t>
      </w:r>
      <w:r w:rsidR="0084073A" w:rsidRPr="0084073A">
        <w:rPr>
          <w:rFonts w:cs="Humnst777 BT"/>
          <w:color w:val="000000"/>
        </w:rPr>
        <w:t>PSP</w:t>
      </w:r>
      <w:r w:rsidRPr="0084073A">
        <w:rPr>
          <w:rFonts w:cs="Humnst777 BT"/>
          <w:color w:val="000000"/>
        </w:rPr>
        <w:t xml:space="preserve"> is located directly </w:t>
      </w:r>
      <w:r w:rsidR="00B323D2" w:rsidRPr="0084073A">
        <w:rPr>
          <w:rFonts w:cs="Humnst777 BT"/>
          <w:color w:val="000000"/>
        </w:rPr>
        <w:t xml:space="preserve">south </w:t>
      </w:r>
      <w:r w:rsidRPr="0084073A">
        <w:rPr>
          <w:rFonts w:cs="Humnst777 BT"/>
          <w:color w:val="000000"/>
        </w:rPr>
        <w:t xml:space="preserve">of the </w:t>
      </w:r>
      <w:r w:rsidR="00B323D2" w:rsidRPr="008B038F">
        <w:rPr>
          <w:rFonts w:cs="Humnst777 BT"/>
          <w:color w:val="000000"/>
        </w:rPr>
        <w:t xml:space="preserve">Kororoit PSP </w:t>
      </w:r>
      <w:r w:rsidRPr="008B038F">
        <w:rPr>
          <w:rFonts w:cs="Humnst777 BT"/>
          <w:color w:val="000000"/>
        </w:rPr>
        <w:t xml:space="preserve">area but separated by the </w:t>
      </w:r>
      <w:r w:rsidR="00B323D2" w:rsidRPr="008B038F">
        <w:rPr>
          <w:rFonts w:cs="Humnst777 BT"/>
          <w:color w:val="000000"/>
        </w:rPr>
        <w:t>Western Freeway</w:t>
      </w:r>
      <w:r w:rsidRPr="008B038F">
        <w:rPr>
          <w:rFonts w:cs="Humnst777 BT"/>
          <w:color w:val="000000"/>
        </w:rPr>
        <w:t xml:space="preserve">. The </w:t>
      </w:r>
      <w:r w:rsidR="00B323D2" w:rsidRPr="008B038F">
        <w:rPr>
          <w:rFonts w:cs="Humnst777 BT"/>
          <w:color w:val="000000"/>
        </w:rPr>
        <w:t xml:space="preserve">PSP area </w:t>
      </w:r>
      <w:r w:rsidRPr="008B038F">
        <w:rPr>
          <w:rFonts w:cs="Humnst777 BT"/>
          <w:color w:val="000000"/>
        </w:rPr>
        <w:t xml:space="preserve">will be comprised of </w:t>
      </w:r>
      <w:r w:rsidR="00B323D2" w:rsidRPr="008B038F">
        <w:rPr>
          <w:rFonts w:cs="Humnst777 BT"/>
          <w:color w:val="000000"/>
        </w:rPr>
        <w:t xml:space="preserve">a </w:t>
      </w:r>
      <w:r w:rsidR="00B57603">
        <w:rPr>
          <w:rFonts w:cs="Humnst777 BT"/>
          <w:color w:val="000000"/>
        </w:rPr>
        <w:t xml:space="preserve">specialised </w:t>
      </w:r>
      <w:r w:rsidR="00B323D2" w:rsidRPr="008B038F">
        <w:rPr>
          <w:rFonts w:cs="Humnst777 BT"/>
          <w:color w:val="000000"/>
        </w:rPr>
        <w:t>town centre, significant employment areas (</w:t>
      </w:r>
      <w:r w:rsidRPr="008B038F">
        <w:rPr>
          <w:rFonts w:cs="Humnst777 BT"/>
          <w:color w:val="000000"/>
        </w:rPr>
        <w:t>mixed use</w:t>
      </w:r>
      <w:r w:rsidR="00B323D2" w:rsidRPr="008B038F">
        <w:rPr>
          <w:rFonts w:cs="Humnst777 BT"/>
          <w:color w:val="000000"/>
        </w:rPr>
        <w:t xml:space="preserve">, industrial and business) </w:t>
      </w:r>
      <w:r w:rsidR="00666A3D" w:rsidRPr="008B038F">
        <w:rPr>
          <w:rFonts w:cs="Humnst777 BT"/>
          <w:color w:val="000000"/>
        </w:rPr>
        <w:t xml:space="preserve">and </w:t>
      </w:r>
      <w:r w:rsidR="00B323D2" w:rsidRPr="008B038F">
        <w:rPr>
          <w:rFonts w:cs="Humnst777 BT"/>
          <w:color w:val="000000"/>
        </w:rPr>
        <w:t xml:space="preserve">residential </w:t>
      </w:r>
      <w:r w:rsidR="00666A3D" w:rsidRPr="008B038F">
        <w:rPr>
          <w:rFonts w:cs="Humnst777 BT"/>
          <w:color w:val="000000"/>
        </w:rPr>
        <w:t>land.</w:t>
      </w:r>
      <w:r w:rsidR="0084073A" w:rsidRPr="008B038F">
        <w:rPr>
          <w:rFonts w:cs="Humnst777 BT"/>
          <w:color w:val="000000"/>
        </w:rPr>
        <w:t xml:space="preserve"> </w:t>
      </w:r>
      <w:r w:rsidR="00B57603">
        <w:t>It is anticipated to have over 6,700 new homes</w:t>
      </w:r>
      <w:r w:rsidR="005A13F5">
        <w:t xml:space="preserve"> for approximately 19,700</w:t>
      </w:r>
      <w:r w:rsidR="00B57603">
        <w:t xml:space="preserve"> and opportunities for 18,000 jobs</w:t>
      </w:r>
      <w:r w:rsidR="0084073A" w:rsidRPr="00694DD3">
        <w:t>.</w:t>
      </w:r>
    </w:p>
    <w:p w14:paraId="469D7194" w14:textId="123F96C2" w:rsidR="00DE09EE" w:rsidRDefault="00DE09EE" w:rsidP="005148FD">
      <w:pPr>
        <w:pStyle w:val="Heading3"/>
      </w:pPr>
      <w:r>
        <w:t>Warrawee</w:t>
      </w:r>
    </w:p>
    <w:p w14:paraId="7989FE16" w14:textId="674F0140" w:rsidR="00694DD3" w:rsidRDefault="00DE09EE" w:rsidP="00694DD3">
      <w:r>
        <w:t xml:space="preserve">Warrawee </w:t>
      </w:r>
      <w:r w:rsidR="00B57603">
        <w:t>PSP is a</w:t>
      </w:r>
      <w:r>
        <w:t xml:space="preserve"> future employment precinct </w:t>
      </w:r>
      <w:r w:rsidR="00B57603">
        <w:t xml:space="preserve">including </w:t>
      </w:r>
      <w:r>
        <w:t>an area of significant grassland values.</w:t>
      </w:r>
      <w:r w:rsidR="002232B2">
        <w:t xml:space="preserve"> </w:t>
      </w:r>
      <w:r w:rsidR="002232B2">
        <w:rPr>
          <w:rFonts w:cs="Humnst777 BT"/>
          <w:color w:val="000000"/>
        </w:rPr>
        <w:t>The PSP planning is yet to commence.</w:t>
      </w:r>
      <w:r>
        <w:t xml:space="preserve"> </w:t>
      </w:r>
    </w:p>
    <w:p w14:paraId="2AD2FDBD" w14:textId="2C873A70" w:rsidR="00694DD3" w:rsidRDefault="00DE0A60" w:rsidP="005148FD">
      <w:pPr>
        <w:pStyle w:val="Heading3"/>
      </w:pPr>
      <w:r>
        <w:t>Taylors Hill West Precinct Structure Plan</w:t>
      </w:r>
      <w:r w:rsidR="00DE09EE">
        <w:t xml:space="preserve"> </w:t>
      </w:r>
    </w:p>
    <w:p w14:paraId="5C33024C" w14:textId="125A1376" w:rsidR="00694DD3" w:rsidRDefault="00B748D1" w:rsidP="00694DD3">
      <w:r w:rsidRPr="008B038F">
        <w:t>Taylors Hill West is located east of the Plumpton PSP and was approved in May 2010</w:t>
      </w:r>
      <w:r w:rsidR="0084073A" w:rsidRPr="008B038F">
        <w:t xml:space="preserve"> and will accommodate a future population of </w:t>
      </w:r>
      <w:r w:rsidR="00AC4BBF">
        <w:t xml:space="preserve">over </w:t>
      </w:r>
      <w:r w:rsidR="0084073A" w:rsidRPr="008B038F">
        <w:t>6,7</w:t>
      </w:r>
      <w:r w:rsidR="00AC4BBF">
        <w:t>0</w:t>
      </w:r>
      <w:r w:rsidR="0084073A" w:rsidRPr="008B038F">
        <w:t>0 people</w:t>
      </w:r>
      <w:r w:rsidRPr="008B038F">
        <w:t>.</w:t>
      </w:r>
      <w:r w:rsidR="008B038F" w:rsidRPr="00DE09EE">
        <w:t xml:space="preserve"> A number of housing estates are in the early stages of </w:t>
      </w:r>
      <w:r w:rsidR="008B038F" w:rsidRPr="00694DD3">
        <w:rPr>
          <w:rFonts w:cs="Arial"/>
          <w:color w:val="000000"/>
          <w:shd w:val="clear" w:color="auto" w:fill="FFFFFF"/>
        </w:rPr>
        <w:t>construction of the subdivision or</w:t>
      </w:r>
      <w:r w:rsidR="008B038F" w:rsidRPr="008B038F">
        <w:t xml:space="preserve"> nearing completi</w:t>
      </w:r>
      <w:r w:rsidR="00AC4BBF">
        <w:t>on</w:t>
      </w:r>
      <w:r w:rsidR="008B038F" w:rsidRPr="008B038F">
        <w:t>. They include A</w:t>
      </w:r>
      <w:r w:rsidR="008B038F" w:rsidRPr="00694DD3">
        <w:rPr>
          <w:rFonts w:eastAsia="Times New Roman" w:cs="Arial"/>
          <w:color w:val="363636"/>
          <w:lang w:eastAsia="en-AU"/>
        </w:rPr>
        <w:t>ria, Aspire, Encore, Infinity, Orbis Green, Springlands, The Point, Sienna and Auburn</w:t>
      </w:r>
      <w:r w:rsidR="008B038F">
        <w:rPr>
          <w:rFonts w:eastAsia="Times New Roman" w:cs="Arial"/>
          <w:color w:val="363636"/>
          <w:lang w:eastAsia="en-AU"/>
        </w:rPr>
        <w:t>. The</w:t>
      </w:r>
      <w:r w:rsidR="008B038F">
        <w:t xml:space="preserve"> </w:t>
      </w:r>
      <w:r>
        <w:t xml:space="preserve">compact residential community of Taylors Hill West integrates with and complements Taylors Hill and Caroline Springs. </w:t>
      </w:r>
    </w:p>
    <w:p w14:paraId="4A620EF3" w14:textId="259CBCA6" w:rsidR="00694DD3" w:rsidRDefault="00694DD3" w:rsidP="005148FD">
      <w:pPr>
        <w:pStyle w:val="Heading3"/>
      </w:pPr>
      <w:r w:rsidRPr="00694DD3">
        <w:t>Caroline Springs and Taylors Hill</w:t>
      </w:r>
    </w:p>
    <w:p w14:paraId="2130F153" w14:textId="6610AAF2" w:rsidR="005148FD" w:rsidRPr="009060B6" w:rsidRDefault="008B038F" w:rsidP="00F33AFA">
      <w:pPr>
        <w:rPr>
          <w:i/>
        </w:rPr>
      </w:pPr>
      <w:r w:rsidRPr="00694DD3">
        <w:t xml:space="preserve">Taylors Hill and Caroline Springs were master planned communities that are close to capacity. Development for Caroline Springs commenced in the late 1990s on Greenfield land with the construction of the Delfin Caroline Springs estate. Growth occurred rapidly from 1999 and between 2001 and 2006 the population quadrupled. Development is nearing completion and has reached a population of 24,025. Taylors Hill followed a similar pattern to Caroline Springs with development </w:t>
      </w:r>
      <w:r w:rsidRPr="00694DD3">
        <w:lastRenderedPageBreak/>
        <w:t>dating primarily from the late 1990s. Rapid growth took place between 2001 and 2011 and growth is expected to continue but at a slower rate. Taylors Hill has a current population of 11,769 people.</w:t>
      </w:r>
    </w:p>
    <w:p w14:paraId="47BC48E9" w14:textId="2CD137EC" w:rsidR="00282A4A" w:rsidRPr="0065276D" w:rsidRDefault="00282A4A" w:rsidP="005148FD">
      <w:pPr>
        <w:pStyle w:val="Heading3"/>
      </w:pPr>
      <w:r>
        <w:t>Western Plains North Green Wedge</w:t>
      </w:r>
    </w:p>
    <w:p w14:paraId="43F61B47" w14:textId="1A310AF1" w:rsidR="00922EB9" w:rsidRDefault="00AC6B4C" w:rsidP="00B05694">
      <w:r>
        <w:t>To the north of the Melton Highway the land is part of the Western Plains North Green Wedge. The land use is generally low intensity agricultural</w:t>
      </w:r>
      <w:r w:rsidR="00922EB9">
        <w:t>/</w:t>
      </w:r>
      <w:r>
        <w:t xml:space="preserve">rural and the landscape is flat and extensively cleared. The land is also affected in part by the Melbourne Airport Environs </w:t>
      </w:r>
      <w:r w:rsidR="00922EB9">
        <w:t>Overlay</w:t>
      </w:r>
      <w:r>
        <w:t xml:space="preserve">. </w:t>
      </w:r>
      <w:r w:rsidR="00106DB5">
        <w:t>It is important that a</w:t>
      </w:r>
      <w:r w:rsidR="00922EB9">
        <w:t xml:space="preserve">s part of the urban development of the Plumpton PSP area, appropriate interfaces between the future urban areas and the Green Wedge </w:t>
      </w:r>
      <w:r w:rsidR="00106DB5">
        <w:t>are considered.</w:t>
      </w:r>
      <w:r w:rsidR="00922EB9">
        <w:t xml:space="preserve"> </w:t>
      </w:r>
      <w:r w:rsidR="00F54E0E">
        <w:t xml:space="preserve">The Melton Highway </w:t>
      </w:r>
      <w:r w:rsidR="00AC4BBF">
        <w:t xml:space="preserve">is </w:t>
      </w:r>
      <w:r w:rsidR="00F54E0E">
        <w:t xml:space="preserve">both an important link between Melton and Water Garden town centres and </w:t>
      </w:r>
      <w:r w:rsidR="00AC4BBF">
        <w:t xml:space="preserve">is proposed to provide </w:t>
      </w:r>
      <w:r w:rsidR="00F54E0E">
        <w:t xml:space="preserve">a </w:t>
      </w:r>
      <w:r w:rsidR="00AC4BBF">
        <w:t xml:space="preserve">clear </w:t>
      </w:r>
      <w:r w:rsidR="00F54E0E">
        <w:t>interface between metropolitan Melbourne and the surrounding regional/rural area</w:t>
      </w:r>
      <w:r w:rsidR="00AC4BBF">
        <w:t xml:space="preserve"> through future extensive planting along the northern side</w:t>
      </w:r>
      <w:r w:rsidR="00F54E0E">
        <w:t xml:space="preserve">. This will include retaining existing native trees where possible </w:t>
      </w:r>
      <w:r w:rsidR="00106DB5">
        <w:t xml:space="preserve">on the northern side of the road reserve </w:t>
      </w:r>
      <w:r w:rsidR="00F54E0E">
        <w:t xml:space="preserve">plus additional </w:t>
      </w:r>
      <w:r w:rsidR="00AC4BBF">
        <w:t>t</w:t>
      </w:r>
      <w:r w:rsidR="00F54E0E">
        <w:t>ree planting</w:t>
      </w:r>
      <w:r w:rsidR="00AC4BBF">
        <w:t xml:space="preserve"> and retention of grasslands where relevant</w:t>
      </w:r>
      <w:r w:rsidR="00F54E0E">
        <w:t xml:space="preserve">. </w:t>
      </w:r>
    </w:p>
    <w:p w14:paraId="2477BAF7" w14:textId="77777777" w:rsidR="00DB40C3" w:rsidRDefault="00DB40C3">
      <w:pPr>
        <w:rPr>
          <w:b/>
          <w:sz w:val="32"/>
          <w:szCs w:val="32"/>
          <w:u w:val="single"/>
        </w:rPr>
      </w:pPr>
    </w:p>
    <w:p w14:paraId="204C57E5" w14:textId="77777777" w:rsidR="00DB40C3" w:rsidRDefault="00DB40C3">
      <w:pPr>
        <w:rPr>
          <w:b/>
          <w:sz w:val="32"/>
          <w:szCs w:val="32"/>
          <w:u w:val="single"/>
        </w:rPr>
      </w:pPr>
    </w:p>
    <w:p w14:paraId="2BD4AE94" w14:textId="77777777" w:rsidR="00DB40C3" w:rsidRDefault="00DB40C3">
      <w:pPr>
        <w:rPr>
          <w:b/>
          <w:sz w:val="32"/>
          <w:szCs w:val="32"/>
          <w:u w:val="single"/>
        </w:rPr>
      </w:pPr>
    </w:p>
    <w:p w14:paraId="193A3B0F" w14:textId="77777777" w:rsidR="00DB40C3" w:rsidRDefault="00DB40C3">
      <w:pPr>
        <w:rPr>
          <w:b/>
          <w:sz w:val="32"/>
          <w:szCs w:val="32"/>
          <w:u w:val="single"/>
        </w:rPr>
      </w:pPr>
    </w:p>
    <w:p w14:paraId="69F87960" w14:textId="77777777" w:rsidR="00DB40C3" w:rsidRDefault="00DB40C3">
      <w:pPr>
        <w:rPr>
          <w:b/>
          <w:sz w:val="32"/>
          <w:szCs w:val="32"/>
          <w:u w:val="single"/>
        </w:rPr>
      </w:pPr>
    </w:p>
    <w:p w14:paraId="7C554A4A" w14:textId="77777777" w:rsidR="00DB40C3" w:rsidRDefault="00DB40C3">
      <w:pPr>
        <w:rPr>
          <w:b/>
          <w:sz w:val="32"/>
          <w:szCs w:val="32"/>
          <w:u w:val="single"/>
        </w:rPr>
      </w:pPr>
    </w:p>
    <w:p w14:paraId="6F0FE0BB" w14:textId="77777777" w:rsidR="00DB40C3" w:rsidRDefault="00DB40C3">
      <w:pPr>
        <w:rPr>
          <w:b/>
          <w:sz w:val="32"/>
          <w:szCs w:val="32"/>
          <w:u w:val="single"/>
        </w:rPr>
      </w:pPr>
    </w:p>
    <w:p w14:paraId="4F2D5CD8" w14:textId="77777777" w:rsidR="00DB40C3" w:rsidRDefault="00DB40C3">
      <w:pPr>
        <w:rPr>
          <w:b/>
          <w:sz w:val="32"/>
          <w:szCs w:val="32"/>
          <w:u w:val="single"/>
        </w:rPr>
      </w:pPr>
    </w:p>
    <w:p w14:paraId="1A4FAE80" w14:textId="77777777" w:rsidR="00DB40C3" w:rsidRDefault="00DB40C3">
      <w:pPr>
        <w:rPr>
          <w:b/>
          <w:sz w:val="32"/>
          <w:szCs w:val="32"/>
          <w:u w:val="single"/>
        </w:rPr>
      </w:pPr>
    </w:p>
    <w:p w14:paraId="7DE62AC7" w14:textId="77777777" w:rsidR="00DB40C3" w:rsidRDefault="00DB40C3">
      <w:pPr>
        <w:rPr>
          <w:b/>
          <w:sz w:val="32"/>
          <w:szCs w:val="32"/>
          <w:u w:val="single"/>
        </w:rPr>
      </w:pPr>
    </w:p>
    <w:p w14:paraId="02042309" w14:textId="77777777" w:rsidR="00DB40C3" w:rsidRDefault="00DB40C3">
      <w:pPr>
        <w:rPr>
          <w:b/>
          <w:sz w:val="32"/>
          <w:szCs w:val="32"/>
          <w:u w:val="single"/>
        </w:rPr>
      </w:pPr>
    </w:p>
    <w:p w14:paraId="73C0C4CB" w14:textId="77777777" w:rsidR="00DB40C3" w:rsidRDefault="00DB40C3">
      <w:pPr>
        <w:rPr>
          <w:b/>
          <w:sz w:val="32"/>
          <w:szCs w:val="32"/>
          <w:u w:val="single"/>
        </w:rPr>
      </w:pPr>
    </w:p>
    <w:p w14:paraId="454A8640" w14:textId="77777777" w:rsidR="00DB40C3" w:rsidRDefault="00DB40C3">
      <w:pPr>
        <w:rPr>
          <w:b/>
          <w:sz w:val="32"/>
          <w:szCs w:val="32"/>
          <w:u w:val="single"/>
        </w:rPr>
      </w:pPr>
    </w:p>
    <w:p w14:paraId="570D2263" w14:textId="77777777" w:rsidR="00DB40C3" w:rsidRDefault="00DB40C3">
      <w:pPr>
        <w:rPr>
          <w:b/>
          <w:sz w:val="32"/>
          <w:szCs w:val="32"/>
          <w:u w:val="single"/>
        </w:rPr>
      </w:pPr>
    </w:p>
    <w:p w14:paraId="2DED0157" w14:textId="77777777" w:rsidR="00DB40C3" w:rsidRDefault="00DB40C3">
      <w:pPr>
        <w:rPr>
          <w:b/>
          <w:sz w:val="32"/>
          <w:szCs w:val="32"/>
          <w:u w:val="single"/>
        </w:rPr>
      </w:pPr>
    </w:p>
    <w:p w14:paraId="7859241E" w14:textId="77777777" w:rsidR="00DB40C3" w:rsidRDefault="00DB40C3">
      <w:pPr>
        <w:rPr>
          <w:b/>
          <w:sz w:val="32"/>
          <w:szCs w:val="32"/>
          <w:u w:val="single"/>
        </w:rPr>
      </w:pPr>
    </w:p>
    <w:p w14:paraId="31008912" w14:textId="77777777" w:rsidR="005148FD" w:rsidRDefault="005148FD">
      <w:pPr>
        <w:rPr>
          <w:b/>
          <w:sz w:val="32"/>
          <w:szCs w:val="28"/>
          <w:u w:val="single"/>
        </w:rPr>
      </w:pPr>
      <w:r>
        <w:rPr>
          <w:b/>
          <w:sz w:val="32"/>
          <w:szCs w:val="28"/>
          <w:u w:val="single"/>
        </w:rPr>
        <w:br w:type="page"/>
      </w:r>
    </w:p>
    <w:p w14:paraId="0ECB97F9" w14:textId="165629A6" w:rsidR="00DB40C3" w:rsidRPr="005148FD" w:rsidRDefault="00DB40C3" w:rsidP="00187D4E">
      <w:pPr>
        <w:pStyle w:val="Heading1"/>
        <w:numPr>
          <w:ilvl w:val="0"/>
          <w:numId w:val="23"/>
        </w:numPr>
        <w:rPr>
          <w:b/>
        </w:rPr>
      </w:pPr>
      <w:r w:rsidRPr="005148FD">
        <w:rPr>
          <w:b/>
        </w:rPr>
        <w:lastRenderedPageBreak/>
        <w:t>Local Context</w:t>
      </w:r>
    </w:p>
    <w:p w14:paraId="4130F19A" w14:textId="77777777" w:rsidR="00F33AFA" w:rsidRDefault="00F33AFA" w:rsidP="00F33AFA">
      <w:r>
        <w:t xml:space="preserve">The geographic region is the Werribee River Basin. The Werribee River Basin is situated within the greater geological feature of the Western District Plans or Volcanic Plains. </w:t>
      </w:r>
    </w:p>
    <w:p w14:paraId="7902436E" w14:textId="5565EE55" w:rsidR="00E964CA" w:rsidRDefault="00E964CA" w:rsidP="00E964CA">
      <w:r>
        <w:t>The majority of land is currently zoned Urban Growth Zone (UGZ) with Rural Conservation Zone (RCZ) applied in the south</w:t>
      </w:r>
      <w:r w:rsidR="00E42AF5">
        <w:t>-east</w:t>
      </w:r>
      <w:r>
        <w:t xml:space="preserve"> area of the Kororoit precinct</w:t>
      </w:r>
      <w:r w:rsidR="00E42AF5">
        <w:t>, Farm Zone (FZ) along the powerlines easement</w:t>
      </w:r>
      <w:r>
        <w:t xml:space="preserve"> and Urban Floodway Zone (UFZ) applied along the Kororoit Creek.</w:t>
      </w:r>
    </w:p>
    <w:p w14:paraId="66E1C393" w14:textId="2CDEC414" w:rsidR="00512F69" w:rsidRPr="00B748D1" w:rsidRDefault="00B748D1" w:rsidP="00B748D1">
      <w:r w:rsidRPr="00F2741A">
        <w:t>Plumpton and Kororoit comprise a range of pastoral and agricultural land use</w:t>
      </w:r>
      <w:r w:rsidR="00AC4BBF">
        <w:t>s</w:t>
      </w:r>
      <w:r w:rsidRPr="00F2741A">
        <w:t xml:space="preserve">, primarily used for grazing. </w:t>
      </w:r>
      <w:r w:rsidR="00512F69">
        <w:rPr>
          <w:rFonts w:cs="Arial"/>
          <w:bCs/>
        </w:rPr>
        <w:t>Agricultural activities have significantly reduced</w:t>
      </w:r>
      <w:r w:rsidR="00A13B0C" w:rsidRPr="006D386D">
        <w:rPr>
          <w:rFonts w:cs="Arial"/>
          <w:bCs/>
        </w:rPr>
        <w:t xml:space="preserve"> the quantity and quality of the native vegetation</w:t>
      </w:r>
      <w:r w:rsidR="00E42AF5">
        <w:rPr>
          <w:rFonts w:cs="Arial"/>
          <w:bCs/>
        </w:rPr>
        <w:t>, however s</w:t>
      </w:r>
      <w:r w:rsidR="00A13B0C" w:rsidRPr="006D386D">
        <w:rPr>
          <w:rFonts w:cs="Arial"/>
          <w:bCs/>
        </w:rPr>
        <w:t xml:space="preserve">ignificant native grasses and ephemeral wetlands </w:t>
      </w:r>
      <w:r w:rsidR="00E42AF5">
        <w:rPr>
          <w:rFonts w:cs="Arial"/>
          <w:bCs/>
        </w:rPr>
        <w:t xml:space="preserve">still </w:t>
      </w:r>
      <w:r w:rsidR="00A13B0C" w:rsidRPr="006D386D">
        <w:rPr>
          <w:rFonts w:cs="Arial"/>
          <w:bCs/>
        </w:rPr>
        <w:t>remain scattered throug</w:t>
      </w:r>
      <w:r w:rsidR="00512F69">
        <w:rPr>
          <w:rFonts w:cs="Arial"/>
          <w:bCs/>
        </w:rPr>
        <w:t xml:space="preserve">hout the precinct. </w:t>
      </w:r>
      <w:r w:rsidR="009130DE">
        <w:rPr>
          <w:rFonts w:cs="Arial"/>
          <w:bCs/>
        </w:rPr>
        <w:t>Furthermore, land use includes places of worship, as identified on Plan 2 in the Kororoit PSP.</w:t>
      </w:r>
    </w:p>
    <w:p w14:paraId="7E18DEE7" w14:textId="542C0171" w:rsidR="00512F69" w:rsidRDefault="00512F69" w:rsidP="00512F69">
      <w:pPr>
        <w:spacing w:before="120" w:after="120"/>
        <w:rPr>
          <w:rFonts w:cs="Arial"/>
          <w:bCs/>
        </w:rPr>
      </w:pPr>
      <w:r>
        <w:rPr>
          <w:rFonts w:cs="Arial"/>
          <w:bCs/>
        </w:rPr>
        <w:t>There is</w:t>
      </w:r>
      <w:r w:rsidR="00A13B0C" w:rsidRPr="006D386D">
        <w:rPr>
          <w:rFonts w:cs="Arial"/>
          <w:bCs/>
        </w:rPr>
        <w:t xml:space="preserve"> a defined north-south waterway running through the precinct connecting into the Kororoit Creek within the Kororoit PSP. This waterway is one of the key tributaries of the Kororoit Creek and </w:t>
      </w:r>
      <w:r w:rsidR="00AD3629" w:rsidRPr="006D386D">
        <w:rPr>
          <w:rFonts w:cs="Arial"/>
          <w:bCs/>
        </w:rPr>
        <w:t>ha</w:t>
      </w:r>
      <w:r w:rsidR="00AD3629">
        <w:rPr>
          <w:rFonts w:cs="Arial"/>
          <w:bCs/>
        </w:rPr>
        <w:t>s</w:t>
      </w:r>
      <w:r w:rsidR="00AD3629" w:rsidRPr="006D386D">
        <w:rPr>
          <w:rFonts w:cs="Arial"/>
          <w:bCs/>
        </w:rPr>
        <w:t xml:space="preserve"> </w:t>
      </w:r>
      <w:r w:rsidR="00A13B0C" w:rsidRPr="006D386D">
        <w:rPr>
          <w:rFonts w:cs="Arial"/>
          <w:bCs/>
        </w:rPr>
        <w:t>some significant heritage and hydrological value.</w:t>
      </w:r>
    </w:p>
    <w:p w14:paraId="1B2C3177" w14:textId="667D8023" w:rsidR="00512F69" w:rsidRPr="00512F69" w:rsidRDefault="00512F69" w:rsidP="00512F69">
      <w:pPr>
        <w:spacing w:before="120" w:after="120"/>
        <w:rPr>
          <w:rFonts w:ascii="Calibri" w:hAnsi="Calibri" w:cs="Calibri"/>
        </w:rPr>
      </w:pPr>
      <w:r w:rsidRPr="00512F69">
        <w:rPr>
          <w:rFonts w:ascii="Calibri" w:hAnsi="Calibri" w:cs="Calibri"/>
        </w:rPr>
        <w:t>Plumpton and Kororoit are well placed to deliver large new development projects that provide a diversity of</w:t>
      </w:r>
      <w:r w:rsidRPr="00512F69">
        <w:rPr>
          <w:rFonts w:cs="Arial"/>
          <w:bCs/>
        </w:rPr>
        <w:t xml:space="preserve"> </w:t>
      </w:r>
      <w:r w:rsidRPr="00512F69">
        <w:rPr>
          <w:rFonts w:ascii="Calibri" w:hAnsi="Calibri" w:cs="Calibri"/>
        </w:rPr>
        <w:t>housing options and employment opportunities. At full development, Plumpton and Kororoit will accommodate in excess of</w:t>
      </w:r>
      <w:r w:rsidRPr="00512F69">
        <w:rPr>
          <w:rFonts w:cs="Arial"/>
          <w:bCs/>
        </w:rPr>
        <w:t xml:space="preserve"> </w:t>
      </w:r>
      <w:r w:rsidR="00A00E88">
        <w:rPr>
          <w:rFonts w:ascii="Calibri" w:hAnsi="Calibri" w:cs="Calibri"/>
        </w:rPr>
        <w:t>19,800</w:t>
      </w:r>
      <w:r w:rsidRPr="00512F69">
        <w:rPr>
          <w:rFonts w:ascii="Calibri" w:hAnsi="Calibri" w:cs="Calibri"/>
        </w:rPr>
        <w:t xml:space="preserve"> dwellings based upon an average density of 16.5 lots per hectare. It will be of a scale in which local and higher level facilities can be delivered to service new communities and will include Plumpton Major Town Centre.</w:t>
      </w:r>
    </w:p>
    <w:p w14:paraId="5DFE7962" w14:textId="360B2A32" w:rsidR="00B0758B" w:rsidRDefault="00512F69" w:rsidP="00512F69">
      <w:pPr>
        <w:spacing w:before="120" w:after="120"/>
        <w:rPr>
          <w:rFonts w:cs="Arial"/>
        </w:rPr>
      </w:pPr>
      <w:r w:rsidRPr="00512F69">
        <w:rPr>
          <w:rFonts w:cs="Arial"/>
        </w:rPr>
        <w:t>Given its proximity and access to major arterial roads, Plumpton will be well connected to surrounding facilities and public transport options with direct frontage to the Melton Highway</w:t>
      </w:r>
      <w:r w:rsidR="00AD3629">
        <w:rPr>
          <w:rFonts w:cs="Arial"/>
        </w:rPr>
        <w:t xml:space="preserve">; on </w:t>
      </w:r>
      <w:r w:rsidRPr="00512F69">
        <w:rPr>
          <w:rFonts w:cs="Arial"/>
        </w:rPr>
        <w:t>the Principal Public Transport Network along Tarleton Road extension</w:t>
      </w:r>
      <w:r w:rsidR="00AD3629">
        <w:rPr>
          <w:rFonts w:cs="Arial"/>
        </w:rPr>
        <w:t xml:space="preserve"> and Hopkins Road; and with connections to </w:t>
      </w:r>
      <w:r w:rsidR="00AD3629" w:rsidRPr="00512F69">
        <w:rPr>
          <w:rFonts w:cs="Arial"/>
        </w:rPr>
        <w:t>Caroline Springs train station and</w:t>
      </w:r>
      <w:r w:rsidR="00AD3629">
        <w:rPr>
          <w:rFonts w:cs="Arial"/>
        </w:rPr>
        <w:t xml:space="preserve"> a possible future station at Mt Atkinson</w:t>
      </w:r>
      <w:r w:rsidRPr="00512F69">
        <w:rPr>
          <w:rFonts w:cs="Arial"/>
        </w:rPr>
        <w:t xml:space="preserve">. </w:t>
      </w:r>
    </w:p>
    <w:p w14:paraId="4479927D" w14:textId="06F5A699" w:rsidR="00522480" w:rsidRDefault="00512F69" w:rsidP="00512F69">
      <w:pPr>
        <w:spacing w:before="120" w:after="120"/>
        <w:rPr>
          <w:rFonts w:ascii="Calibri" w:hAnsi="Calibri" w:cs="Calibri"/>
        </w:rPr>
      </w:pPr>
      <w:r w:rsidRPr="00512F69">
        <w:rPr>
          <w:rFonts w:cs="Arial"/>
        </w:rPr>
        <w:t>Kororoit is located centrally within the West Growth Corridor, with direct access to the Western Highway via the existing Hopkins Road interchange</w:t>
      </w:r>
      <w:r w:rsidR="00AD3629">
        <w:rPr>
          <w:rFonts w:cs="Arial"/>
        </w:rPr>
        <w:t>, and with connections to th</w:t>
      </w:r>
      <w:r w:rsidRPr="00512F69">
        <w:rPr>
          <w:rFonts w:cs="Arial"/>
        </w:rPr>
        <w:t>e Caroline Springs train station</w:t>
      </w:r>
      <w:r w:rsidR="00AD3629">
        <w:rPr>
          <w:rFonts w:cs="Arial"/>
        </w:rPr>
        <w:t xml:space="preserve"> and possible future Mt Atkinson station</w:t>
      </w:r>
      <w:r w:rsidRPr="00512F69">
        <w:rPr>
          <w:rFonts w:cs="Arial"/>
        </w:rPr>
        <w:t>.</w:t>
      </w:r>
      <w:r>
        <w:rPr>
          <w:rFonts w:cs="Arial"/>
        </w:rPr>
        <w:t xml:space="preserve"> </w:t>
      </w:r>
      <w:r w:rsidRPr="00512F69">
        <w:rPr>
          <w:rFonts w:ascii="Calibri" w:hAnsi="Calibri" w:cs="Calibri"/>
        </w:rPr>
        <w:t xml:space="preserve">The location is also well positioned to capitalise on future significant road infrastructure projects, specifically the Outer Metropolitan Ring </w:t>
      </w:r>
      <w:r w:rsidR="00B0758B">
        <w:rPr>
          <w:rFonts w:ascii="Calibri" w:hAnsi="Calibri" w:cs="Calibri"/>
        </w:rPr>
        <w:t>r</w:t>
      </w:r>
      <w:r w:rsidR="00B0758B" w:rsidRPr="00512F69">
        <w:rPr>
          <w:rFonts w:ascii="Calibri" w:hAnsi="Calibri" w:cs="Calibri"/>
        </w:rPr>
        <w:t xml:space="preserve">oad </w:t>
      </w:r>
      <w:r w:rsidRPr="00512F69">
        <w:rPr>
          <w:rFonts w:ascii="Calibri" w:hAnsi="Calibri" w:cs="Calibri"/>
        </w:rPr>
        <w:t xml:space="preserve">(OMR) </w:t>
      </w:r>
      <w:r w:rsidR="00C70641">
        <w:rPr>
          <w:rFonts w:ascii="Calibri" w:hAnsi="Calibri" w:cs="Calibri"/>
        </w:rPr>
        <w:t xml:space="preserve">and rail </w:t>
      </w:r>
      <w:r w:rsidRPr="00512F69">
        <w:rPr>
          <w:rFonts w:ascii="Calibri" w:hAnsi="Calibri" w:cs="Calibri"/>
        </w:rPr>
        <w:t>project which will enable unparalleled north-south connection to the wider metropolitan area and the rest of the state.</w:t>
      </w:r>
    </w:p>
    <w:p w14:paraId="6AF55F68" w14:textId="491A4AA2" w:rsidR="00522480" w:rsidRPr="000C7A6F" w:rsidRDefault="005148FD" w:rsidP="005148FD">
      <w:pPr>
        <w:pStyle w:val="Heading2"/>
      </w:pPr>
      <w:r>
        <w:t xml:space="preserve">3.1 </w:t>
      </w:r>
      <w:r w:rsidR="00522480" w:rsidRPr="000C7A6F">
        <w:t>PSP size, lot size and ownership pattern</w:t>
      </w:r>
    </w:p>
    <w:p w14:paraId="409EC893" w14:textId="53A2531D" w:rsidR="005E785E" w:rsidRDefault="00EE71E5" w:rsidP="00917A97">
      <w:r>
        <w:t>The Plumpton PSP applies to approximately 1,015 of land and the Kororoit PSP area</w:t>
      </w:r>
      <w:r w:rsidR="005E785E">
        <w:t xml:space="preserve"> (including Kororoit Part 2)</w:t>
      </w:r>
      <w:r>
        <w:t xml:space="preserve"> comprises approximately 1,181 hectares of land.</w:t>
      </w:r>
      <w:r w:rsidR="00C70641">
        <w:t xml:space="preserve"> The Kororoit PSP </w:t>
      </w:r>
      <w:r w:rsidR="005E785E">
        <w:t xml:space="preserve">excluding Kororoit Part 2 is </w:t>
      </w:r>
      <w:r w:rsidR="00C70641">
        <w:t xml:space="preserve">975 hectares </w:t>
      </w:r>
      <w:r w:rsidR="005E785E">
        <w:t>in size.</w:t>
      </w:r>
    </w:p>
    <w:p w14:paraId="3C377EA0" w14:textId="08A737DE" w:rsidR="00F2741A" w:rsidRDefault="005E0F46" w:rsidP="00B00D46">
      <w:r>
        <w:t xml:space="preserve">There are 53 individually owned properties </w:t>
      </w:r>
      <w:r w:rsidR="0024670A">
        <w:t xml:space="preserve">in Plumpton </w:t>
      </w:r>
      <w:r>
        <w:t>and 8</w:t>
      </w:r>
      <w:r w:rsidR="0024670A">
        <w:t>3</w:t>
      </w:r>
      <w:r>
        <w:t xml:space="preserve"> in Kororoit</w:t>
      </w:r>
      <w:r w:rsidR="0024670A">
        <w:t xml:space="preserve"> as well as a number of parcels vested as crown reserves. Lot sizes across the two </w:t>
      </w:r>
      <w:r w:rsidR="0024670A" w:rsidRPr="00F46F68">
        <w:t xml:space="preserve">precincts range from </w:t>
      </w:r>
      <w:r w:rsidR="00F46F68" w:rsidRPr="00F46F68">
        <w:t>1 hectare</w:t>
      </w:r>
      <w:r w:rsidR="0024670A" w:rsidRPr="00F46F68">
        <w:t xml:space="preserve"> to </w:t>
      </w:r>
      <w:r w:rsidR="00F46F68" w:rsidRPr="00F46F68">
        <w:t>110</w:t>
      </w:r>
      <w:r w:rsidR="0024670A" w:rsidRPr="00F46F68">
        <w:t xml:space="preserve"> hectares</w:t>
      </w:r>
      <w:r w:rsidR="00F46F68" w:rsidRPr="00F46F68">
        <w:t>; 14 hectares is the average lot size in Plumpton and 12 hectares is the average</w:t>
      </w:r>
      <w:r w:rsidR="00F46F68">
        <w:t xml:space="preserve"> lot site in Kororoit</w:t>
      </w:r>
      <w:r w:rsidR="0024670A">
        <w:t xml:space="preserve">. Most parcels have one house on </w:t>
      </w:r>
      <w:r w:rsidR="00B0758B">
        <w:t xml:space="preserve">the </w:t>
      </w:r>
      <w:r w:rsidR="0024670A">
        <w:t>site.</w:t>
      </w:r>
    </w:p>
    <w:p w14:paraId="48A2AEF9" w14:textId="196A0DB8" w:rsidR="00990357" w:rsidRDefault="00ED79C2" w:rsidP="00935393">
      <w:r>
        <w:t xml:space="preserve">Landholdings are generally </w:t>
      </w:r>
      <w:r w:rsidR="0031501D">
        <w:t xml:space="preserve">medium to </w:t>
      </w:r>
      <w:r>
        <w:t xml:space="preserve">large, corresponding with the leading use of the land for agricultural purposes, hobby farms and rural residential subdivision. </w:t>
      </w:r>
      <w:r w:rsidR="0031501D">
        <w:t xml:space="preserve">Parcels </w:t>
      </w:r>
      <w:r>
        <w:t>towards Neale Road are generally smaller and currently provide rural lifestyle lots.</w:t>
      </w:r>
      <w:r w:rsidR="00935393">
        <w:t xml:space="preserve"> </w:t>
      </w:r>
    </w:p>
    <w:p w14:paraId="555F5012" w14:textId="77777777" w:rsidR="001C78CF" w:rsidRDefault="001C78CF" w:rsidP="00935393"/>
    <w:p w14:paraId="241F62FF" w14:textId="1B4FAC06" w:rsidR="0032418A" w:rsidRPr="00187D4E" w:rsidRDefault="00187D4E" w:rsidP="00187D4E">
      <w:pPr>
        <w:pStyle w:val="Heading2"/>
      </w:pPr>
      <w:r>
        <w:lastRenderedPageBreak/>
        <w:t xml:space="preserve">3.2 </w:t>
      </w:r>
      <w:r w:rsidR="0032418A" w:rsidRPr="00187D4E">
        <w:t>Topography</w:t>
      </w:r>
      <w:r w:rsidR="00320162" w:rsidRPr="00187D4E">
        <w:t>, geology</w:t>
      </w:r>
      <w:r w:rsidR="0031501D" w:rsidRPr="00187D4E">
        <w:t xml:space="preserve"> and waterways</w:t>
      </w:r>
      <w:r w:rsidR="00325958" w:rsidRPr="00187D4E">
        <w:t xml:space="preserve"> </w:t>
      </w:r>
    </w:p>
    <w:p w14:paraId="632590A0" w14:textId="6E0CB199" w:rsidR="00930576" w:rsidRDefault="00E50984" w:rsidP="007759AB">
      <w:r w:rsidRPr="009B141A">
        <w:t xml:space="preserve">The dominant landform within </w:t>
      </w:r>
      <w:r>
        <w:t>Plumpton</w:t>
      </w:r>
      <w:r w:rsidRPr="009B141A">
        <w:t xml:space="preserve"> is a flat to gently undulating volcanic plain bisected by </w:t>
      </w:r>
      <w:r>
        <w:t xml:space="preserve">three minor </w:t>
      </w:r>
      <w:r w:rsidRPr="009B141A">
        <w:t>drainage channels</w:t>
      </w:r>
      <w:r>
        <w:t xml:space="preserve">, </w:t>
      </w:r>
      <w:r w:rsidRPr="009B141A">
        <w:rPr>
          <w:rFonts w:ascii="Calibri" w:hAnsi="Calibri" w:cs="Trebuchet MS"/>
          <w:color w:val="000000"/>
        </w:rPr>
        <w:t>the largest of which runs almost parallel to the western boundary of</w:t>
      </w:r>
      <w:r>
        <w:rPr>
          <w:rFonts w:ascii="Calibri" w:hAnsi="Calibri" w:cs="Trebuchet MS"/>
          <w:color w:val="000000"/>
        </w:rPr>
        <w:t xml:space="preserve"> the</w:t>
      </w:r>
      <w:r w:rsidRPr="009B141A">
        <w:rPr>
          <w:rFonts w:ascii="Calibri" w:hAnsi="Calibri" w:cs="Trebuchet MS"/>
          <w:color w:val="000000"/>
        </w:rPr>
        <w:t xml:space="preserve"> PSP</w:t>
      </w:r>
      <w:r>
        <w:rPr>
          <w:rFonts w:ascii="Calibri" w:hAnsi="Calibri" w:cs="Trebuchet MS"/>
          <w:color w:val="000000"/>
        </w:rPr>
        <w:t>. These</w:t>
      </w:r>
      <w:r w:rsidRPr="00E50984">
        <w:rPr>
          <w:rFonts w:ascii="Calibri" w:hAnsi="Calibri" w:cs="Trebuchet MS"/>
          <w:color w:val="000000"/>
        </w:rPr>
        <w:t xml:space="preserve"> </w:t>
      </w:r>
      <w:r w:rsidRPr="009B141A">
        <w:rPr>
          <w:rFonts w:ascii="Calibri" w:hAnsi="Calibri" w:cs="Trebuchet MS"/>
          <w:color w:val="000000"/>
        </w:rPr>
        <w:t>drainage channels are first order tributari</w:t>
      </w:r>
      <w:r>
        <w:rPr>
          <w:rFonts w:ascii="Calibri" w:hAnsi="Calibri" w:cs="Trebuchet MS"/>
          <w:color w:val="000000"/>
        </w:rPr>
        <w:t>es of Kororoit Creek</w:t>
      </w:r>
      <w:r w:rsidRPr="009B141A">
        <w:t xml:space="preserve"> which </w:t>
      </w:r>
      <w:r w:rsidR="00930576">
        <w:t xml:space="preserve">typically comprise gentle to moderate simple slopes to the Kororoit Creek. </w:t>
      </w:r>
      <w:r w:rsidRPr="009B141A">
        <w:t>The</w:t>
      </w:r>
      <w:r w:rsidR="0031501D">
        <w:t xml:space="preserve">y </w:t>
      </w:r>
      <w:r w:rsidRPr="009B141A">
        <w:t>have been substantially modified with agricultural and pastoral land</w:t>
      </w:r>
      <w:r>
        <w:t xml:space="preserve"> </w:t>
      </w:r>
      <w:r w:rsidRPr="009B141A">
        <w:t>use. The majority of the Plumpton PSP is currently used for the planting</w:t>
      </w:r>
      <w:r w:rsidR="00E45FC4">
        <w:t xml:space="preserve"> of crops</w:t>
      </w:r>
      <w:r w:rsidRPr="009B141A">
        <w:t>.</w:t>
      </w:r>
      <w:r w:rsidR="00930576">
        <w:t xml:space="preserve"> </w:t>
      </w:r>
      <w:r w:rsidR="00AA21D8">
        <w:rPr>
          <w:rFonts w:ascii="Calibri" w:hAnsi="Calibri" w:cs="Trebuchet MS"/>
          <w:color w:val="000000"/>
        </w:rPr>
        <w:t xml:space="preserve">Landforms within Plumpton </w:t>
      </w:r>
      <w:r w:rsidR="00AA21D8" w:rsidRPr="001C73F2">
        <w:rPr>
          <w:rFonts w:ascii="Calibri" w:hAnsi="Calibri" w:cs="Trebuchet MS"/>
          <w:color w:val="000000"/>
        </w:rPr>
        <w:t xml:space="preserve">include one low crest landform, a shallow open depression adjacent to Taylors Road and a possible former swamp. </w:t>
      </w:r>
    </w:p>
    <w:p w14:paraId="332A289C" w14:textId="437B31AC" w:rsidR="00930576" w:rsidRDefault="00115FED" w:rsidP="007759AB">
      <w:r w:rsidRPr="009B141A">
        <w:t>The Kororoit Creek is a broad, meandering creek that cuts through the low relief volcanic plain that characterises the local landscape. Slope gradients are flat to gently undulating. Minor drainage channels that cross the plain have been substantially modified as a result of agricultural and pastoral land uses. The majority of the Kororoit PSP is currently used for sheep, cattle</w:t>
      </w:r>
      <w:r w:rsidR="004825C0">
        <w:t>,</w:t>
      </w:r>
      <w:r w:rsidRPr="009B141A">
        <w:t xml:space="preserve"> horse grazing</w:t>
      </w:r>
      <w:r w:rsidR="004825C0">
        <w:t xml:space="preserve"> as well as residential uses</w:t>
      </w:r>
    </w:p>
    <w:p w14:paraId="7364C462" w14:textId="41E00C6C" w:rsidR="00325958" w:rsidRDefault="00325958" w:rsidP="007759AB">
      <w:r>
        <w:t xml:space="preserve">The </w:t>
      </w:r>
      <w:r w:rsidRPr="009B141A">
        <w:t>Kororoit Creek flows west-east thr</w:t>
      </w:r>
      <w:r>
        <w:t>ough the centre of the Kororoit PSP,</w:t>
      </w:r>
      <w:r w:rsidRPr="009B141A">
        <w:t xml:space="preserve"> demarcating the boundary </w:t>
      </w:r>
      <w:r>
        <w:t xml:space="preserve">between the suburbs of Plumpton </w:t>
      </w:r>
      <w:r w:rsidRPr="009B141A">
        <w:t xml:space="preserve">and Rockbank. </w:t>
      </w:r>
      <w:r w:rsidR="00E42AF5">
        <w:t xml:space="preserve">The </w:t>
      </w:r>
      <w:r w:rsidRPr="009B141A">
        <w:t>Kororoit C</w:t>
      </w:r>
      <w:r>
        <w:t xml:space="preserve">reek is </w:t>
      </w:r>
      <w:r w:rsidR="0031501D">
        <w:t xml:space="preserve">considered </w:t>
      </w:r>
      <w:r>
        <w:t xml:space="preserve">a higher order drainage line </w:t>
      </w:r>
      <w:r w:rsidR="006D4A4C">
        <w:t xml:space="preserve">and areas along the creek are considered to </w:t>
      </w:r>
      <w:r w:rsidR="004825C0">
        <w:t xml:space="preserve">have </w:t>
      </w:r>
      <w:r w:rsidR="006D4A4C">
        <w:t>Aboriginal cultural heritage sensitivity, comprising the likelihood o</w:t>
      </w:r>
      <w:r w:rsidR="004825C0">
        <w:t>f</w:t>
      </w:r>
      <w:r w:rsidR="006D4A4C">
        <w:t xml:space="preserve"> archaeological and cultural significance</w:t>
      </w:r>
      <w:r w:rsidR="0031501D">
        <w:t>. The creek</w:t>
      </w:r>
      <w:r w:rsidR="0031501D" w:rsidRPr="009B141A">
        <w:t xml:space="preserve"> </w:t>
      </w:r>
      <w:r w:rsidRPr="009B141A">
        <w:t>rises in the outer north-western suburb of Sunbury and meanders through more densely urbanised suburbs of Caroline Springs, Sunshine, Deer Park, Brooklyn and Altona before flowing into Port Phillip</w:t>
      </w:r>
      <w:r w:rsidR="00136DAE">
        <w:t xml:space="preserve"> Bay</w:t>
      </w:r>
      <w:r w:rsidRPr="009B141A">
        <w:t>.</w:t>
      </w:r>
      <w:r>
        <w:t xml:space="preserve"> There are s</w:t>
      </w:r>
      <w:r w:rsidRPr="0011522E">
        <w:rPr>
          <w:rFonts w:cs="Trebuchet MS"/>
          <w:color w:val="000000"/>
        </w:rPr>
        <w:t>everal swamps and two low r</w:t>
      </w:r>
      <w:r>
        <w:rPr>
          <w:rFonts w:cs="Trebuchet MS"/>
          <w:color w:val="000000"/>
        </w:rPr>
        <w:t>ises adjacent to</w:t>
      </w:r>
      <w:r w:rsidR="00E42AF5">
        <w:rPr>
          <w:rFonts w:cs="Trebuchet MS"/>
          <w:color w:val="000000"/>
        </w:rPr>
        <w:t xml:space="preserve"> the</w:t>
      </w:r>
      <w:r>
        <w:rPr>
          <w:rFonts w:cs="Trebuchet MS"/>
          <w:color w:val="000000"/>
        </w:rPr>
        <w:t xml:space="preserve"> Kororoit Creek</w:t>
      </w:r>
      <w:r w:rsidR="00F12E10">
        <w:rPr>
          <w:rFonts w:cs="Trebuchet MS"/>
          <w:color w:val="000000"/>
        </w:rPr>
        <w:t>.</w:t>
      </w:r>
    </w:p>
    <w:p w14:paraId="51369849" w14:textId="2400ECA2" w:rsidR="00F33AFA" w:rsidRDefault="00E50984">
      <w:pPr>
        <w:rPr>
          <w:rFonts w:cs="Calibri"/>
        </w:rPr>
      </w:pPr>
      <w:r w:rsidRPr="00930576">
        <w:rPr>
          <w:rFonts w:cs="Calibri"/>
        </w:rPr>
        <w:t>Plumpton and Kororoit are located entirely on the Western Basalt Plains created by lava flows in the late Quaternary</w:t>
      </w:r>
      <w:r w:rsidRPr="00930576">
        <w:t xml:space="preserve"> </w:t>
      </w:r>
      <w:r w:rsidRPr="00930576">
        <w:rPr>
          <w:rFonts w:cs="Calibri"/>
        </w:rPr>
        <w:t>Period, two to five million years ago. Nearby</w:t>
      </w:r>
      <w:r w:rsidR="00E45FC4">
        <w:rPr>
          <w:rFonts w:cs="Calibri"/>
        </w:rPr>
        <w:t>,</w:t>
      </w:r>
      <w:r w:rsidRPr="00930576">
        <w:rPr>
          <w:rFonts w:cs="Calibri"/>
        </w:rPr>
        <w:t xml:space="preserve"> Mt Atkinson and Mt Cottrell are among a number of eruption </w:t>
      </w:r>
      <w:r w:rsidR="00930576">
        <w:rPr>
          <w:rFonts w:cs="Calibri"/>
        </w:rPr>
        <w:t xml:space="preserve">points </w:t>
      </w:r>
      <w:r w:rsidRPr="00930576">
        <w:rPr>
          <w:rFonts w:cs="Calibri"/>
        </w:rPr>
        <w:t xml:space="preserve">which form prominent landmarks in a </w:t>
      </w:r>
      <w:r w:rsidR="00930576" w:rsidRPr="00930576">
        <w:rPr>
          <w:rFonts w:cs="Calibri"/>
        </w:rPr>
        <w:t>largely</w:t>
      </w:r>
      <w:r w:rsidRPr="00930576">
        <w:rPr>
          <w:rFonts w:cs="Calibri"/>
        </w:rPr>
        <w:t xml:space="preserve"> flat landscape.</w:t>
      </w:r>
      <w:r w:rsidRPr="00930576">
        <w:t xml:space="preserve"> </w:t>
      </w:r>
      <w:r w:rsidRPr="00930576">
        <w:rPr>
          <w:rFonts w:cs="Calibri"/>
        </w:rPr>
        <w:t>From the eruption points, the lava flowed down river-valley</w:t>
      </w:r>
      <w:r w:rsidR="00930576">
        <w:rPr>
          <w:rFonts w:cs="Calibri"/>
        </w:rPr>
        <w:t>s where it hardened into basalt</w:t>
      </w:r>
      <w:r w:rsidRPr="00930576">
        <w:rPr>
          <w:rFonts w:cs="Calibri"/>
        </w:rPr>
        <w:t>. The soils on the basalt plain are typically newer volcanic, with a heavy textured clay. This clay is 10 to 60 centimetres thick and lies on the impervious layer of basalt which is poorly drained and has led to the formation of the swampy areas common to the volcanic grasslands.</w:t>
      </w:r>
    </w:p>
    <w:p w14:paraId="5282B713" w14:textId="77777777" w:rsidR="00F33AFA" w:rsidRDefault="00F33AFA">
      <w:pPr>
        <w:rPr>
          <w:rFonts w:cs="Calibri"/>
        </w:rPr>
      </w:pPr>
      <w:r>
        <w:rPr>
          <w:rFonts w:cs="Calibri"/>
        </w:rPr>
        <w:br w:type="page"/>
      </w:r>
    </w:p>
    <w:p w14:paraId="47295412" w14:textId="285506AC" w:rsidR="001C73F2" w:rsidRPr="00187D4E" w:rsidRDefault="004D67AB" w:rsidP="00187D4E">
      <w:pPr>
        <w:pStyle w:val="Heading1"/>
        <w:numPr>
          <w:ilvl w:val="0"/>
          <w:numId w:val="23"/>
        </w:numPr>
        <w:rPr>
          <w:b/>
        </w:rPr>
      </w:pPr>
      <w:r w:rsidRPr="00187D4E">
        <w:rPr>
          <w:b/>
        </w:rPr>
        <w:lastRenderedPageBreak/>
        <w:t xml:space="preserve">Cultural </w:t>
      </w:r>
      <w:r w:rsidR="00056E82" w:rsidRPr="00187D4E">
        <w:rPr>
          <w:b/>
        </w:rPr>
        <w:t>H</w:t>
      </w:r>
      <w:r w:rsidR="008A1C1E" w:rsidRPr="00187D4E">
        <w:rPr>
          <w:b/>
        </w:rPr>
        <w:t>eritage</w:t>
      </w:r>
    </w:p>
    <w:p w14:paraId="178B152D" w14:textId="17DB1F8C" w:rsidR="001C73F2" w:rsidRDefault="008A1C1E" w:rsidP="00102F21">
      <w:pPr>
        <w:rPr>
          <w:rFonts w:ascii="Calibri" w:hAnsi="Calibri" w:cs="Trebuchet MS"/>
          <w:color w:val="000000"/>
        </w:rPr>
      </w:pPr>
      <w:r>
        <w:t xml:space="preserve">The MPA engaged </w:t>
      </w:r>
      <w:r w:rsidR="00830C18">
        <w:t xml:space="preserve">with </w:t>
      </w:r>
      <w:r w:rsidRPr="008A1C1E">
        <w:t>Archaeological and Heritage Management Solutions</w:t>
      </w:r>
      <w:r>
        <w:t xml:space="preserve"> (AHMS) to complete Aboriginal Cultural Heritage Impact Assessment</w:t>
      </w:r>
      <w:r w:rsidR="00ED2E4C">
        <w:t>s</w:t>
      </w:r>
      <w:r>
        <w:t xml:space="preserve"> (AHIA)</w:t>
      </w:r>
      <w:r w:rsidR="00AE6A6C">
        <w:t xml:space="preserve"> for Plumpton and Kororoit PSP areas</w:t>
      </w:r>
      <w:r>
        <w:t>.</w:t>
      </w:r>
    </w:p>
    <w:p w14:paraId="4DB822A2" w14:textId="1BE897E2" w:rsidR="001C73F2" w:rsidRDefault="00D338DF" w:rsidP="001C73F2">
      <w:pPr>
        <w:rPr>
          <w:rFonts w:ascii="Calibri" w:hAnsi="Calibri" w:cs="Calibri"/>
        </w:rPr>
      </w:pPr>
      <w:r w:rsidRPr="00102F21">
        <w:t>The two precincts lie within the</w:t>
      </w:r>
      <w:r w:rsidR="000C208F">
        <w:t xml:space="preserve"> Werribee River Basi</w:t>
      </w:r>
      <w:r w:rsidR="006D4A4C">
        <w:t>n</w:t>
      </w:r>
      <w:r w:rsidR="000C208F">
        <w:t xml:space="preserve"> </w:t>
      </w:r>
      <w:r w:rsidR="0028421C">
        <w:t xml:space="preserve">geographical region and </w:t>
      </w:r>
      <w:r w:rsidR="00FC5724" w:rsidRPr="00FC5724">
        <w:t>within the tradi</w:t>
      </w:r>
      <w:r w:rsidR="00FC5724">
        <w:t>tional lands of Bun wurrung</w:t>
      </w:r>
      <w:r w:rsidR="004825C0">
        <w:t>-</w:t>
      </w:r>
      <w:r w:rsidR="00FC5724">
        <w:t xml:space="preserve"> (mem</w:t>
      </w:r>
      <w:r w:rsidR="00FC5724" w:rsidRPr="00FC5724">
        <w:t>bers of the Bunurong Land Council Aboriginal Corporation, the Bunurong Land and Sea Association and the Boon Wurrung Foundation) and Woi wurrung</w:t>
      </w:r>
      <w:r w:rsidR="004825C0">
        <w:t>-</w:t>
      </w:r>
      <w:r w:rsidR="00FC5724" w:rsidRPr="00FC5724">
        <w:t xml:space="preserve"> (Wurundjeri Tribe Land and Compensation Cultural Heritage Council) speaking members of the Kulin Nation. The consultant undertook a process of consultation with the Bunurong Land Council Aboriginal Corporation, the Boon Wurrung Fou</w:t>
      </w:r>
      <w:r w:rsidR="00FC5724">
        <w:t>ndation and the Wurundjeri Tribe</w:t>
      </w:r>
      <w:r w:rsidR="00FC5724" w:rsidRPr="00FC5724">
        <w:t xml:space="preserve"> Land and Compensation Cultural Heritage Council</w:t>
      </w:r>
      <w:r w:rsidR="00FC5724">
        <w:t xml:space="preserve">. There are no Registered Aboriginal Parties currently recognised within the precinct areas. </w:t>
      </w:r>
      <w:r w:rsidR="00FC5724" w:rsidRPr="00FC5724">
        <w:t xml:space="preserve">The Office of Aboriginal Affairs Victoria (OAAV) is the statutory authority responsible for evaluating </w:t>
      </w:r>
      <w:r w:rsidR="004825C0">
        <w:t>Cultural Heritage Management Plans (</w:t>
      </w:r>
      <w:r w:rsidR="00FC5724">
        <w:t>CHMPs</w:t>
      </w:r>
      <w:r w:rsidR="004825C0">
        <w:t>)</w:t>
      </w:r>
      <w:r w:rsidR="00FC5724">
        <w:t xml:space="preserve"> and has endorsed the AHIA</w:t>
      </w:r>
      <w:r w:rsidR="00FC5724" w:rsidRPr="00FC5724">
        <w:t>.</w:t>
      </w:r>
    </w:p>
    <w:p w14:paraId="2C157F0A" w14:textId="77777777" w:rsidR="001C73F2" w:rsidRDefault="00D7281F" w:rsidP="001C73F2">
      <w:r>
        <w:t xml:space="preserve">The AHIA assessment focused on identifying areas of sensitivity in the precinct by producing a predictive model. The predictive model was created through GIS analysis of known patterns of Aboriginal land occupation (including variables such as topography, vegetation, and land use) to determine levels of archaeological sensitivity. </w:t>
      </w:r>
      <w:r w:rsidRPr="006240B0">
        <w:t>For the purposes of the predictive model, the term ‘archaeological sensitivity’ was defined as a combination of density, integrity and research value of archaeological deposits within any given area.</w:t>
      </w:r>
      <w:r>
        <w:t xml:space="preserve"> </w:t>
      </w:r>
    </w:p>
    <w:p w14:paraId="4FB76279" w14:textId="77777777" w:rsidR="001C73F2" w:rsidRDefault="00D7281F" w:rsidP="004419D4">
      <w:pPr>
        <w:rPr>
          <w:rFonts w:ascii="Calibri" w:hAnsi="Calibri" w:cs="Trebuchet MS"/>
          <w:color w:val="000000"/>
        </w:rPr>
      </w:pPr>
      <w:r>
        <w:t xml:space="preserve">As a part of the AHIA, the desktop assessment identified </w:t>
      </w:r>
      <w:r w:rsidR="006240B0">
        <w:t xml:space="preserve">a total of 588 </w:t>
      </w:r>
      <w:r w:rsidR="006240B0" w:rsidRPr="000C208F">
        <w:t>registered</w:t>
      </w:r>
      <w:r w:rsidRPr="000C208F">
        <w:t xml:space="preserve"> Aboriginal places</w:t>
      </w:r>
      <w:r>
        <w:t xml:space="preserve"> </w:t>
      </w:r>
      <w:r w:rsidR="00FE73CF">
        <w:t>within a 10km radius of the Plumpton precinct and 731 registered Aboriginal places within a 10km radius of the Kororoit precinct</w:t>
      </w:r>
      <w:r w:rsidR="000C208F">
        <w:t>. The</w:t>
      </w:r>
      <w:r>
        <w:t xml:space="preserve"> </w:t>
      </w:r>
      <w:r w:rsidR="000C208F">
        <w:t xml:space="preserve">vast </w:t>
      </w:r>
      <w:r>
        <w:t xml:space="preserve">majority of </w:t>
      </w:r>
      <w:r w:rsidR="000C208F">
        <w:t xml:space="preserve">Aboriginal places </w:t>
      </w:r>
      <w:r>
        <w:t xml:space="preserve">are located in close proximity to </w:t>
      </w:r>
      <w:r w:rsidR="000C208F">
        <w:t>the Kororoit Creek, drainage corridors and adjacent swamps and wetlands</w:t>
      </w:r>
      <w:r>
        <w:t xml:space="preserve">. </w:t>
      </w:r>
    </w:p>
    <w:p w14:paraId="49498C81" w14:textId="77777777" w:rsidR="001C73F2" w:rsidRDefault="004419D4" w:rsidP="001C73F2">
      <w:r>
        <w:t xml:space="preserve">There are two registered Aboriginal places registered within Plumpton, both located on Beattys Road. The sites have been subject to disturbances from agricultural and pastoral activities. </w:t>
      </w:r>
      <w:r w:rsidRPr="00400766">
        <w:t>There are 20 registered Aboriginal places in Kororoit consisting of artefact scatters located during previous Aboriginal heritage assessments.</w:t>
      </w:r>
      <w:r>
        <w:t xml:space="preserve"> </w:t>
      </w:r>
    </w:p>
    <w:p w14:paraId="25A014D2" w14:textId="77777777" w:rsidR="001C73F2" w:rsidRDefault="00D7281F" w:rsidP="001C73F2">
      <w:r>
        <w:t>The desktop assessment concluded that prior land use activities have</w:t>
      </w:r>
      <w:r w:rsidR="0028421C">
        <w:t xml:space="preserve"> had</w:t>
      </w:r>
      <w:r>
        <w:t xml:space="preserve"> an effect on the potential for and integrity of archaeological deposits. Nevertheless, higher density stone artefact scatters are more likely to be located </w:t>
      </w:r>
      <w:r w:rsidR="0011522E">
        <w:t xml:space="preserve">nearby fresh water sources and on the crests and slope of rises, especially those adjacent to watercourses and swamps. These locations </w:t>
      </w:r>
      <w:r w:rsidR="0028421C">
        <w:t>were</w:t>
      </w:r>
      <w:r w:rsidR="0011522E">
        <w:t xml:space="preserve"> considered to be more attractive places for Aboriginal occupation and use</w:t>
      </w:r>
      <w:r>
        <w:t xml:space="preserve">. Isolated artefacts are likely </w:t>
      </w:r>
      <w:r w:rsidR="001C73F2">
        <w:t>to occur across the landscape.</w:t>
      </w:r>
    </w:p>
    <w:p w14:paraId="094B7B9B" w14:textId="56BAF30A" w:rsidR="00350A70" w:rsidRDefault="00371374" w:rsidP="001C73F2">
      <w:r w:rsidRPr="00A5248A">
        <w:t>Following</w:t>
      </w:r>
      <w:r w:rsidR="00D7281F" w:rsidRPr="00A5248A">
        <w:t xml:space="preserve"> the desktop assessment, the standard assessment identified </w:t>
      </w:r>
      <w:r w:rsidR="000D349D" w:rsidRPr="00A5248A">
        <w:t xml:space="preserve">55 stone </w:t>
      </w:r>
      <w:r w:rsidR="00734D4A" w:rsidRPr="00A5248A">
        <w:t>artefacts</w:t>
      </w:r>
      <w:r w:rsidR="000D349D" w:rsidRPr="00A5248A">
        <w:t xml:space="preserve"> over eleven different properties</w:t>
      </w:r>
      <w:r w:rsidR="00734D4A" w:rsidRPr="00A5248A">
        <w:t xml:space="preserve"> in Plumpton. The most commonly encountered artefacts were those representing by</w:t>
      </w:r>
      <w:r w:rsidR="0028421C" w:rsidRPr="00A5248A">
        <w:t xml:space="preserve">-products of stone knapping </w:t>
      </w:r>
      <w:r w:rsidR="00734D4A" w:rsidRPr="00A5248A">
        <w:t xml:space="preserve">created during tool manufacture and maintenance. The stone artefacts </w:t>
      </w:r>
      <w:r w:rsidR="003B4EB6">
        <w:t>were registered on the VAHR as a</w:t>
      </w:r>
      <w:r w:rsidR="00734D4A" w:rsidRPr="00A5248A">
        <w:t xml:space="preserve"> Low Density Artefact Distribution</w:t>
      </w:r>
      <w:r w:rsidR="003B4EB6">
        <w:t xml:space="preserve"> as</w:t>
      </w:r>
      <w:r w:rsidR="00734D4A" w:rsidRPr="00A5248A">
        <w:t xml:space="preserve"> </w:t>
      </w:r>
      <w:r w:rsidR="003B4EB6">
        <w:t xml:space="preserve">VAHR 7822-3639.  </w:t>
      </w:r>
      <w:r w:rsidR="003B4EB6" w:rsidRPr="003B4EB6">
        <w:t>AHMS was unable to identify two previously rec</w:t>
      </w:r>
      <w:r w:rsidR="003B4EB6">
        <w:t>orded sites in the study area (</w:t>
      </w:r>
      <w:r w:rsidR="003B4EB6" w:rsidRPr="003B4EB6">
        <w:t>VAHR 7822-2255 and VAHR 7822-2256) comprising few artefacts.</w:t>
      </w:r>
    </w:p>
    <w:p w14:paraId="2FD1AF71" w14:textId="2285A1FC" w:rsidR="00B30503" w:rsidRDefault="00CD64F6" w:rsidP="00B30503">
      <w:r w:rsidRPr="00305ACA">
        <w:t>Two hundred and ninety-four knapp</w:t>
      </w:r>
      <w:r w:rsidR="0028421C">
        <w:t>ed stone artefacts, one possible</w:t>
      </w:r>
      <w:r w:rsidRPr="00305ACA">
        <w:t xml:space="preserve"> ground stone and one possible scarred tree were identified over fifteen different properties in Kororoit. The density of recorded artefacts varie</w:t>
      </w:r>
      <w:r w:rsidR="00305ACA" w:rsidRPr="00305ACA">
        <w:t xml:space="preserve">d across the activity area, with both </w:t>
      </w:r>
      <w:r w:rsidRPr="00305ACA">
        <w:t xml:space="preserve">high density sites </w:t>
      </w:r>
      <w:r w:rsidR="00305ACA" w:rsidRPr="00305ACA">
        <w:t xml:space="preserve">and low density artefact distribution being identified across the landscape. </w:t>
      </w:r>
    </w:p>
    <w:p w14:paraId="1A445C7E" w14:textId="14C95141" w:rsidR="00B30503" w:rsidRPr="00A5248A" w:rsidRDefault="00B30503" w:rsidP="00B30503">
      <w:pPr>
        <w:rPr>
          <w:rFonts w:cs="Trebuchet MS"/>
          <w:color w:val="000000"/>
        </w:rPr>
      </w:pPr>
      <w:r w:rsidRPr="00A5248A">
        <w:lastRenderedPageBreak/>
        <w:t xml:space="preserve">Kororoit Creek is bordered in sections by basalt outcrops or low rises which contain basalt floaters. Many of the basalt outcrops contained Aboriginal cultural heritage in the form of stone artefact scatters of varying density. </w:t>
      </w:r>
      <w:r w:rsidRPr="00A5248A">
        <w:rPr>
          <w:rFonts w:cs="Trebuchet MS"/>
          <w:bCs/>
          <w:color w:val="000000"/>
        </w:rPr>
        <w:t>Areas of basalt outcrop</w:t>
      </w:r>
      <w:r w:rsidRPr="00A5248A">
        <w:rPr>
          <w:rFonts w:cs="Trebuchet MS"/>
          <w:b/>
          <w:bCs/>
          <w:color w:val="000000"/>
        </w:rPr>
        <w:t xml:space="preserve"> </w:t>
      </w:r>
      <w:r w:rsidRPr="00A5248A">
        <w:rPr>
          <w:rFonts w:cs="Trebuchet MS"/>
          <w:color w:val="000000"/>
        </w:rPr>
        <w:t>including the two Aboriginal places</w:t>
      </w:r>
      <w:r w:rsidR="00725C23">
        <w:rPr>
          <w:rFonts w:cs="Trebuchet MS"/>
          <w:color w:val="000000"/>
        </w:rPr>
        <w:t>,</w:t>
      </w:r>
      <w:r w:rsidRPr="00A5248A">
        <w:rPr>
          <w:rFonts w:cs="Trebuchet MS"/>
          <w:color w:val="000000"/>
        </w:rPr>
        <w:t xml:space="preserve"> assessed as having high significance. The areas of basalt outcrop have been overlain onto the sensitivity map. These landform features have important cultural and spiritual values to Aboriginal </w:t>
      </w:r>
      <w:r w:rsidR="008C46AD">
        <w:rPr>
          <w:rFonts w:cs="Trebuchet MS"/>
          <w:color w:val="000000"/>
        </w:rPr>
        <w:t>T</w:t>
      </w:r>
      <w:r w:rsidRPr="00A5248A">
        <w:rPr>
          <w:rFonts w:cs="Trebuchet MS"/>
          <w:color w:val="000000"/>
        </w:rPr>
        <w:t>raditional</w:t>
      </w:r>
      <w:r w:rsidR="008C46AD">
        <w:rPr>
          <w:rFonts w:cs="Trebuchet MS"/>
          <w:color w:val="000000"/>
        </w:rPr>
        <w:t xml:space="preserve"> O</w:t>
      </w:r>
      <w:r w:rsidRPr="00A5248A">
        <w:rPr>
          <w:rFonts w:cs="Trebuchet MS"/>
          <w:color w:val="000000"/>
        </w:rPr>
        <w:t>wners and have high potential to retain high density archaeological deposits that may be rare and may have archaeological research values.</w:t>
      </w:r>
    </w:p>
    <w:p w14:paraId="48FA8C12" w14:textId="299B815D" w:rsidR="00140AD6" w:rsidRPr="00935393" w:rsidRDefault="00305ACA" w:rsidP="001C73F2">
      <w:pPr>
        <w:rPr>
          <w:rFonts w:cs="Trebuchet MS"/>
          <w:color w:val="000000"/>
        </w:rPr>
      </w:pPr>
      <w:r w:rsidRPr="00A5248A">
        <w:rPr>
          <w:rFonts w:cs="Trebuchet MS"/>
          <w:color w:val="000000"/>
        </w:rPr>
        <w:t>An attempt was made during the survey to relocate the previously registered places within the activity area. Five places were able to be relocated (VAHR 7822-0779; 7822-0790; 78</w:t>
      </w:r>
      <w:r w:rsidR="0028421C" w:rsidRPr="00A5248A">
        <w:rPr>
          <w:rFonts w:cs="Trebuchet MS"/>
          <w:color w:val="000000"/>
        </w:rPr>
        <w:t>22-0182; 7822-1138; 7822-0187). T</w:t>
      </w:r>
      <w:r w:rsidRPr="00A5248A">
        <w:rPr>
          <w:rFonts w:cs="Trebuchet MS"/>
          <w:color w:val="000000"/>
        </w:rPr>
        <w:t>he remaining previously recorded places were not identified during the survey. These places may have been removed or transported by processes such as ploughing or earthworks, or may have been disguised by poor visibility</w:t>
      </w:r>
      <w:r w:rsidRPr="00B30503">
        <w:rPr>
          <w:rFonts w:cs="Trebuchet MS"/>
          <w:color w:val="000000"/>
        </w:rPr>
        <w:t>.</w:t>
      </w:r>
      <w:r w:rsidR="00935393">
        <w:rPr>
          <w:rFonts w:cs="Trebuchet MS"/>
          <w:color w:val="000000"/>
        </w:rPr>
        <w:t xml:space="preserve"> </w:t>
      </w:r>
    </w:p>
    <w:p w14:paraId="16A2CACB" w14:textId="60EDBB24" w:rsidR="00B30503" w:rsidRPr="000C7A6F" w:rsidRDefault="00187D4E" w:rsidP="00187D4E">
      <w:pPr>
        <w:pStyle w:val="Heading2"/>
      </w:pPr>
      <w:r>
        <w:t xml:space="preserve">4.1 </w:t>
      </w:r>
      <w:r w:rsidR="00B30503" w:rsidRPr="000C7A6F">
        <w:t>Cultural values</w:t>
      </w:r>
    </w:p>
    <w:p w14:paraId="7E4A8E55" w14:textId="77777777" w:rsidR="00B30503" w:rsidRDefault="00350A70" w:rsidP="001C73F2">
      <w:r w:rsidRPr="00B30503">
        <w:t xml:space="preserve">During the survey, the Aboriginal community representatives were asked to comment on any cultural values, particularly in regards to the importance of remnant native vegetation, traditional food plants and landscape values. </w:t>
      </w:r>
    </w:p>
    <w:p w14:paraId="0D4342C0" w14:textId="2F8120D4" w:rsidR="005B71D7" w:rsidRPr="00B30503" w:rsidRDefault="00AE6A6C" w:rsidP="005B71D7">
      <w:r>
        <w:t>Nominated representatives of t</w:t>
      </w:r>
      <w:r w:rsidRPr="00102F21">
        <w:rPr>
          <w:rFonts w:ascii="Calibri" w:hAnsi="Calibri" w:cs="Calibri"/>
        </w:rPr>
        <w:t>he Boon Wurrung Foundation, Bunurong Land Council Aboriginal Corporation and the Wurundjeri Tribe Land and Compensation Cultural Herita</w:t>
      </w:r>
      <w:r>
        <w:rPr>
          <w:rFonts w:ascii="Calibri" w:hAnsi="Calibri" w:cs="Calibri"/>
        </w:rPr>
        <w:t>ge</w:t>
      </w:r>
      <w:r w:rsidRPr="00102F21">
        <w:rPr>
          <w:rFonts w:ascii="Calibri" w:hAnsi="Calibri" w:cs="Calibri"/>
        </w:rPr>
        <w:t xml:space="preserve"> </w:t>
      </w:r>
      <w:r w:rsidR="00350A70" w:rsidRPr="00B30503">
        <w:t>generally considered that minor drainage channels were important for their potential for associated archaeological values</w:t>
      </w:r>
      <w:r w:rsidR="00B30503">
        <w:t xml:space="preserve"> in the Plumpton PSP</w:t>
      </w:r>
      <w:r w:rsidR="00350A70" w:rsidRPr="00B30503">
        <w:t>. The</w:t>
      </w:r>
      <w:r>
        <w:t xml:space="preserve">y </w:t>
      </w:r>
      <w:r w:rsidR="00350A70" w:rsidRPr="00B30503">
        <w:t xml:space="preserve">also identified three specific locations adjacent to the drainage channels that contained clusters of surface stone artefacts as having higher levels of </w:t>
      </w:r>
      <w:r>
        <w:t xml:space="preserve">Aboriginal </w:t>
      </w:r>
      <w:r w:rsidR="00350A70" w:rsidRPr="00B30503">
        <w:t>cultural value.</w:t>
      </w:r>
      <w:r w:rsidR="00B30503">
        <w:t xml:space="preserve"> </w:t>
      </w:r>
      <w:r w:rsidR="00305ACA" w:rsidRPr="00B30503">
        <w:t xml:space="preserve">The </w:t>
      </w:r>
      <w:r>
        <w:t>representatives</w:t>
      </w:r>
      <w:r w:rsidR="00305ACA" w:rsidRPr="00B30503">
        <w:t xml:space="preserve"> </w:t>
      </w:r>
      <w:r w:rsidR="00B30503">
        <w:t xml:space="preserve">also identified the </w:t>
      </w:r>
      <w:r w:rsidR="00305ACA" w:rsidRPr="00B30503">
        <w:t>Kororoit Creek to be of very high cultural significance as</w:t>
      </w:r>
      <w:r w:rsidR="00B30503">
        <w:t xml:space="preserve"> it was a key route for transit</w:t>
      </w:r>
      <w:r w:rsidR="00305ACA" w:rsidRPr="00B30503">
        <w:t xml:space="preserve"> and would have been a key location for camping. During the survey</w:t>
      </w:r>
      <w:r w:rsidR="00AF1C23">
        <w:t>,</w:t>
      </w:r>
      <w:r w:rsidR="00305ACA" w:rsidRPr="00B30503">
        <w:t xml:space="preserve"> the Bunurong Land Council Aboriginal Corporation representative indicated that basalt outcrops along creek lines have very important spiritual values for the Aboriginal community associated with Bunjil creation stories and are therefore considered to have a high level of cultural value. Swamps were also identified during the survey as both archaeologically and culturally significant to the Aboriginal community.</w:t>
      </w:r>
    </w:p>
    <w:p w14:paraId="68647A91" w14:textId="76EF633A" w:rsidR="00350A70" w:rsidRPr="000C7A6F" w:rsidRDefault="00187D4E" w:rsidP="00187D4E">
      <w:pPr>
        <w:pStyle w:val="Heading2"/>
      </w:pPr>
      <w:r>
        <w:t xml:space="preserve">4.2 </w:t>
      </w:r>
      <w:r w:rsidR="006A4FF8" w:rsidRPr="000C7A6F">
        <w:t>Bridge crossings</w:t>
      </w:r>
    </w:p>
    <w:p w14:paraId="71BEFD11" w14:textId="4DBE9E9B" w:rsidR="00825353" w:rsidRDefault="00357A10" w:rsidP="001C73F2">
      <w:pPr>
        <w:rPr>
          <w:rFonts w:cs="Trebuchet MS"/>
          <w:color w:val="000000"/>
        </w:rPr>
      </w:pPr>
      <w:r>
        <w:t>Two</w:t>
      </w:r>
      <w:r w:rsidR="00825353">
        <w:t xml:space="preserve"> </w:t>
      </w:r>
      <w:r>
        <w:t>additional</w:t>
      </w:r>
      <w:r w:rsidR="00825353">
        <w:t xml:space="preserve"> site visit</w:t>
      </w:r>
      <w:r>
        <w:t>s were</w:t>
      </w:r>
      <w:r w:rsidR="00825353">
        <w:t xml:space="preserve"> carried out to examine three proposed road </w:t>
      </w:r>
      <w:r w:rsidR="00C94225">
        <w:t xml:space="preserve">bridge </w:t>
      </w:r>
      <w:r w:rsidR="00825353">
        <w:t xml:space="preserve">crossings over the Kororoit Creek and </w:t>
      </w:r>
      <w:r>
        <w:t>identify corridors that will limit harm on Aboriginal archaeological and cultural values. Representatives of th</w:t>
      </w:r>
      <w:r w:rsidRPr="00357A10">
        <w:t xml:space="preserve">e </w:t>
      </w:r>
      <w:r>
        <w:rPr>
          <w:rFonts w:cs="Trebuchet MS"/>
          <w:color w:val="000000"/>
        </w:rPr>
        <w:t>Boonwurrung Foundation</w:t>
      </w:r>
      <w:r w:rsidR="00136DAE">
        <w:rPr>
          <w:rFonts w:cs="Trebuchet MS"/>
          <w:color w:val="000000"/>
        </w:rPr>
        <w:t xml:space="preserve"> and</w:t>
      </w:r>
      <w:r>
        <w:rPr>
          <w:rFonts w:cs="Trebuchet MS"/>
          <w:color w:val="000000"/>
        </w:rPr>
        <w:t xml:space="preserve"> </w:t>
      </w:r>
      <w:r w:rsidRPr="00825353">
        <w:rPr>
          <w:rFonts w:cs="Trebuchet MS"/>
          <w:color w:val="000000"/>
        </w:rPr>
        <w:t>Bunurong Land Council Aboriginal Corporation</w:t>
      </w:r>
      <w:r>
        <w:rPr>
          <w:rFonts w:cs="Trebuchet MS"/>
          <w:color w:val="000000"/>
        </w:rPr>
        <w:t xml:space="preserve"> and</w:t>
      </w:r>
      <w:r w:rsidRPr="00825353">
        <w:rPr>
          <w:rFonts w:cs="Trebuchet MS"/>
          <w:color w:val="000000"/>
        </w:rPr>
        <w:t xml:space="preserve"> Wurundjeri Tribe Land and Compensation Cultural Heritage Council</w:t>
      </w:r>
      <w:r w:rsidR="00C94225">
        <w:rPr>
          <w:rFonts w:cs="Trebuchet MS"/>
          <w:color w:val="000000"/>
        </w:rPr>
        <w:t xml:space="preserve"> attended the site visits</w:t>
      </w:r>
      <w:r>
        <w:rPr>
          <w:rFonts w:cs="Trebuchet MS"/>
          <w:color w:val="000000"/>
        </w:rPr>
        <w:t>.</w:t>
      </w:r>
    </w:p>
    <w:p w14:paraId="46FF60B3" w14:textId="77777777" w:rsidR="006A4FF8" w:rsidRPr="00B30503" w:rsidRDefault="006A4FF8" w:rsidP="00187D4E">
      <w:pPr>
        <w:pStyle w:val="Heading3"/>
      </w:pPr>
      <w:r w:rsidRPr="00B30503">
        <w:t>Plumpton Road Bridge</w:t>
      </w:r>
    </w:p>
    <w:p w14:paraId="4E2D7FAE" w14:textId="4692AD07" w:rsidR="006A4FF8" w:rsidRPr="006A4FF8" w:rsidRDefault="00357A10" w:rsidP="006A4FF8">
      <w:pPr>
        <w:rPr>
          <w:rFonts w:cs="Trebuchet MS"/>
          <w:color w:val="000000"/>
        </w:rPr>
      </w:pPr>
      <w:r w:rsidRPr="00357A10">
        <w:rPr>
          <w:rFonts w:cs="Trebuchet MS"/>
          <w:color w:val="000000"/>
        </w:rPr>
        <w:t xml:space="preserve">Examination of this area by AHMS and the Aboriginal community representatives identified a corridor that could exploit </w:t>
      </w:r>
      <w:r w:rsidR="00417956">
        <w:rPr>
          <w:rFonts w:cs="Trebuchet MS"/>
          <w:color w:val="000000"/>
        </w:rPr>
        <w:t xml:space="preserve">already </w:t>
      </w:r>
      <w:r w:rsidRPr="00357A10">
        <w:rPr>
          <w:rFonts w:cs="Trebuchet MS"/>
          <w:color w:val="000000"/>
        </w:rPr>
        <w:t xml:space="preserve">disturbed land to the north of the creek and avoid basalt outcrop that has important cultural </w:t>
      </w:r>
      <w:r w:rsidRPr="00357A10">
        <w:t xml:space="preserve">values to the traditional owner representatives. </w:t>
      </w:r>
    </w:p>
    <w:p w14:paraId="42880915" w14:textId="77777777" w:rsidR="006A4FF8" w:rsidRPr="00B30503" w:rsidRDefault="006A4FF8" w:rsidP="00187D4E">
      <w:pPr>
        <w:pStyle w:val="Heading3"/>
      </w:pPr>
      <w:r w:rsidRPr="00B30503">
        <w:t>Hopkins Road</w:t>
      </w:r>
    </w:p>
    <w:p w14:paraId="77D1406B" w14:textId="66269F86" w:rsidR="006A4FF8" w:rsidRDefault="00357A10" w:rsidP="006A4FF8">
      <w:r w:rsidRPr="00357A10">
        <w:t xml:space="preserve">Examination of this area by AHMS and the Aboriginal community representatives identified a logical corridor that would avoid an area of basalt outcrop and high archaeological potential on the northern side of the creek as well as avoiding a large surface scatter of stone artefacts further to the </w:t>
      </w:r>
      <w:r w:rsidRPr="00357A10">
        <w:lastRenderedPageBreak/>
        <w:t xml:space="preserve">west and exploiting an area of high disturbance associated with cut, fill and prior residential development disturbance to the south of the creek. </w:t>
      </w:r>
      <w:r w:rsidR="00417956">
        <w:t>The</w:t>
      </w:r>
      <w:r w:rsidR="00417956" w:rsidRPr="00357A10">
        <w:t xml:space="preserve"> </w:t>
      </w:r>
      <w:r w:rsidRPr="00357A10">
        <w:t xml:space="preserve">preferred </w:t>
      </w:r>
      <w:r w:rsidR="006A4FF8">
        <w:t>corridor is shown on Figure 39.</w:t>
      </w:r>
    </w:p>
    <w:p w14:paraId="31A14840" w14:textId="77777777" w:rsidR="006A4FF8" w:rsidRPr="00B30503" w:rsidRDefault="006A4FF8" w:rsidP="006A4FF8">
      <w:pPr>
        <w:rPr>
          <w:rFonts w:cs="Trebuchet MS"/>
          <w:i/>
          <w:color w:val="000000"/>
        </w:rPr>
      </w:pPr>
      <w:r w:rsidRPr="00B30503">
        <w:rPr>
          <w:i/>
        </w:rPr>
        <w:t>Sinclairs Road Bridge</w:t>
      </w:r>
    </w:p>
    <w:p w14:paraId="78A5C285" w14:textId="7B7B3E32" w:rsidR="00140AD6" w:rsidRPr="00935393" w:rsidRDefault="00417956">
      <w:pPr>
        <w:rPr>
          <w:rFonts w:cs="Trebuchet MS"/>
          <w:color w:val="000000"/>
        </w:rPr>
      </w:pPr>
      <w:r>
        <w:t xml:space="preserve">Sinclairs Road </w:t>
      </w:r>
      <w:r w:rsidR="006B0289">
        <w:t>Bridge</w:t>
      </w:r>
      <w:r>
        <w:t xml:space="preserve"> is c</w:t>
      </w:r>
      <w:r w:rsidR="00357A10" w:rsidRPr="00357A10">
        <w:t xml:space="preserve">urrently </w:t>
      </w:r>
      <w:r w:rsidR="006A4FF8" w:rsidRPr="006A4FF8">
        <w:t>a</w:t>
      </w:r>
      <w:r w:rsidR="00357A10" w:rsidRPr="00357A10">
        <w:t xml:space="preserve"> low ford crossing that is subject to frequent flooding and closures. During the site visit</w:t>
      </w:r>
      <w:r w:rsidR="00AF1C23">
        <w:t>,</w:t>
      </w:r>
      <w:r w:rsidR="00357A10" w:rsidRPr="00357A10">
        <w:t xml:space="preserve"> the AHMS archaeologists and Aboriginal community representatives identified a preferred corridor that would overlie areas of prior fill and ground disturbance whilst avoiding recorded Aboriginal places, an area of basalt outcrop and areas of higher archaeological potential associated with mature trees. </w:t>
      </w:r>
      <w:r>
        <w:t>The p</w:t>
      </w:r>
      <w:r w:rsidR="00357A10" w:rsidRPr="00357A10">
        <w:t>reference is that any new bridge</w:t>
      </w:r>
      <w:r>
        <w:t xml:space="preserve"> or widened bridge</w:t>
      </w:r>
      <w:r w:rsidR="00357A10" w:rsidRPr="00357A10">
        <w:t xml:space="preserve"> is located on the eastern side of </w:t>
      </w:r>
      <w:r w:rsidR="006A4FF8" w:rsidRPr="006A4FF8">
        <w:t>the existing crossing.</w:t>
      </w:r>
    </w:p>
    <w:p w14:paraId="62BEE198" w14:textId="256B01FC" w:rsidR="001C73F2" w:rsidRPr="000F1F6D" w:rsidRDefault="00187D4E" w:rsidP="00187D4E">
      <w:pPr>
        <w:pStyle w:val="Heading2"/>
      </w:pPr>
      <w:r>
        <w:t xml:space="preserve">4.3 </w:t>
      </w:r>
      <w:r w:rsidR="001C73F2" w:rsidRPr="000F1F6D">
        <w:t xml:space="preserve">Recommendations </w:t>
      </w:r>
      <w:r w:rsidR="003F1DBE" w:rsidRPr="000F1F6D">
        <w:t>and</w:t>
      </w:r>
      <w:r w:rsidR="001C73F2" w:rsidRPr="000F1F6D">
        <w:t xml:space="preserve"> </w:t>
      </w:r>
      <w:r w:rsidR="003F1DBE" w:rsidRPr="000F1F6D">
        <w:t>o</w:t>
      </w:r>
      <w:r w:rsidR="001C73F2" w:rsidRPr="000F1F6D">
        <w:t xml:space="preserve">utcomes </w:t>
      </w:r>
    </w:p>
    <w:p w14:paraId="58742567" w14:textId="77777777" w:rsidR="00D348CB" w:rsidRDefault="00D348CB" w:rsidP="00D348CB">
      <w:r>
        <w:t>The results of the desktop and standard assessment informed the archaeological sensitivity map. The list of variables identified by AHMS to inform the archaeological sensitivity map, consist of:</w:t>
      </w:r>
    </w:p>
    <w:p w14:paraId="7ACBD275" w14:textId="77777777" w:rsidR="00D348CB" w:rsidRDefault="00D348CB" w:rsidP="009E33F9">
      <w:pPr>
        <w:pStyle w:val="ListParagraph"/>
        <w:numPr>
          <w:ilvl w:val="0"/>
          <w:numId w:val="1"/>
        </w:numPr>
      </w:pPr>
      <w:r>
        <w:t xml:space="preserve">proximity to water courses </w:t>
      </w:r>
    </w:p>
    <w:p w14:paraId="7855BDDF" w14:textId="77777777" w:rsidR="00D348CB" w:rsidRDefault="00D348CB" w:rsidP="009E33F9">
      <w:pPr>
        <w:pStyle w:val="ListParagraph"/>
        <w:numPr>
          <w:ilvl w:val="0"/>
          <w:numId w:val="1"/>
        </w:numPr>
      </w:pPr>
      <w:r>
        <w:t xml:space="preserve">crest and elevated landforms </w:t>
      </w:r>
    </w:p>
    <w:p w14:paraId="0C621F75" w14:textId="77777777" w:rsidR="00D348CB" w:rsidRPr="000D349D" w:rsidRDefault="00D348CB" w:rsidP="009E33F9">
      <w:pPr>
        <w:pStyle w:val="ListParagraph"/>
        <w:numPr>
          <w:ilvl w:val="0"/>
          <w:numId w:val="1"/>
        </w:numPr>
        <w:rPr>
          <w:rFonts w:ascii="Calibri" w:hAnsi="Calibri" w:cs="Trebuchet MS"/>
          <w:color w:val="000000"/>
        </w:rPr>
      </w:pPr>
      <w:r>
        <w:t>areas of cut and fill disturbance; and</w:t>
      </w:r>
    </w:p>
    <w:p w14:paraId="2B5D8054" w14:textId="5CD8739C" w:rsidR="00D348CB" w:rsidRPr="001C73F2" w:rsidRDefault="00D348CB" w:rsidP="009E33F9">
      <w:pPr>
        <w:pStyle w:val="ListParagraph"/>
        <w:numPr>
          <w:ilvl w:val="0"/>
          <w:numId w:val="1"/>
        </w:numPr>
        <w:rPr>
          <w:rFonts w:ascii="Calibri" w:hAnsi="Calibri" w:cs="Trebuchet MS"/>
          <w:color w:val="000000"/>
        </w:rPr>
      </w:pPr>
      <w:r>
        <w:t>areas of orcharding</w:t>
      </w:r>
      <w:r w:rsidR="005E73E8">
        <w:t xml:space="preserve"> and other </w:t>
      </w:r>
      <w:r w:rsidR="00773B70">
        <w:t>deep ploughing</w:t>
      </w:r>
      <w:r w:rsidR="005E73E8">
        <w:t xml:space="preserve"> activities</w:t>
      </w:r>
    </w:p>
    <w:p w14:paraId="7E5F69A0" w14:textId="77777777" w:rsidR="005A13F5" w:rsidRDefault="00D348CB" w:rsidP="005A13F5">
      <w:r>
        <w:t>The archaeological sensitivity map identified f</w:t>
      </w:r>
      <w:r w:rsidR="009B0250">
        <w:t>ive</w:t>
      </w:r>
      <w:r>
        <w:t xml:space="preserve"> levels of sensitivity including ‘very high,’ ‘high,’ ‘moderate,’ ‘low’ and ‘negligible</w:t>
      </w:r>
      <w:r w:rsidR="009B0250">
        <w:t xml:space="preserve">: </w:t>
      </w:r>
    </w:p>
    <w:p w14:paraId="193A7991" w14:textId="2D64270C" w:rsidR="001C73F2" w:rsidRPr="005A13F5" w:rsidRDefault="001C73F2" w:rsidP="00187D4E">
      <w:pPr>
        <w:pStyle w:val="ListParagraph"/>
        <w:numPr>
          <w:ilvl w:val="0"/>
          <w:numId w:val="22"/>
        </w:numPr>
        <w:rPr>
          <w:rFonts w:ascii="Calibri" w:hAnsi="Calibri" w:cs="Trebuchet MS"/>
          <w:color w:val="000000"/>
        </w:rPr>
      </w:pPr>
      <w:r w:rsidRPr="005A13F5">
        <w:rPr>
          <w:b/>
          <w:bCs/>
        </w:rPr>
        <w:t xml:space="preserve">Very High Sensitivity: </w:t>
      </w:r>
      <w:r>
        <w:t xml:space="preserve">Minimise future development impact on ‘very high’ sensitivity areas where possible, to retain these areas in their current form. Option for retention could include inclusion of parts of the ‘very high’ sensitivity land within open space, riparian, Rural Conservation Zone, bio-link, setbacks and/or asset protection zones. Where possible, the landscape integrity and amenity of these areas should be retained, including appropriate set-backs where relevant. Planning Provisions should be established during the Precinct Structure Plan design process. This could include limiting high impact activities and avoid these locations for bridge crossings or drainage assets. </w:t>
      </w:r>
    </w:p>
    <w:p w14:paraId="73565D9B" w14:textId="12260342" w:rsidR="001C73F2" w:rsidRPr="001C73F2" w:rsidRDefault="001C73F2" w:rsidP="009E33F9">
      <w:pPr>
        <w:pStyle w:val="ListParagraph"/>
        <w:numPr>
          <w:ilvl w:val="0"/>
          <w:numId w:val="2"/>
        </w:numPr>
        <w:rPr>
          <w:rFonts w:ascii="Calibri" w:hAnsi="Calibri" w:cs="Trebuchet MS"/>
          <w:color w:val="000000"/>
        </w:rPr>
      </w:pPr>
      <w:r w:rsidRPr="001C73F2">
        <w:rPr>
          <w:b/>
          <w:bCs/>
        </w:rPr>
        <w:t xml:space="preserve">High and Moderate Sensitivity: </w:t>
      </w:r>
      <w:r w:rsidRPr="001C73F2">
        <w:t xml:space="preserve">Development impact should be minimised where </w:t>
      </w:r>
      <w:r w:rsidR="004E783D" w:rsidRPr="001C73F2">
        <w:t>p</w:t>
      </w:r>
      <w:r w:rsidR="004E783D">
        <w:t>ossible</w:t>
      </w:r>
      <w:r w:rsidRPr="001C73F2">
        <w:t xml:space="preserve">. For instance, where there are opportunities to establish open space, these areas could be placed on the ‘high’ and ‘moderate’ sensitivity location. Areas of ‘high’ sensitivity should take precedence over areas of ‘moderate’ sensitivity. </w:t>
      </w:r>
    </w:p>
    <w:p w14:paraId="5351EA69" w14:textId="77777777" w:rsidR="001C73F2" w:rsidRPr="001C73F2" w:rsidRDefault="001C73F2" w:rsidP="009E33F9">
      <w:pPr>
        <w:pStyle w:val="ListParagraph"/>
        <w:numPr>
          <w:ilvl w:val="0"/>
          <w:numId w:val="2"/>
        </w:numPr>
        <w:rPr>
          <w:rFonts w:ascii="Calibri" w:hAnsi="Calibri" w:cs="Trebuchet MS"/>
          <w:color w:val="000000"/>
        </w:rPr>
      </w:pPr>
      <w:r w:rsidRPr="001C73F2">
        <w:rPr>
          <w:b/>
          <w:bCs/>
        </w:rPr>
        <w:t>Low Sensitivity</w:t>
      </w:r>
      <w:r w:rsidRPr="001C73F2">
        <w:t xml:space="preserve">: No design and planning recommendations. </w:t>
      </w:r>
    </w:p>
    <w:p w14:paraId="089A9597" w14:textId="77777777" w:rsidR="00305ACA" w:rsidRPr="00305ACA" w:rsidRDefault="001C73F2" w:rsidP="009E33F9">
      <w:pPr>
        <w:pStyle w:val="ListParagraph"/>
        <w:numPr>
          <w:ilvl w:val="0"/>
          <w:numId w:val="2"/>
        </w:numPr>
        <w:rPr>
          <w:rFonts w:ascii="Calibri" w:hAnsi="Calibri" w:cs="Trebuchet MS"/>
          <w:color w:val="000000"/>
        </w:rPr>
      </w:pPr>
      <w:r w:rsidRPr="001C73F2">
        <w:rPr>
          <w:b/>
          <w:bCs/>
        </w:rPr>
        <w:t xml:space="preserve">Negligible Sensitivity: </w:t>
      </w:r>
      <w:r w:rsidRPr="001C73F2">
        <w:t xml:space="preserve">These areas could be the focus of development, particularly high impact features of a subdivision like a town centre, medium or high density residential, industrial or commercial. </w:t>
      </w:r>
    </w:p>
    <w:p w14:paraId="15160FDF" w14:textId="4D35BEA4" w:rsidR="00E42AF5" w:rsidRDefault="00186C71" w:rsidP="00187D4E">
      <w:pPr>
        <w:pStyle w:val="Heading3"/>
      </w:pPr>
      <w:r>
        <w:t>Basalt Outcrop</w:t>
      </w:r>
      <w:r w:rsidR="00D348CB">
        <w:t>s</w:t>
      </w:r>
    </w:p>
    <w:p w14:paraId="72F024FA" w14:textId="2D3B75DB" w:rsidR="004E783D" w:rsidRDefault="00D348CB" w:rsidP="00305ACA">
      <w:r>
        <w:rPr>
          <w:bCs/>
        </w:rPr>
        <w:t>Seven a</w:t>
      </w:r>
      <w:r w:rsidR="00E42AF5" w:rsidRPr="00770F90">
        <w:rPr>
          <w:bCs/>
        </w:rPr>
        <w:t>reas containing basalt outcrop</w:t>
      </w:r>
      <w:r w:rsidR="00186C71" w:rsidRPr="00770F90">
        <w:rPr>
          <w:bCs/>
        </w:rPr>
        <w:t>s</w:t>
      </w:r>
      <w:r w:rsidR="00E42AF5" w:rsidRPr="00770F90">
        <w:rPr>
          <w:bCs/>
        </w:rPr>
        <w:t xml:space="preserve"> in Kororoit</w:t>
      </w:r>
      <w:r w:rsidR="00B30503" w:rsidRPr="009B141A">
        <w:rPr>
          <w:b/>
          <w:bCs/>
        </w:rPr>
        <w:t xml:space="preserve"> </w:t>
      </w:r>
      <w:r w:rsidR="00B30503" w:rsidRPr="009B141A">
        <w:rPr>
          <w:bCs/>
        </w:rPr>
        <w:t>were recommended as the</w:t>
      </w:r>
      <w:r w:rsidR="00B30503" w:rsidRPr="009B141A">
        <w:t xml:space="preserve"> highest priority for retention</w:t>
      </w:r>
      <w:r w:rsidR="00770F90">
        <w:t xml:space="preserve"> </w:t>
      </w:r>
      <w:r w:rsidR="00770F90" w:rsidRPr="009B141A">
        <w:t>because of the important cultural and mythological values that are associated with the basalt outcrops along the</w:t>
      </w:r>
      <w:r w:rsidR="00770F90">
        <w:t xml:space="preserve"> Kororoit</w:t>
      </w:r>
      <w:r w:rsidR="00770F90" w:rsidRPr="009B141A">
        <w:t xml:space="preserve"> creek. These areas also have a high level of sub-surface archaeological potential and better preservation conditions</w:t>
      </w:r>
      <w:r w:rsidR="00A26B65">
        <w:t>.</w:t>
      </w:r>
      <w:r w:rsidR="001F3D37">
        <w:t xml:space="preserve"> </w:t>
      </w:r>
      <w:r w:rsidR="00A057E6">
        <w:t xml:space="preserve">These sites provide an opportunity </w:t>
      </w:r>
      <w:r w:rsidR="001F3D37">
        <w:t>to explore the nature of past occupation and use of the site and its relationship to the wider area</w:t>
      </w:r>
      <w:r w:rsidR="00770F90">
        <w:t xml:space="preserve">. </w:t>
      </w:r>
      <w:r w:rsidR="00D51627">
        <w:t xml:space="preserve">Two areas of </w:t>
      </w:r>
      <w:r w:rsidR="00770F90">
        <w:t xml:space="preserve">prominent </w:t>
      </w:r>
      <w:r w:rsidR="00D51627">
        <w:t>basalt outcrops</w:t>
      </w:r>
      <w:r w:rsidR="00770F90">
        <w:t xml:space="preserve"> overlooking t</w:t>
      </w:r>
      <w:r w:rsidR="00260BD1">
        <w:t>he</w:t>
      </w:r>
      <w:r w:rsidR="00770F90">
        <w:t xml:space="preserve"> Kororoit Creek</w:t>
      </w:r>
      <w:r w:rsidR="00D51627">
        <w:t xml:space="preserve"> (</w:t>
      </w:r>
      <w:r w:rsidR="00A26B65">
        <w:t xml:space="preserve">properties </w:t>
      </w:r>
      <w:r w:rsidR="00D51627">
        <w:t>6 and 17)</w:t>
      </w:r>
      <w:r w:rsidR="00A057E6">
        <w:t xml:space="preserve"> of minimal disturbance </w:t>
      </w:r>
      <w:r w:rsidR="00D51627">
        <w:t xml:space="preserve">were </w:t>
      </w:r>
      <w:r w:rsidR="00770F90">
        <w:t>assessed as having</w:t>
      </w:r>
      <w:r w:rsidR="00D51627">
        <w:t xml:space="preserve"> a high level of archaeological and cultural significance. </w:t>
      </w:r>
      <w:r>
        <w:t xml:space="preserve">Property </w:t>
      </w:r>
      <w:r w:rsidR="004E783D">
        <w:t xml:space="preserve">6 </w:t>
      </w:r>
      <w:r w:rsidR="00A057E6">
        <w:t>comprised an</w:t>
      </w:r>
      <w:r w:rsidR="004E783D">
        <w:t xml:space="preserve"> artefact scatter</w:t>
      </w:r>
      <w:r w:rsidR="00A057E6">
        <w:t xml:space="preserve"> of high densities</w:t>
      </w:r>
      <w:r w:rsidR="004E783D">
        <w:t xml:space="preserve"> distributed across a basalt outcrop to Kororoit </w:t>
      </w:r>
      <w:r w:rsidR="004E783D">
        <w:lastRenderedPageBreak/>
        <w:t xml:space="preserve">Creek and a low rise located nearby to the north-west. </w:t>
      </w:r>
      <w:r w:rsidR="001F3D37">
        <w:t>Property 17 com</w:t>
      </w:r>
      <w:r>
        <w:t>posed of an arte</w:t>
      </w:r>
      <w:r w:rsidR="001F3D37">
        <w:t xml:space="preserve">fact scatter located on a significant basalt outcrop and a large basalt slab with abrasions located by the Kororoit Creek. </w:t>
      </w:r>
      <w:r>
        <w:t xml:space="preserve">These abrasions could have possibly been a result from past Aboriginal use and </w:t>
      </w:r>
      <w:r w:rsidR="00A26B65">
        <w:t>occupation</w:t>
      </w:r>
      <w:r>
        <w:t xml:space="preserve">, such as axe grinding. </w:t>
      </w:r>
    </w:p>
    <w:p w14:paraId="7E03E64B" w14:textId="4391492A" w:rsidR="00D51627" w:rsidRDefault="00D51627" w:rsidP="00305ACA">
      <w:r>
        <w:t>The</w:t>
      </w:r>
      <w:r w:rsidR="00D348CB">
        <w:t xml:space="preserve"> Kororoit PSP </w:t>
      </w:r>
      <w:r w:rsidR="00A26B65">
        <w:t>proposes to</w:t>
      </w:r>
      <w:r>
        <w:t xml:space="preserve"> retain</w:t>
      </w:r>
      <w:r w:rsidR="00A26B65">
        <w:t xml:space="preserve"> these areas</w:t>
      </w:r>
      <w:r w:rsidR="00770F90">
        <w:t xml:space="preserve"> within the Kororoit Creek</w:t>
      </w:r>
      <w:r>
        <w:t xml:space="preserve"> conservation</w:t>
      </w:r>
      <w:r w:rsidR="00770F90">
        <w:t xml:space="preserve"> area</w:t>
      </w:r>
      <w:r>
        <w:t xml:space="preserve">. </w:t>
      </w:r>
      <w:r w:rsidR="00D348CB">
        <w:t>Road and pedestrian bridges over the Kororoit Creek have been carefully planned and considered to minimise any earthwork and construction impacts on culturally sensitive areas. Habitat creation for the Growling Grass Fro</w:t>
      </w:r>
      <w:r w:rsidR="00263C53">
        <w:t xml:space="preserve">g in areas of very high culturally sensitive areas will require extensive surveys and consultation with Aboriginal parties as there could be potential for extensive impact on cultural heritage values from construction works. </w:t>
      </w:r>
    </w:p>
    <w:p w14:paraId="43435C18" w14:textId="77777777" w:rsidR="00263C53" w:rsidRDefault="00B30503" w:rsidP="00187D4E">
      <w:pPr>
        <w:pStyle w:val="Heading3"/>
      </w:pPr>
      <w:r w:rsidRPr="009B141A">
        <w:t>Surface artefact clusters and areas of higher cultural value</w:t>
      </w:r>
    </w:p>
    <w:p w14:paraId="4246FC48" w14:textId="42371528" w:rsidR="009561FB" w:rsidRPr="006B0289" w:rsidRDefault="009561FB" w:rsidP="009561FB">
      <w:pPr>
        <w:rPr>
          <w:b/>
          <w:sz w:val="28"/>
          <w:szCs w:val="28"/>
          <w:u w:val="single"/>
        </w:rPr>
      </w:pPr>
      <w:r>
        <w:rPr>
          <w:bCs/>
        </w:rPr>
        <w:t xml:space="preserve">Three areas of </w:t>
      </w:r>
      <w:r w:rsidRPr="00263C53">
        <w:rPr>
          <w:bCs/>
        </w:rPr>
        <w:t>surface artefact clusters and higher cultural value</w:t>
      </w:r>
      <w:r>
        <w:rPr>
          <w:bCs/>
        </w:rPr>
        <w:t>s</w:t>
      </w:r>
      <w:r w:rsidRPr="00263C53">
        <w:rPr>
          <w:bCs/>
        </w:rPr>
        <w:t xml:space="preserve"> </w:t>
      </w:r>
      <w:r>
        <w:rPr>
          <w:bCs/>
        </w:rPr>
        <w:t>were identified in</w:t>
      </w:r>
      <w:r w:rsidRPr="00263C53">
        <w:rPr>
          <w:bCs/>
        </w:rPr>
        <w:t xml:space="preserve"> Plumpton</w:t>
      </w:r>
      <w:r>
        <w:rPr>
          <w:bCs/>
        </w:rPr>
        <w:t xml:space="preserve"> within properties 5, 13 and 48. These sites have been </w:t>
      </w:r>
      <w:r w:rsidRPr="00263C53">
        <w:rPr>
          <w:bCs/>
        </w:rPr>
        <w:t xml:space="preserve">recommended for retention </w:t>
      </w:r>
      <w:r>
        <w:rPr>
          <w:bCs/>
        </w:rPr>
        <w:t>were</w:t>
      </w:r>
      <w:r w:rsidRPr="00263C53">
        <w:t xml:space="preserve"> possible in open space</w:t>
      </w:r>
      <w:r w:rsidR="00A00E88">
        <w:t>, waterways, and areas comprising geomorphic and ecological values</w:t>
      </w:r>
      <w:r w:rsidRPr="00263C53">
        <w:t xml:space="preserve">. </w:t>
      </w:r>
      <w:r>
        <w:t>The</w:t>
      </w:r>
      <w:r w:rsidRPr="00263C53">
        <w:t xml:space="preserve"> PSP</w:t>
      </w:r>
      <w:r>
        <w:t>’s</w:t>
      </w:r>
      <w:r w:rsidRPr="00263C53">
        <w:t xml:space="preserve"> design</w:t>
      </w:r>
      <w:r>
        <w:t xml:space="preserve"> has aimed to</w:t>
      </w:r>
      <w:r w:rsidRPr="009B141A">
        <w:t xml:space="preserve"> minimise future development impact on these areas within other planning, design and environmental constraints and considerations. This approach will protect areas with higher potential for archaeological deposits. Th</w:t>
      </w:r>
      <w:r>
        <w:t>is</w:t>
      </w:r>
      <w:r w:rsidRPr="009B141A">
        <w:t xml:space="preserve"> approach will also save time and money in reducing the scope of mitigation and salvage of higher sensitivity areas</w:t>
      </w:r>
      <w:r>
        <w:t xml:space="preserve">.  </w:t>
      </w:r>
      <w:r w:rsidRPr="008C46AD">
        <w:t>The PSP seeks to encourage development of land within and in proximity to areas of Aboriginal cultural heritage sensitivity to recognise and promote local culture and heritage by incorporating</w:t>
      </w:r>
      <w:r w:rsidR="00A00E88">
        <w:t xml:space="preserve"> appropriate interpretation</w:t>
      </w:r>
      <w:r w:rsidRPr="008C46AD">
        <w:t>. This may include incorporating sites or artefacts of cultural heritage value into new developments, providing educational information relating to the cultural heritage values of the site such as interpretive signage</w:t>
      </w:r>
      <w:r>
        <w:t xml:space="preserve">, </w:t>
      </w:r>
      <w:r w:rsidRPr="008C46AD">
        <w:t>public art and engaging the Traditional Owners in the planning and interpretative process.</w:t>
      </w:r>
    </w:p>
    <w:p w14:paraId="7B17272E" w14:textId="77777777" w:rsidR="009561FB" w:rsidRDefault="009561FB" w:rsidP="00305ACA">
      <w:pPr>
        <w:rPr>
          <w:bCs/>
        </w:rPr>
      </w:pPr>
    </w:p>
    <w:p w14:paraId="20629ADE" w14:textId="77777777" w:rsidR="000F524D" w:rsidRPr="00694DD3" w:rsidRDefault="000F524D" w:rsidP="00305ACA">
      <w:pPr>
        <w:rPr>
          <w:b/>
          <w:bCs/>
        </w:rPr>
      </w:pPr>
    </w:p>
    <w:p w14:paraId="1A7DDBBC" w14:textId="77777777" w:rsidR="00F33AFA" w:rsidRDefault="00F33AFA">
      <w:pPr>
        <w:rPr>
          <w:b/>
          <w:sz w:val="28"/>
          <w:szCs w:val="28"/>
          <w:u w:val="single"/>
        </w:rPr>
      </w:pPr>
      <w:r>
        <w:rPr>
          <w:b/>
          <w:sz w:val="28"/>
          <w:szCs w:val="28"/>
          <w:u w:val="single"/>
        </w:rPr>
        <w:br w:type="page"/>
      </w:r>
    </w:p>
    <w:p w14:paraId="636FD4AF" w14:textId="5424C40C" w:rsidR="000F524D" w:rsidRPr="00BC5A8A" w:rsidRDefault="000F524D" w:rsidP="00BC5A8A">
      <w:pPr>
        <w:pStyle w:val="Heading1"/>
        <w:numPr>
          <w:ilvl w:val="0"/>
          <w:numId w:val="23"/>
        </w:numPr>
        <w:rPr>
          <w:b/>
        </w:rPr>
      </w:pPr>
      <w:r w:rsidRPr="00BC5A8A">
        <w:rPr>
          <w:b/>
        </w:rPr>
        <w:lastRenderedPageBreak/>
        <w:t>Post Contact Heritage</w:t>
      </w:r>
    </w:p>
    <w:p w14:paraId="01BF7ACA" w14:textId="77777777" w:rsidR="004D67AB" w:rsidRDefault="00400766" w:rsidP="004D67AB">
      <w:r>
        <w:t xml:space="preserve">Ecology and Heritage Partners </w:t>
      </w:r>
      <w:r w:rsidR="004D67AB">
        <w:t>was e</w:t>
      </w:r>
      <w:r w:rsidR="00ED2E4C">
        <w:t>ngaged by the MPA to prepare</w:t>
      </w:r>
      <w:r w:rsidR="004D67AB">
        <w:t xml:space="preserve"> Post Contact Heritage Assessment</w:t>
      </w:r>
      <w:r w:rsidR="00ED2E4C">
        <w:t>s</w:t>
      </w:r>
      <w:r w:rsidR="004D67AB">
        <w:t>. The assessment</w:t>
      </w:r>
      <w:r w:rsidR="00ED2E4C">
        <w:t>s</w:t>
      </w:r>
      <w:r w:rsidR="004D67AB">
        <w:t xml:space="preserve"> consisted of: </w:t>
      </w:r>
    </w:p>
    <w:p w14:paraId="29D6356E" w14:textId="77777777" w:rsidR="004D67AB" w:rsidRDefault="004D67AB" w:rsidP="009E33F9">
      <w:pPr>
        <w:pStyle w:val="ListParagraph"/>
        <w:numPr>
          <w:ilvl w:val="0"/>
          <w:numId w:val="3"/>
        </w:numPr>
      </w:pPr>
      <w:r>
        <w:t xml:space="preserve">Identifying any post contact built heritage, historical archaeological features and/or heritage values; </w:t>
      </w:r>
    </w:p>
    <w:p w14:paraId="19CC9096" w14:textId="77777777" w:rsidR="004D67AB" w:rsidRDefault="004D67AB" w:rsidP="009E33F9">
      <w:pPr>
        <w:pStyle w:val="ListParagraph"/>
        <w:numPr>
          <w:ilvl w:val="0"/>
          <w:numId w:val="3"/>
        </w:numPr>
      </w:pPr>
      <w:r w:rsidRPr="004D67AB">
        <w:t xml:space="preserve">Assessing the significance of any post-contact heritage features identified; </w:t>
      </w:r>
    </w:p>
    <w:p w14:paraId="57D389E1" w14:textId="77777777" w:rsidR="004D67AB" w:rsidRDefault="004D67AB" w:rsidP="009E33F9">
      <w:pPr>
        <w:pStyle w:val="ListParagraph"/>
        <w:numPr>
          <w:ilvl w:val="0"/>
          <w:numId w:val="3"/>
        </w:numPr>
      </w:pPr>
      <w:r w:rsidRPr="004D67AB">
        <w:t xml:space="preserve">Identifying legislative and policy requirements for future management of any heritage items identified; and </w:t>
      </w:r>
    </w:p>
    <w:p w14:paraId="695D7033" w14:textId="77777777" w:rsidR="00FB3FED" w:rsidRDefault="004D67AB" w:rsidP="009E33F9">
      <w:pPr>
        <w:pStyle w:val="ListParagraph"/>
        <w:numPr>
          <w:ilvl w:val="0"/>
          <w:numId w:val="3"/>
        </w:numPr>
      </w:pPr>
      <w:r w:rsidRPr="004D67AB">
        <w:t>Providing advice on planning,</w:t>
      </w:r>
      <w:r w:rsidR="00E95D97">
        <w:t xml:space="preserve"> design and management options.</w:t>
      </w:r>
    </w:p>
    <w:p w14:paraId="40A65135" w14:textId="701E259A" w:rsidR="00ED2E4C" w:rsidRDefault="00ED2E4C" w:rsidP="00FB3FED">
      <w:pPr>
        <w:rPr>
          <w:rFonts w:cs="TimesNewRomanPSMT"/>
        </w:rPr>
      </w:pPr>
      <w:r>
        <w:rPr>
          <w:rFonts w:cs="TimesNewRomanPSMT"/>
        </w:rPr>
        <w:t xml:space="preserve">Ecology and Heritage Partners was later requested to prepare a Historical </w:t>
      </w:r>
      <w:r w:rsidR="00B36785">
        <w:rPr>
          <w:rFonts w:cs="TimesNewRomanPSMT"/>
        </w:rPr>
        <w:t>Heritage</w:t>
      </w:r>
      <w:r>
        <w:rPr>
          <w:rFonts w:cs="TimesNewRomanPSMT"/>
        </w:rPr>
        <w:t xml:space="preserve"> Assessment for the former Rockbank Head</w:t>
      </w:r>
      <w:r w:rsidR="000F1F6D">
        <w:rPr>
          <w:rFonts w:cs="TimesNewRomanPSMT"/>
        </w:rPr>
        <w:t xml:space="preserve"> S</w:t>
      </w:r>
      <w:r>
        <w:rPr>
          <w:rFonts w:cs="TimesNewRomanPSMT"/>
        </w:rPr>
        <w:t xml:space="preserve">tation </w:t>
      </w:r>
      <w:r w:rsidR="00A26B65">
        <w:rPr>
          <w:rFonts w:cs="TimesNewRomanPSMT"/>
        </w:rPr>
        <w:t>C</w:t>
      </w:r>
      <w:r>
        <w:rPr>
          <w:rFonts w:cs="TimesNewRomanPSMT"/>
        </w:rPr>
        <w:t>omplex, known</w:t>
      </w:r>
      <w:r w:rsidR="000F1F6D">
        <w:rPr>
          <w:rFonts w:cs="TimesNewRomanPSMT"/>
        </w:rPr>
        <w:t xml:space="preserve"> today</w:t>
      </w:r>
      <w:r>
        <w:rPr>
          <w:rFonts w:cs="TimesNewRomanPSMT"/>
        </w:rPr>
        <w:t xml:space="preserve"> as </w:t>
      </w:r>
      <w:r w:rsidR="000F1F6D">
        <w:rPr>
          <w:rFonts w:cs="TimesNewRomanPSMT"/>
        </w:rPr>
        <w:t xml:space="preserve">the </w:t>
      </w:r>
      <w:r>
        <w:rPr>
          <w:rFonts w:cs="TimesNewRomanPSMT"/>
        </w:rPr>
        <w:t>Deanside</w:t>
      </w:r>
      <w:r w:rsidR="000F1F6D">
        <w:rPr>
          <w:rFonts w:cs="TimesNewRomanPSMT"/>
        </w:rPr>
        <w:t xml:space="preserve"> Homestead Complex</w:t>
      </w:r>
      <w:r>
        <w:rPr>
          <w:rFonts w:cs="TimesNewRomanPSMT"/>
        </w:rPr>
        <w:t>. The consultant was required to undertake the following tasks:</w:t>
      </w:r>
    </w:p>
    <w:p w14:paraId="478641AF" w14:textId="77777777" w:rsidR="00ED2E4C" w:rsidRDefault="00ED2E4C" w:rsidP="009E33F9">
      <w:pPr>
        <w:pStyle w:val="ListParagraph"/>
        <w:numPr>
          <w:ilvl w:val="0"/>
          <w:numId w:val="14"/>
        </w:numPr>
        <w:rPr>
          <w:rFonts w:cs="TimesNewRomanPSMT"/>
        </w:rPr>
      </w:pPr>
      <w:r>
        <w:rPr>
          <w:rFonts w:cs="TimesNewRomanPSMT"/>
        </w:rPr>
        <w:t>A detailed contextual history of the site and associated historic areas;</w:t>
      </w:r>
    </w:p>
    <w:p w14:paraId="0492B1D7" w14:textId="77777777" w:rsidR="00ED2E4C" w:rsidRDefault="00ED2E4C" w:rsidP="009E33F9">
      <w:pPr>
        <w:pStyle w:val="ListParagraph"/>
        <w:numPr>
          <w:ilvl w:val="0"/>
          <w:numId w:val="14"/>
        </w:numPr>
        <w:rPr>
          <w:rFonts w:cs="TimesNewRomanPSMT"/>
        </w:rPr>
      </w:pPr>
      <w:r>
        <w:rPr>
          <w:rFonts w:cs="TimesNewRomanPSMT"/>
        </w:rPr>
        <w:t xml:space="preserve">An assessment and mapping of the extent of the significance of identified </w:t>
      </w:r>
      <w:r w:rsidR="00B36785">
        <w:rPr>
          <w:rFonts w:cs="TimesNewRomanPSMT"/>
        </w:rPr>
        <w:t>heritage</w:t>
      </w:r>
      <w:r>
        <w:rPr>
          <w:rFonts w:cs="TimesNewRomanPSMT"/>
        </w:rPr>
        <w:t xml:space="preserve"> and archaeological assets of the site;</w:t>
      </w:r>
    </w:p>
    <w:p w14:paraId="0ABD41BA" w14:textId="77777777" w:rsidR="00B36785" w:rsidRDefault="00ED2E4C" w:rsidP="009E33F9">
      <w:pPr>
        <w:pStyle w:val="ListParagraph"/>
        <w:numPr>
          <w:ilvl w:val="0"/>
          <w:numId w:val="14"/>
        </w:numPr>
        <w:rPr>
          <w:rFonts w:cs="TimesNewRomanPSMT"/>
        </w:rPr>
      </w:pPr>
      <w:r>
        <w:rPr>
          <w:rFonts w:cs="TimesNewRomanPSMT"/>
        </w:rPr>
        <w:t>Recommendations for</w:t>
      </w:r>
      <w:r w:rsidR="00B36785">
        <w:rPr>
          <w:rFonts w:cs="TimesNewRomanPSMT"/>
        </w:rPr>
        <w:t xml:space="preserve"> management of identified elements and areas to be retained;</w:t>
      </w:r>
    </w:p>
    <w:p w14:paraId="198F2E07" w14:textId="77777777" w:rsidR="00B36785" w:rsidRDefault="00B36785" w:rsidP="009E33F9">
      <w:pPr>
        <w:pStyle w:val="ListParagraph"/>
        <w:numPr>
          <w:ilvl w:val="0"/>
          <w:numId w:val="14"/>
        </w:numPr>
        <w:rPr>
          <w:rFonts w:cs="TimesNewRomanPSMT"/>
        </w:rPr>
      </w:pPr>
      <w:r>
        <w:rPr>
          <w:rFonts w:cs="TimesNewRomanPSMT"/>
        </w:rPr>
        <w:t>Advice as to how surrounding historical/archaeological features should be interpreted in the context of related features beyond the site; and</w:t>
      </w:r>
    </w:p>
    <w:p w14:paraId="24E57186" w14:textId="77777777" w:rsidR="00B36785" w:rsidRPr="00B36785" w:rsidRDefault="00B36785" w:rsidP="009E33F9">
      <w:pPr>
        <w:pStyle w:val="ListParagraph"/>
        <w:numPr>
          <w:ilvl w:val="0"/>
          <w:numId w:val="14"/>
        </w:numPr>
        <w:rPr>
          <w:rFonts w:cs="TimesNewRomanPSMT"/>
        </w:rPr>
      </w:pPr>
      <w:r>
        <w:rPr>
          <w:rFonts w:cs="TimesNewRomanPSMT"/>
        </w:rPr>
        <w:t>Make recommendations for future planning scheme controls.</w:t>
      </w:r>
    </w:p>
    <w:p w14:paraId="1140F740" w14:textId="6D1BCC6B" w:rsidR="00FB3FED" w:rsidRDefault="00971C68" w:rsidP="00FB3FED">
      <w:pPr>
        <w:rPr>
          <w:rFonts w:cs="TimesNewRomanPSMT"/>
        </w:rPr>
      </w:pPr>
      <w:r w:rsidRPr="00FB3FED">
        <w:rPr>
          <w:rFonts w:cs="TimesNewRomanPSMT"/>
        </w:rPr>
        <w:t>Pastoralism is the oldest and most importan</w:t>
      </w:r>
      <w:r w:rsidR="00EC4D24" w:rsidRPr="00FB3FED">
        <w:rPr>
          <w:rFonts w:cs="TimesNewRomanPSMT"/>
        </w:rPr>
        <w:t>t industry in</w:t>
      </w:r>
      <w:r w:rsidR="00026A0E">
        <w:rPr>
          <w:rFonts w:cs="TimesNewRomanPSMT"/>
        </w:rPr>
        <w:t xml:space="preserve"> the </w:t>
      </w:r>
      <w:r w:rsidR="00D47C24">
        <w:rPr>
          <w:rFonts w:cs="TimesNewRomanPSMT"/>
        </w:rPr>
        <w:t xml:space="preserve">post-contact </w:t>
      </w:r>
      <w:r w:rsidR="00026A0E">
        <w:rPr>
          <w:rFonts w:cs="TimesNewRomanPSMT"/>
        </w:rPr>
        <w:t>history of the municipality and is</w:t>
      </w:r>
      <w:r w:rsidRPr="00FB3FED">
        <w:rPr>
          <w:rFonts w:cs="TimesNewRomanPSMT"/>
        </w:rPr>
        <w:t xml:space="preserve"> </w:t>
      </w:r>
      <w:r w:rsidR="00026A0E">
        <w:rPr>
          <w:rFonts w:cs="TimesNewRomanPSMT"/>
        </w:rPr>
        <w:t xml:space="preserve">also </w:t>
      </w:r>
      <w:r w:rsidRPr="00FB3FED">
        <w:rPr>
          <w:rFonts w:cs="TimesNewRomanPSMT"/>
        </w:rPr>
        <w:t xml:space="preserve">significant in the early history of </w:t>
      </w:r>
      <w:r w:rsidR="00026A0E">
        <w:rPr>
          <w:rFonts w:cs="TimesNewRomanPSMT"/>
        </w:rPr>
        <w:t>Victoria’s pastoral history</w:t>
      </w:r>
      <w:r w:rsidRPr="00FB3FED">
        <w:rPr>
          <w:rFonts w:cs="TimesNewRomanPSMT"/>
        </w:rPr>
        <w:t>.</w:t>
      </w:r>
      <w:r w:rsidR="00EC4D24" w:rsidRPr="00FB3FED">
        <w:rPr>
          <w:rFonts w:cs="TimesNewRomanPSMT"/>
        </w:rPr>
        <w:t xml:space="preserve"> M</w:t>
      </w:r>
      <w:r w:rsidRPr="00FB3FED">
        <w:rPr>
          <w:rFonts w:cs="TimesNewRomanPSMT"/>
        </w:rPr>
        <w:t xml:space="preserve">uch of </w:t>
      </w:r>
      <w:r w:rsidR="00EC4D24" w:rsidRPr="00FB3FED">
        <w:rPr>
          <w:rFonts w:cs="TimesNewRomanPSMT"/>
        </w:rPr>
        <w:t>Plumpton and Kororoit</w:t>
      </w:r>
      <w:r w:rsidRPr="00FB3FED">
        <w:rPr>
          <w:rFonts w:cs="TimesNewRomanPSMT"/>
        </w:rPr>
        <w:t xml:space="preserve"> remains </w:t>
      </w:r>
      <w:r w:rsidR="00EC4D24" w:rsidRPr="00FB3FED">
        <w:rPr>
          <w:rFonts w:cs="TimesNewRomanPSMT"/>
        </w:rPr>
        <w:t>semi-</w:t>
      </w:r>
      <w:r w:rsidRPr="00FB3FED">
        <w:rPr>
          <w:rFonts w:cs="TimesNewRomanPSMT"/>
        </w:rPr>
        <w:t>rural</w:t>
      </w:r>
      <w:r w:rsidR="00EC4D24" w:rsidRPr="00FB3FED">
        <w:rPr>
          <w:rFonts w:cs="TimesNewRomanPSMT"/>
        </w:rPr>
        <w:t xml:space="preserve"> and </w:t>
      </w:r>
      <w:r w:rsidR="00FB3FED">
        <w:rPr>
          <w:rFonts w:cs="TimesNewRomanPSMT"/>
        </w:rPr>
        <w:t>there are</w:t>
      </w:r>
      <w:r w:rsidRPr="00FB3FED">
        <w:rPr>
          <w:rFonts w:cs="TimesNewRomanPSMT"/>
        </w:rPr>
        <w:t xml:space="preserve"> early sites</w:t>
      </w:r>
      <w:r w:rsidR="00FB3FED">
        <w:rPr>
          <w:rFonts w:cs="TimesNewRomanPSMT"/>
        </w:rPr>
        <w:t xml:space="preserve"> that</w:t>
      </w:r>
      <w:r w:rsidRPr="00FB3FED">
        <w:rPr>
          <w:rFonts w:cs="TimesNewRomanPSMT"/>
        </w:rPr>
        <w:t xml:space="preserve"> still retain so</w:t>
      </w:r>
      <w:r w:rsidR="00D1628B" w:rsidRPr="00FB3FED">
        <w:rPr>
          <w:rFonts w:cs="TimesNewRomanPSMT"/>
        </w:rPr>
        <w:t>me evidence of early occupation.</w:t>
      </w:r>
    </w:p>
    <w:p w14:paraId="045A165D" w14:textId="77777777" w:rsidR="001D329A" w:rsidRPr="00E95D97" w:rsidRDefault="001D329A" w:rsidP="001D329A">
      <w:r w:rsidRPr="00E95D97">
        <w:t>Plumpton</w:t>
      </w:r>
      <w:r w:rsidR="00A5248A">
        <w:t xml:space="preserve"> and Kororoit</w:t>
      </w:r>
      <w:r w:rsidRPr="00E95D97">
        <w:t xml:space="preserve"> are associated with significant cultural heritage values from early squatting runs of the 1840s and 50s, the survey, sale and development of freehold properties in the period 1860-1900 and the closer settlement schemes in the early twentieth century. </w:t>
      </w:r>
    </w:p>
    <w:p w14:paraId="0F18A589" w14:textId="1A8BC71F" w:rsidR="00CF2FED" w:rsidRDefault="00A5248A" w:rsidP="00EC4D24">
      <w:r>
        <w:t>The area was</w:t>
      </w:r>
      <w:r w:rsidR="00DC096A">
        <w:t xml:space="preserve"> once part of two </w:t>
      </w:r>
      <w:r>
        <w:t>prominent</w:t>
      </w:r>
      <w:r w:rsidR="00DC096A">
        <w:t xml:space="preserve"> squatting runs</w:t>
      </w:r>
      <w:r w:rsidR="009561FB">
        <w:t>:</w:t>
      </w:r>
      <w:r w:rsidR="00DC096A">
        <w:t xml:space="preserve"> th</w:t>
      </w:r>
      <w:r w:rsidR="00220A4F">
        <w:t>e</w:t>
      </w:r>
      <w:r w:rsidR="00DC096A">
        <w:t xml:space="preserve"> W.C. </w:t>
      </w:r>
      <w:proofErr w:type="spellStart"/>
      <w:r w:rsidR="00DC096A">
        <w:t>Yuille’s</w:t>
      </w:r>
      <w:proofErr w:type="spellEnd"/>
      <w:r w:rsidR="00DC096A">
        <w:t xml:space="preserve"> Rockbank run </w:t>
      </w:r>
      <w:r w:rsidR="00220A4F">
        <w:t>and the</w:t>
      </w:r>
      <w:r w:rsidR="00DC096A">
        <w:t xml:space="preserve"> Pinkerton’s run. The Rockbank run was a very large pastoral lease. </w:t>
      </w:r>
      <w:proofErr w:type="spellStart"/>
      <w:r w:rsidR="00DC096A">
        <w:t>Yuille</w:t>
      </w:r>
      <w:proofErr w:type="spellEnd"/>
      <w:r w:rsidR="00DC096A">
        <w:t xml:space="preserve"> established Rockbank Station immediately south of the Beattys Road crossing on the Kororoit Creek, which later became the Rockbank Inn. </w:t>
      </w:r>
      <w:proofErr w:type="spellStart"/>
      <w:r w:rsidR="00DC096A">
        <w:t>Yuille</w:t>
      </w:r>
      <w:proofErr w:type="spellEnd"/>
      <w:r w:rsidR="00DC096A">
        <w:t xml:space="preserve"> was forced to sell his land to W.J.T Clarke which then became part of Clarke’s vast Rockbank Estate. James Pinkerton established a family home on the Kororoit Creek between 1845 and 1948. Pinkerton’s run was also swallowed up in Clarke’s massive land purchase.</w:t>
      </w:r>
    </w:p>
    <w:p w14:paraId="3F9331A4" w14:textId="77777777" w:rsidR="00566358" w:rsidRDefault="00796234" w:rsidP="00566358">
      <w:r w:rsidRPr="00D1628B">
        <w:t>A number of historical</w:t>
      </w:r>
      <w:r w:rsidR="009E3FD4" w:rsidRPr="00D1628B">
        <w:t xml:space="preserve"> archaeological sites and significant heritage places a</w:t>
      </w:r>
      <w:r w:rsidRPr="00D1628B">
        <w:t xml:space="preserve">nd features have been noted in </w:t>
      </w:r>
      <w:r w:rsidR="00A5248A">
        <w:t>area</w:t>
      </w:r>
      <w:r w:rsidR="00CF2FED">
        <w:t xml:space="preserve"> and are of local,</w:t>
      </w:r>
      <w:r w:rsidRPr="00D1628B">
        <w:t xml:space="preserve"> state</w:t>
      </w:r>
      <w:r w:rsidR="00CF2FED">
        <w:t xml:space="preserve"> and national</w:t>
      </w:r>
      <w:r w:rsidRPr="00D1628B">
        <w:t xml:space="preserve"> significance. </w:t>
      </w:r>
    </w:p>
    <w:p w14:paraId="0CE43540" w14:textId="4A6C1017" w:rsidR="00FD5BFD" w:rsidRPr="000F1F6D" w:rsidRDefault="00BC5A8A" w:rsidP="00BC5A8A">
      <w:pPr>
        <w:pStyle w:val="Heading2"/>
      </w:pPr>
      <w:r>
        <w:t xml:space="preserve">5.1 </w:t>
      </w:r>
      <w:r w:rsidR="004E1F6E" w:rsidRPr="000F1F6D">
        <w:t>Farmhouse</w:t>
      </w:r>
      <w:r w:rsidR="00FD5BFD" w:rsidRPr="000F1F6D">
        <w:t xml:space="preserve"> complex </w:t>
      </w:r>
      <w:r w:rsidR="009561FB" w:rsidRPr="000F1F6D">
        <w:t xml:space="preserve">- </w:t>
      </w:r>
      <w:r w:rsidR="00FD5BFD" w:rsidRPr="000F1F6D">
        <w:t>911-935 Melton Highway</w:t>
      </w:r>
    </w:p>
    <w:p w14:paraId="29DB9578" w14:textId="77777777" w:rsidR="00B33407" w:rsidRPr="00FD5BFD" w:rsidRDefault="000B6709" w:rsidP="00FD5BFD">
      <w:pPr>
        <w:rPr>
          <w:b/>
        </w:rPr>
      </w:pPr>
      <w:r w:rsidRPr="00FD5BFD">
        <w:t xml:space="preserve">The desktop review </w:t>
      </w:r>
      <w:r w:rsidR="00473498" w:rsidRPr="00FD5BFD">
        <w:t>ide</w:t>
      </w:r>
      <w:r w:rsidR="00473498">
        <w:t>ntified</w:t>
      </w:r>
      <w:r w:rsidRPr="00FD5BFD">
        <w:t xml:space="preserve"> one </w:t>
      </w:r>
      <w:r w:rsidR="009436EA" w:rsidRPr="00FD5BFD">
        <w:t>previously</w:t>
      </w:r>
      <w:r w:rsidRPr="00FD5BFD">
        <w:t xml:space="preserve"> recorded </w:t>
      </w:r>
      <w:r w:rsidR="003001D8" w:rsidRPr="00FD5BFD">
        <w:t>built</w:t>
      </w:r>
      <w:r w:rsidRPr="00FD5BFD">
        <w:t xml:space="preserve"> </w:t>
      </w:r>
      <w:r w:rsidR="009436EA" w:rsidRPr="00FD5BFD">
        <w:t>heritage site</w:t>
      </w:r>
      <w:r w:rsidR="00A5248A" w:rsidRPr="00FD5BFD">
        <w:t xml:space="preserve"> in Plumpton</w:t>
      </w:r>
      <w:r w:rsidR="009436EA" w:rsidRPr="00FD5BFD">
        <w:t xml:space="preserve"> </w:t>
      </w:r>
      <w:r w:rsidR="003001D8" w:rsidRPr="00FD5BFD">
        <w:t>at 911-935 Melton Highway</w:t>
      </w:r>
      <w:r w:rsidR="009436EA" w:rsidRPr="00FD5BFD">
        <w:t xml:space="preserve">. This site consists of a </w:t>
      </w:r>
      <w:r w:rsidR="003001D8" w:rsidRPr="00FD5BFD">
        <w:t>farmhouse complex</w:t>
      </w:r>
      <w:r w:rsidR="00B33407" w:rsidRPr="00FD5BFD">
        <w:t xml:space="preserve"> that is architecturally significant at local level and is</w:t>
      </w:r>
      <w:r w:rsidR="009436EA" w:rsidRPr="00FD5BFD">
        <w:t xml:space="preserve"> listed on the Heritage Overlay </w:t>
      </w:r>
      <w:r w:rsidR="003001D8" w:rsidRPr="00FD5BFD">
        <w:t>to the Melton Planning Scheme</w:t>
      </w:r>
      <w:r w:rsidR="00473498">
        <w:t xml:space="preserve"> (</w:t>
      </w:r>
      <w:r w:rsidR="009436EA" w:rsidRPr="00FD5BFD">
        <w:t>HO58</w:t>
      </w:r>
      <w:r w:rsidR="00473498">
        <w:t>)</w:t>
      </w:r>
      <w:r w:rsidR="009436EA" w:rsidRPr="00FD5BFD">
        <w:t xml:space="preserve">. </w:t>
      </w:r>
      <w:r w:rsidR="00B33407" w:rsidRPr="00FD5BFD">
        <w:rPr>
          <w:rFonts w:cs="TimesNewRomanPSMT"/>
        </w:rPr>
        <w:t>Built in 1906, the house appears to have been altered and extended but its basic Late Victorian/Federation design qualities are still visible.</w:t>
      </w:r>
      <w:r w:rsidR="00B33407" w:rsidRPr="00FD5BFD">
        <w:t xml:space="preserve"> It is moderately intact and one of few remaining </w:t>
      </w:r>
      <w:r w:rsidR="00B33407" w:rsidRPr="00FD5BFD">
        <w:rPr>
          <w:rFonts w:cs="TimesNewRomanPSMT"/>
        </w:rPr>
        <w:t xml:space="preserve">houses associated with the Closer Settlement Board </w:t>
      </w:r>
      <w:proofErr w:type="spellStart"/>
      <w:r w:rsidR="00B33407" w:rsidRPr="00FD5BFD">
        <w:rPr>
          <w:rFonts w:cs="TimesNewRomanPSMT"/>
        </w:rPr>
        <w:t>Overnewton</w:t>
      </w:r>
      <w:proofErr w:type="spellEnd"/>
      <w:r w:rsidR="00B33407" w:rsidRPr="00FD5BFD">
        <w:rPr>
          <w:rFonts w:cs="TimesNewRomanPSMT"/>
        </w:rPr>
        <w:t xml:space="preserve"> Estate subdivision of 1905-</w:t>
      </w:r>
      <w:r w:rsidR="00E45FC4" w:rsidRPr="00FD5BFD">
        <w:rPr>
          <w:rFonts w:cs="TimesNewRomanPSMT"/>
        </w:rPr>
        <w:t>190</w:t>
      </w:r>
      <w:r w:rsidR="00B33407" w:rsidRPr="00FD5BFD">
        <w:rPr>
          <w:rFonts w:cs="TimesNewRomanPSMT"/>
        </w:rPr>
        <w:t xml:space="preserve">6. </w:t>
      </w:r>
      <w:r w:rsidR="00FD5BFD" w:rsidRPr="00FD5BFD">
        <w:rPr>
          <w:rFonts w:cs="Open Sans"/>
        </w:rPr>
        <w:t xml:space="preserve">From 1906, the vast </w:t>
      </w:r>
      <w:proofErr w:type="spellStart"/>
      <w:r w:rsidR="00FD5BFD" w:rsidRPr="00FD5BFD">
        <w:rPr>
          <w:rFonts w:cs="Open Sans"/>
        </w:rPr>
        <w:t>Overnewton</w:t>
      </w:r>
      <w:proofErr w:type="spellEnd"/>
      <w:r w:rsidR="00FD5BFD" w:rsidRPr="00FD5BFD">
        <w:rPr>
          <w:rFonts w:cs="Open Sans"/>
        </w:rPr>
        <w:t xml:space="preserve"> Estate of William Taylor and much of Clarke’s Rockbank land was purchased by the </w:t>
      </w:r>
      <w:r w:rsidR="00FD5BFD" w:rsidRPr="00FD5BFD">
        <w:rPr>
          <w:rFonts w:cs="Open Sans"/>
        </w:rPr>
        <w:lastRenderedPageBreak/>
        <w:t xml:space="preserve">Closer Settlement Board and the pastoral estates were broken up into small farms of an average 150 acres. About a dozen such farms were created. In the various land sales by the Closer Settlement Board, a number of farming families were able to settle in the district permanently. </w:t>
      </w:r>
      <w:r w:rsidR="00B33407" w:rsidRPr="00FD5BFD">
        <w:rPr>
          <w:rFonts w:cs="TimesNewRomanPSMT"/>
        </w:rPr>
        <w:t xml:space="preserve">The row of Monterey Cypresses along the frontage is likely to have been planted in </w:t>
      </w:r>
      <w:r w:rsidR="00007764" w:rsidRPr="00FD5BFD">
        <w:rPr>
          <w:rFonts w:cs="TimesNewRomanPSMT"/>
        </w:rPr>
        <w:t xml:space="preserve">accordance </w:t>
      </w:r>
      <w:r w:rsidR="00B33407" w:rsidRPr="00FD5BFD">
        <w:rPr>
          <w:rFonts w:cs="TimesNewRomanPSMT"/>
        </w:rPr>
        <w:t>with the Closer Settlement Board’s landscapin</w:t>
      </w:r>
      <w:r w:rsidR="00E45FC4" w:rsidRPr="00FD5BFD">
        <w:rPr>
          <w:rFonts w:cs="TimesNewRomanPSMT"/>
        </w:rPr>
        <w:t>g requirements for the property</w:t>
      </w:r>
      <w:r w:rsidR="00B33407" w:rsidRPr="00FD5BFD">
        <w:rPr>
          <w:rFonts w:cs="TimesNewRomanPSMT"/>
        </w:rPr>
        <w:t xml:space="preserve"> and contributes to the historical significance of the place</w:t>
      </w:r>
      <w:r w:rsidR="00B33407" w:rsidRPr="00CF2FED">
        <w:rPr>
          <w:rFonts w:cs="TimesNewRomanPSMT"/>
        </w:rPr>
        <w:t>.</w:t>
      </w:r>
    </w:p>
    <w:p w14:paraId="6801DF6D" w14:textId="2EB22DCE" w:rsidR="004E1F6E" w:rsidRPr="00BC5A8A" w:rsidRDefault="00BC5A8A" w:rsidP="00BC5A8A">
      <w:pPr>
        <w:pStyle w:val="Heading2"/>
      </w:pPr>
      <w:r>
        <w:t xml:space="preserve">5.2 </w:t>
      </w:r>
      <w:proofErr w:type="spellStart"/>
      <w:r w:rsidR="00B33407" w:rsidRPr="00BC5A8A">
        <w:t>Beattys</w:t>
      </w:r>
      <w:proofErr w:type="spellEnd"/>
      <w:r w:rsidR="00B33407" w:rsidRPr="00BC5A8A">
        <w:t xml:space="preserve"> Road House Site</w:t>
      </w:r>
      <w:r w:rsidR="00D02341" w:rsidRPr="00BC5A8A">
        <w:t xml:space="preserve"> </w:t>
      </w:r>
      <w:r w:rsidR="009561FB" w:rsidRPr="00BC5A8A">
        <w:t xml:space="preserve">- </w:t>
      </w:r>
      <w:r w:rsidR="00D02341" w:rsidRPr="00BC5A8A">
        <w:t>206 Beattys Road</w:t>
      </w:r>
    </w:p>
    <w:p w14:paraId="2AE559B3" w14:textId="2DF0B0CA" w:rsidR="00C040F3" w:rsidRDefault="009E3FD4" w:rsidP="00C040F3">
      <w:r>
        <w:t xml:space="preserve">The </w:t>
      </w:r>
      <w:r w:rsidR="00473498">
        <w:t>report</w:t>
      </w:r>
      <w:r>
        <w:t xml:space="preserve"> identified </w:t>
      </w:r>
      <w:r w:rsidR="00473498">
        <w:t>an</w:t>
      </w:r>
      <w:r w:rsidR="003001D8">
        <w:t xml:space="preserve"> archaeological site</w:t>
      </w:r>
      <w:r w:rsidR="00FB3FED">
        <w:t xml:space="preserve"> at 206 Beattys Road</w:t>
      </w:r>
      <w:r w:rsidR="00007764">
        <w:t xml:space="preserve"> in the Plumpton PSP</w:t>
      </w:r>
      <w:r w:rsidR="00C040F3">
        <w:t>. This was identified</w:t>
      </w:r>
      <w:r w:rsidR="00007764">
        <w:t xml:space="preserve"> </w:t>
      </w:r>
      <w:r w:rsidR="00C040F3">
        <w:t xml:space="preserve">as </w:t>
      </w:r>
      <w:r w:rsidR="00007764">
        <w:t>the site of a</w:t>
      </w:r>
      <w:r w:rsidR="00C040F3">
        <w:t xml:space="preserve"> former weatherboard farmhouse and</w:t>
      </w:r>
      <w:r w:rsidR="00007764">
        <w:t xml:space="preserve"> is also shown on the 1917 and </w:t>
      </w:r>
      <w:r w:rsidR="00E45FC4">
        <w:t>1930 o</w:t>
      </w:r>
      <w:r w:rsidR="00C040F3">
        <w:t>rdinance survey maps. The</w:t>
      </w:r>
      <w:r w:rsidR="00007764">
        <w:t xml:space="preserve"> site</w:t>
      </w:r>
      <w:r w:rsidR="00FB3FED">
        <w:t xml:space="preserve"> is</w:t>
      </w:r>
      <w:r w:rsidR="003001D8">
        <w:t xml:space="preserve"> listed on the Victorian Heritage Invento</w:t>
      </w:r>
      <w:r w:rsidR="00ED2E4C">
        <w:t>ry</w:t>
      </w:r>
      <w:r w:rsidR="00473498">
        <w:t xml:space="preserve"> (</w:t>
      </w:r>
      <w:r w:rsidR="003001D8">
        <w:t>H7822-2318</w:t>
      </w:r>
      <w:r w:rsidR="00473498">
        <w:t>)</w:t>
      </w:r>
      <w:r w:rsidR="00FB3FED">
        <w:t>.</w:t>
      </w:r>
      <w:r w:rsidR="00C040F3" w:rsidRPr="00C040F3">
        <w:t xml:space="preserve"> </w:t>
      </w:r>
      <w:r w:rsidR="00C040F3">
        <w:t xml:space="preserve">The farmhouse was </w:t>
      </w:r>
      <w:r w:rsidR="009561FB">
        <w:t xml:space="preserve">most </w:t>
      </w:r>
      <w:r w:rsidR="00C040F3">
        <w:t>likely constructed during the early 20</w:t>
      </w:r>
      <w:r w:rsidR="00C040F3" w:rsidRPr="00C040F3">
        <w:rPr>
          <w:vertAlign w:val="superscript"/>
        </w:rPr>
        <w:t>th</w:t>
      </w:r>
      <w:r w:rsidR="00C040F3">
        <w:t xml:space="preserve"> century following the Closer Settlement Board </w:t>
      </w:r>
      <w:proofErr w:type="spellStart"/>
      <w:r w:rsidR="00C040F3">
        <w:t>Overnewton</w:t>
      </w:r>
      <w:proofErr w:type="spellEnd"/>
      <w:r w:rsidR="00C040F3">
        <w:t xml:space="preserve"> Estate subdivision of 1905-06 for small scale farming. Today the site consists of archaeological remains. </w:t>
      </w:r>
    </w:p>
    <w:p w14:paraId="3BAF0098" w14:textId="0AF29EF2" w:rsidR="00D02341" w:rsidRPr="000F1F6D" w:rsidRDefault="00BC5A8A" w:rsidP="00BC5A8A">
      <w:pPr>
        <w:pStyle w:val="Heading2"/>
      </w:pPr>
      <w:r>
        <w:t xml:space="preserve">5.3 </w:t>
      </w:r>
      <w:proofErr w:type="spellStart"/>
      <w:r w:rsidR="002F323D" w:rsidRPr="000F1F6D">
        <w:t>Deanside</w:t>
      </w:r>
      <w:proofErr w:type="spellEnd"/>
      <w:r w:rsidR="002F323D" w:rsidRPr="000F1F6D">
        <w:t xml:space="preserve"> </w:t>
      </w:r>
      <w:r w:rsidR="000F1F6D">
        <w:t>Homestead</w:t>
      </w:r>
      <w:r w:rsidR="002F323D" w:rsidRPr="000F1F6D">
        <w:t xml:space="preserve"> Complex</w:t>
      </w:r>
      <w:r w:rsidR="00A82301" w:rsidRPr="000F1F6D">
        <w:t xml:space="preserve"> </w:t>
      </w:r>
      <w:r w:rsidR="009561FB" w:rsidRPr="000F1F6D">
        <w:t xml:space="preserve">- </w:t>
      </w:r>
      <w:r w:rsidR="00A82301" w:rsidRPr="000F1F6D">
        <w:t>96-103 Reed Court</w:t>
      </w:r>
    </w:p>
    <w:p w14:paraId="43B69585" w14:textId="7F62A156" w:rsidR="00A82301" w:rsidRDefault="00ED2E4C" w:rsidP="00A82301">
      <w:r>
        <w:t>The</w:t>
      </w:r>
      <w:r w:rsidR="00A82301">
        <w:t xml:space="preserve"> </w:t>
      </w:r>
      <w:r w:rsidR="00473498">
        <w:t>report</w:t>
      </w:r>
      <w:r w:rsidR="00A82301">
        <w:t xml:space="preserve"> identified a previously registered built heritage site</w:t>
      </w:r>
      <w:r w:rsidR="009561FB">
        <w:t>:</w:t>
      </w:r>
      <w:r w:rsidR="00A82301">
        <w:t xml:space="preserve"> a farm complex at 96-103 Reed Court</w:t>
      </w:r>
      <w:r w:rsidR="002E49BC">
        <w:t>. The site is</w:t>
      </w:r>
      <w:r w:rsidR="00A82301">
        <w:t xml:space="preserve"> </w:t>
      </w:r>
      <w:r>
        <w:t xml:space="preserve">of both local and state significance and is </w:t>
      </w:r>
      <w:r w:rsidR="00A82301">
        <w:t>listed on</w:t>
      </w:r>
      <w:r>
        <w:t xml:space="preserve"> both</w:t>
      </w:r>
      <w:r w:rsidR="00A82301">
        <w:t xml:space="preserve"> the Victorian Heritage Register (H0810) and Heritage Overlay to the Melton Planning Scheme (HO4). The site consists of the remnant buildings of the former Deanside Head Station, part of the Clarke family’s Rockbank Estate pastoral empire. </w:t>
      </w:r>
    </w:p>
    <w:p w14:paraId="4E92E209" w14:textId="7D6311CD" w:rsidR="001C02D6" w:rsidRDefault="00A82301" w:rsidP="001C02D6">
      <w:r w:rsidRPr="00E95D97">
        <w:t xml:space="preserve">The Deanside property is one of the most significant early pastoral estates in Victoria and the most substantial and intact within the greater Melbourne metropolitan area. It is significant for its association with notable pioneers W.C. </w:t>
      </w:r>
      <w:proofErr w:type="spellStart"/>
      <w:r w:rsidRPr="00E95D97">
        <w:t>Yuille</w:t>
      </w:r>
      <w:proofErr w:type="spellEnd"/>
      <w:r w:rsidRPr="00E95D97">
        <w:t xml:space="preserve">, and particularly with Australian’s mid nineteenth century pastoral giant W.J.T. Clarke. The shearing shed and head station complex is a key component of the Clarke pastoral empire which was the most significant supplier of sheep to the Newmarket saleyards in the nineteenth century. It therefore warrants the high level of heritage protection and sympathetic conservation and management that </w:t>
      </w:r>
      <w:r w:rsidR="009565E9">
        <w:t>it</w:t>
      </w:r>
      <w:r w:rsidR="009565E9" w:rsidRPr="00E95D97">
        <w:t xml:space="preserve"> </w:t>
      </w:r>
      <w:r w:rsidRPr="00E95D97">
        <w:t>has received in recent</w:t>
      </w:r>
      <w:r w:rsidR="001C02D6">
        <w:t xml:space="preserve"> decades. </w:t>
      </w:r>
    </w:p>
    <w:p w14:paraId="73F6617C" w14:textId="77777777" w:rsidR="001C02D6" w:rsidRDefault="001C02D6" w:rsidP="001C02D6">
      <w:r>
        <w:t>The pastoral complex is significantly intact and consists of a group of six buildings, all constructed of bluestone with galvanised corrugated iron roofs. They include:</w:t>
      </w:r>
    </w:p>
    <w:p w14:paraId="4E06D9AB" w14:textId="77777777" w:rsidR="001C02D6" w:rsidRDefault="001C02D6" w:rsidP="009E33F9">
      <w:pPr>
        <w:pStyle w:val="ListParagraph"/>
        <w:numPr>
          <w:ilvl w:val="0"/>
          <w:numId w:val="6"/>
        </w:numPr>
      </w:pPr>
      <w:r>
        <w:t>The shearing shed/woolshed</w:t>
      </w:r>
    </w:p>
    <w:p w14:paraId="77D94644" w14:textId="77777777" w:rsidR="001C02D6" w:rsidRDefault="001C02D6" w:rsidP="009E33F9">
      <w:pPr>
        <w:pStyle w:val="ListParagraph"/>
        <w:numPr>
          <w:ilvl w:val="0"/>
          <w:numId w:val="6"/>
        </w:numPr>
      </w:pPr>
      <w:r>
        <w:t>The manager’s house</w:t>
      </w:r>
    </w:p>
    <w:p w14:paraId="6569940A" w14:textId="77777777" w:rsidR="001C02D6" w:rsidRDefault="001C02D6" w:rsidP="009E33F9">
      <w:pPr>
        <w:pStyle w:val="ListParagraph"/>
        <w:numPr>
          <w:ilvl w:val="0"/>
          <w:numId w:val="6"/>
        </w:numPr>
      </w:pPr>
      <w:r>
        <w:t>The shearer’s quarters</w:t>
      </w:r>
    </w:p>
    <w:p w14:paraId="1E612EDC" w14:textId="77777777" w:rsidR="001C02D6" w:rsidRDefault="001C02D6" w:rsidP="009E33F9">
      <w:pPr>
        <w:pStyle w:val="ListParagraph"/>
        <w:numPr>
          <w:ilvl w:val="0"/>
          <w:numId w:val="6"/>
        </w:numPr>
      </w:pPr>
      <w:r>
        <w:t>The boundary rider’s quarters</w:t>
      </w:r>
    </w:p>
    <w:p w14:paraId="114F5EA1" w14:textId="77777777" w:rsidR="001C02D6" w:rsidRDefault="001C02D6" w:rsidP="009E33F9">
      <w:pPr>
        <w:pStyle w:val="ListParagraph"/>
        <w:numPr>
          <w:ilvl w:val="0"/>
          <w:numId w:val="6"/>
        </w:numPr>
      </w:pPr>
      <w:r>
        <w:t>The cook’s house</w:t>
      </w:r>
    </w:p>
    <w:p w14:paraId="2CEDFC83" w14:textId="77777777" w:rsidR="001C02D6" w:rsidRDefault="001C02D6" w:rsidP="009E33F9">
      <w:pPr>
        <w:pStyle w:val="ListParagraph"/>
        <w:numPr>
          <w:ilvl w:val="0"/>
          <w:numId w:val="6"/>
        </w:numPr>
      </w:pPr>
      <w:r>
        <w:t>The stables</w:t>
      </w:r>
    </w:p>
    <w:p w14:paraId="40FD0601" w14:textId="77777777" w:rsidR="001C02D6" w:rsidRDefault="001C02D6" w:rsidP="00D02341">
      <w:r>
        <w:t>The property also includes a bluestone ruin with a substantial gable end (a possible killing shed), a large bluestone underground tank, a causeway (ford) across the Kororoit Creek, a number of dry stone walls, a lime or brick kiln and a number of mature exotic plantings including remnant pine and hawthorn trees.</w:t>
      </w:r>
    </w:p>
    <w:p w14:paraId="45DC3B17" w14:textId="77777777" w:rsidR="00CA7225" w:rsidRPr="007A0CEE" w:rsidRDefault="007A0CEE" w:rsidP="00D02341">
      <w:r w:rsidRPr="007A0CEE">
        <w:t>The</w:t>
      </w:r>
      <w:r w:rsidR="001C02D6">
        <w:t xml:space="preserve"> large bluestone</w:t>
      </w:r>
      <w:r w:rsidRPr="007A0CEE">
        <w:t xml:space="preserve"> </w:t>
      </w:r>
      <w:r w:rsidR="001C02D6">
        <w:t>woolshed is listed on the National Trust Register (B3082). This listing relates to the woolshed only, not the whole complex. T</w:t>
      </w:r>
      <w:r w:rsidR="00696C32">
        <w:t>he woolshed was designed by leading architects</w:t>
      </w:r>
      <w:r w:rsidR="001C02D6">
        <w:t xml:space="preserve"> Reed and Barnes and was built in 1864 whilst the property was in the hands of W</w:t>
      </w:r>
      <w:r w:rsidR="00473498">
        <w:t>.</w:t>
      </w:r>
      <w:r w:rsidR="001C02D6">
        <w:t>J</w:t>
      </w:r>
      <w:r w:rsidR="00473498">
        <w:t>.</w:t>
      </w:r>
      <w:r w:rsidR="001C02D6">
        <w:t>T</w:t>
      </w:r>
      <w:r w:rsidR="00473498">
        <w:t>.</w:t>
      </w:r>
      <w:r w:rsidR="001C02D6">
        <w:t xml:space="preserve"> Clarke.</w:t>
      </w:r>
      <w:r w:rsidR="00696C32">
        <w:t xml:space="preserve"> It is amongst the earliest and substantial woolsheds remaining in Victoria and is the most </w:t>
      </w:r>
      <w:r w:rsidR="00473498">
        <w:t>significant</w:t>
      </w:r>
      <w:r w:rsidR="00696C32">
        <w:t xml:space="preserve"> building on </w:t>
      </w:r>
      <w:r w:rsidR="00696C32">
        <w:lastRenderedPageBreak/>
        <w:t>the former Rockbank estate. The use of bluestone throughout the complex is distinctive and provides visual unity as well as a connection with the volcanic la</w:t>
      </w:r>
      <w:r w:rsidR="00ED2E4C">
        <w:t>ndscape in which it is situated</w:t>
      </w:r>
      <w:r w:rsidR="00696C32">
        <w:t xml:space="preserve">. The woolshed has had several nineteenth century extensions, but it is possible to distinguish its original and later arrangements and fabric. </w:t>
      </w:r>
    </w:p>
    <w:p w14:paraId="51EC5CE5" w14:textId="254A4226" w:rsidR="00B36785" w:rsidRDefault="00ED2E4C" w:rsidP="00B36785">
      <w:r>
        <w:t xml:space="preserve">The </w:t>
      </w:r>
      <w:r w:rsidR="00473498">
        <w:t>report</w:t>
      </w:r>
      <w:r w:rsidR="00B2185C" w:rsidRPr="003E659E">
        <w:t xml:space="preserve"> identified one </w:t>
      </w:r>
      <w:r w:rsidR="00B36785" w:rsidRPr="003E659E">
        <w:t>archaeological</w:t>
      </w:r>
      <w:r w:rsidR="00B36785">
        <w:t xml:space="preserve"> site of s</w:t>
      </w:r>
      <w:r w:rsidR="00B2185C">
        <w:t>tate significance at 96-103 Reed Court; VHI H78222-2332 (Deanside Mansion Complex Site). The site was subsequently relisted on the Victorian Heritage Inventory, however,</w:t>
      </w:r>
      <w:r w:rsidR="00B36785">
        <w:t xml:space="preserve"> following discussions with</w:t>
      </w:r>
      <w:r w:rsidR="00B2185C">
        <w:t xml:space="preserve"> Heritage Victoria</w:t>
      </w:r>
      <w:r w:rsidR="00B36785">
        <w:t xml:space="preserve">, Heritage Victoria </w:t>
      </w:r>
      <w:r w:rsidR="00CA7225">
        <w:t>has amend</w:t>
      </w:r>
      <w:r w:rsidR="00CD4005">
        <w:t>ed</w:t>
      </w:r>
      <w:r w:rsidR="00CA7225">
        <w:t xml:space="preserve"> the registration</w:t>
      </w:r>
      <w:r w:rsidR="00B36785">
        <w:t xml:space="preserve"> include </w:t>
      </w:r>
      <w:r w:rsidR="00CA7225">
        <w:t xml:space="preserve">the former mansion site </w:t>
      </w:r>
      <w:r w:rsidR="00B36785">
        <w:t>under the same registration as the</w:t>
      </w:r>
      <w:r w:rsidR="00B2185C">
        <w:t xml:space="preserve"> Deanside Woolshed VHR listing</w:t>
      </w:r>
      <w:r w:rsidR="00473498">
        <w:t xml:space="preserve"> and rename the area</w:t>
      </w:r>
      <w:r w:rsidR="00CA7225">
        <w:t xml:space="preserve"> to the Deanside Homestead Comp</w:t>
      </w:r>
      <w:r w:rsidR="00473498">
        <w:t>lex</w:t>
      </w:r>
      <w:r w:rsidR="00B2185C">
        <w:t xml:space="preserve">. </w:t>
      </w:r>
      <w:r w:rsidR="00B36785">
        <w:t>The heritage places are historically linked and it should be managed as a whole.</w:t>
      </w:r>
    </w:p>
    <w:p w14:paraId="73B4A57D" w14:textId="77777777" w:rsidR="00696C32" w:rsidRPr="00B36785" w:rsidRDefault="00696C32" w:rsidP="00B36785">
      <w:pPr>
        <w:rPr>
          <w:b/>
        </w:rPr>
      </w:pPr>
      <w:r w:rsidRPr="00E95D97">
        <w:t xml:space="preserve">The mansion complex contains archaeological remains of the former mansion/homestead built by W.J. Clarke at the Rockbank head station, later known as Deanside. The head station was an important component of the Clarke pastoral empire and formed part of the massive 40,000 acre Rockbank Estate. </w:t>
      </w:r>
      <w:r w:rsidR="00B36785">
        <w:t>The mansion site once exhibited the lavish lifestyles of the wealthy pastoral families.</w:t>
      </w:r>
      <w:r w:rsidR="00B36785" w:rsidRPr="00E95D97">
        <w:t xml:space="preserve"> </w:t>
      </w:r>
      <w:r w:rsidR="00B36785">
        <w:t>It</w:t>
      </w:r>
      <w:r w:rsidRPr="00E95D97">
        <w:t xml:space="preserve"> is closely associated with other heritage places in the vicinity, notably the Deanside Woolshed Complex. </w:t>
      </w:r>
    </w:p>
    <w:p w14:paraId="743DA69E" w14:textId="77777777" w:rsidR="00283EF5" w:rsidRDefault="00696C32" w:rsidP="00283EF5">
      <w:r w:rsidRPr="00E95D97">
        <w:t>Archaeological features include:</w:t>
      </w:r>
    </w:p>
    <w:p w14:paraId="7C2DDF20" w14:textId="77777777" w:rsidR="00283EF5" w:rsidRDefault="00696C32" w:rsidP="009E33F9">
      <w:pPr>
        <w:pStyle w:val="ListParagraph"/>
        <w:numPr>
          <w:ilvl w:val="0"/>
          <w:numId w:val="7"/>
        </w:numPr>
      </w:pPr>
      <w:r w:rsidRPr="00E95D97">
        <w:t>Remnant bluestone blocks and red/white bricks that were part of the mansion walls</w:t>
      </w:r>
    </w:p>
    <w:p w14:paraId="06D5C5D7" w14:textId="77777777" w:rsidR="00283EF5" w:rsidRDefault="00696C32" w:rsidP="009E33F9">
      <w:pPr>
        <w:pStyle w:val="ListParagraph"/>
        <w:numPr>
          <w:ilvl w:val="0"/>
          <w:numId w:val="7"/>
        </w:numPr>
      </w:pPr>
      <w:r w:rsidRPr="00E95D97">
        <w:t>Possible remnants of a cellar</w:t>
      </w:r>
    </w:p>
    <w:p w14:paraId="52137C48" w14:textId="77777777" w:rsidR="00283EF5" w:rsidRDefault="00696C32" w:rsidP="009E33F9">
      <w:pPr>
        <w:pStyle w:val="ListParagraph"/>
        <w:numPr>
          <w:ilvl w:val="0"/>
          <w:numId w:val="7"/>
        </w:numPr>
      </w:pPr>
      <w:r w:rsidRPr="00E95D97">
        <w:t>A rock-domed cistern</w:t>
      </w:r>
    </w:p>
    <w:p w14:paraId="5093B251" w14:textId="77777777" w:rsidR="00283EF5" w:rsidRDefault="00696C32" w:rsidP="009E33F9">
      <w:pPr>
        <w:pStyle w:val="ListParagraph"/>
        <w:numPr>
          <w:ilvl w:val="0"/>
          <w:numId w:val="7"/>
        </w:numPr>
      </w:pPr>
      <w:r>
        <w:t>A brick-lined well</w:t>
      </w:r>
    </w:p>
    <w:p w14:paraId="4D2CB74D" w14:textId="77777777" w:rsidR="00283EF5" w:rsidRDefault="00696C32" w:rsidP="009E33F9">
      <w:pPr>
        <w:pStyle w:val="ListParagraph"/>
        <w:numPr>
          <w:ilvl w:val="0"/>
          <w:numId w:val="7"/>
        </w:numPr>
      </w:pPr>
      <w:r>
        <w:t>Possible footings of out buildings</w:t>
      </w:r>
    </w:p>
    <w:p w14:paraId="4780D1B3" w14:textId="77777777" w:rsidR="00283EF5" w:rsidRDefault="00696C32" w:rsidP="009E33F9">
      <w:pPr>
        <w:pStyle w:val="ListParagraph"/>
        <w:numPr>
          <w:ilvl w:val="0"/>
          <w:numId w:val="7"/>
        </w:numPr>
      </w:pPr>
      <w:r>
        <w:t>A stone lined circular driveway</w:t>
      </w:r>
    </w:p>
    <w:p w14:paraId="33F999DE" w14:textId="77777777" w:rsidR="00283EF5" w:rsidRDefault="00696C32" w:rsidP="009E33F9">
      <w:pPr>
        <w:pStyle w:val="ListParagraph"/>
        <w:numPr>
          <w:ilvl w:val="0"/>
          <w:numId w:val="7"/>
        </w:numPr>
      </w:pPr>
      <w:r>
        <w:t>Stone and red-brick pig pens</w:t>
      </w:r>
    </w:p>
    <w:p w14:paraId="0990AB53" w14:textId="77777777" w:rsidR="00283EF5" w:rsidRDefault="00696C32" w:rsidP="009E33F9">
      <w:pPr>
        <w:pStyle w:val="ListParagraph"/>
        <w:numPr>
          <w:ilvl w:val="0"/>
          <w:numId w:val="7"/>
        </w:numPr>
      </w:pPr>
      <w:r>
        <w:t>A refurbished dry stone wall along the norther and western boundaries</w:t>
      </w:r>
    </w:p>
    <w:p w14:paraId="0E09422F" w14:textId="77777777" w:rsidR="00696C32" w:rsidRDefault="00696C32" w:rsidP="009E33F9">
      <w:pPr>
        <w:pStyle w:val="ListParagraph"/>
        <w:numPr>
          <w:ilvl w:val="0"/>
          <w:numId w:val="7"/>
        </w:numPr>
      </w:pPr>
      <w:r>
        <w:t>Surface artefacts of domestic and occupational activity</w:t>
      </w:r>
    </w:p>
    <w:p w14:paraId="143CACF0" w14:textId="77777777" w:rsidR="00283EF5" w:rsidRDefault="00696C32" w:rsidP="00696C32">
      <w:r w:rsidRPr="00B36785">
        <w:t>The site also includes a large group of mature sugar gums and other trees marking the extent of the garden.</w:t>
      </w:r>
      <w:r>
        <w:t xml:space="preserve"> </w:t>
      </w:r>
    </w:p>
    <w:p w14:paraId="0DAF7974" w14:textId="31EF0D81" w:rsidR="00A26B65" w:rsidRDefault="0018417A" w:rsidP="00A26B65">
      <w:pPr>
        <w:widowControl w:val="0"/>
        <w:spacing w:after="0" w:line="240" w:lineRule="auto"/>
      </w:pPr>
      <w:r>
        <w:t xml:space="preserve">The </w:t>
      </w:r>
      <w:r w:rsidR="00A26B65">
        <w:t xml:space="preserve">Kororoit </w:t>
      </w:r>
      <w:r>
        <w:t xml:space="preserve">PSP </w:t>
      </w:r>
      <w:r w:rsidR="0068389B">
        <w:t>includes guidelines with the aim</w:t>
      </w:r>
      <w:r w:rsidR="00A26B65">
        <w:t xml:space="preserve"> to increase the local knowledge of the site’s significance by encouraging public engagement and developing interpretive materials and to ensure that new development does not adversely impact on the </w:t>
      </w:r>
      <w:r w:rsidR="00BC5A8A">
        <w:t xml:space="preserve">setting of the heritage place. </w:t>
      </w:r>
    </w:p>
    <w:p w14:paraId="76C33EF0" w14:textId="3AE5D858" w:rsidR="00696C32" w:rsidRPr="000F1F6D" w:rsidRDefault="00BC5A8A" w:rsidP="00BC5A8A">
      <w:pPr>
        <w:pStyle w:val="Heading2"/>
      </w:pPr>
      <w:r>
        <w:t xml:space="preserve">5.4 </w:t>
      </w:r>
      <w:proofErr w:type="spellStart"/>
      <w:r w:rsidR="00283EF5" w:rsidRPr="000F1F6D">
        <w:t>Deanside</w:t>
      </w:r>
      <w:proofErr w:type="spellEnd"/>
      <w:r w:rsidR="00283EF5" w:rsidRPr="000F1F6D">
        <w:t xml:space="preserve"> southern access track </w:t>
      </w:r>
    </w:p>
    <w:p w14:paraId="3B526F87" w14:textId="1CCF58CE" w:rsidR="00283EF5" w:rsidRDefault="00283EF5" w:rsidP="00283EF5">
      <w:r w:rsidRPr="00283EF5">
        <w:t>The field su</w:t>
      </w:r>
      <w:r>
        <w:t>rvey identified an archaeological site listed on the V</w:t>
      </w:r>
      <w:r w:rsidR="00B36785">
        <w:t>ictorian Heritage Inventory</w:t>
      </w:r>
      <w:r w:rsidR="00CA7225">
        <w:t xml:space="preserve"> (</w:t>
      </w:r>
      <w:r>
        <w:t>H78222-2320</w:t>
      </w:r>
      <w:r w:rsidR="00CA7225">
        <w:t>) within</w:t>
      </w:r>
      <w:r>
        <w:t xml:space="preserve"> the Kororoit PSP. The registered site is approximately 460m long and 10m wide. The Deanside southern access track formed the original entrance drive to the Deanside pastoral </w:t>
      </w:r>
      <w:r w:rsidR="00CA7225">
        <w:t>homestead</w:t>
      </w:r>
      <w:r>
        <w:t>, diverging off Neale Road heading north where it makes a 180 degree bend to approach the ford on Kororoit Creek immediately opposite the Deanside complex. The track is formed from a raised earth bed and in parts paved with basalt field stone</w:t>
      </w:r>
      <w:r w:rsidR="0018417A">
        <w:t>, and the PSP proposes to retain this track as the median to a local road to retain some evidence of the local history.</w:t>
      </w:r>
    </w:p>
    <w:p w14:paraId="60471115" w14:textId="77777777" w:rsidR="009060B6" w:rsidRDefault="009060B6">
      <w:pPr>
        <w:rPr>
          <w:rFonts w:eastAsia="Times New Roman" w:cs="Times New Roman"/>
          <w:b/>
          <w:bCs/>
          <w:iCs/>
          <w:sz w:val="28"/>
          <w:szCs w:val="24"/>
        </w:rPr>
      </w:pPr>
      <w:r>
        <w:br w:type="page"/>
      </w:r>
    </w:p>
    <w:p w14:paraId="648D6F13" w14:textId="04EBAC8B" w:rsidR="00CC5691" w:rsidRPr="00BC5A8A" w:rsidRDefault="00BC5A8A" w:rsidP="009060B6">
      <w:pPr>
        <w:pStyle w:val="Heading2"/>
        <w:ind w:left="0" w:firstLine="0"/>
      </w:pPr>
      <w:r>
        <w:lastRenderedPageBreak/>
        <w:t xml:space="preserve">5.5 </w:t>
      </w:r>
      <w:r w:rsidR="00CC5691" w:rsidRPr="00BC5A8A">
        <w:t>Rockbank Head</w:t>
      </w:r>
      <w:r w:rsidR="00CD4005" w:rsidRPr="00BC5A8A">
        <w:t xml:space="preserve"> S</w:t>
      </w:r>
      <w:r w:rsidR="00CC5691" w:rsidRPr="00BC5A8A">
        <w:t>tation Dam</w:t>
      </w:r>
      <w:r w:rsidR="00C52A89" w:rsidRPr="00BC5A8A">
        <w:t xml:space="preserve"> 1233-1287 Taylors Road</w:t>
      </w:r>
    </w:p>
    <w:p w14:paraId="20EB0E5C" w14:textId="78F3D136" w:rsidR="00C52A89" w:rsidRPr="00CC5691" w:rsidRDefault="005F3EF6" w:rsidP="009F0474">
      <w:r>
        <w:t>The desktop review identified a site of local significance listed on a Heritage Overlay to the Melton Planning Scheme (</w:t>
      </w:r>
      <w:r w:rsidR="00507E47">
        <w:t>HO188</w:t>
      </w:r>
      <w:r>
        <w:t>)</w:t>
      </w:r>
      <w:r w:rsidR="00507E47">
        <w:t>. This heritage place includes the</w:t>
      </w:r>
      <w:r>
        <w:t xml:space="preserve"> dry stone dam wall and the dam is c</w:t>
      </w:r>
      <w:r w:rsidR="00507E47">
        <w:t xml:space="preserve">losely associated with the Deanside </w:t>
      </w:r>
      <w:r w:rsidR="00CD4005">
        <w:t>Woolshed</w:t>
      </w:r>
      <w:r w:rsidR="00507E47">
        <w:t xml:space="preserve"> Complex. </w:t>
      </w:r>
      <w:r w:rsidR="00C52A89">
        <w:t xml:space="preserve">The dam consists of an approximate 240m long dry </w:t>
      </w:r>
      <w:r>
        <w:t>stone</w:t>
      </w:r>
      <w:r w:rsidR="00C52A89">
        <w:t xml:space="preserve"> da</w:t>
      </w:r>
      <w:r w:rsidR="00632B3B">
        <w:t xml:space="preserve">m wall varying in height along </w:t>
      </w:r>
      <w:r w:rsidR="00C52A89">
        <w:t>i</w:t>
      </w:r>
      <w:r w:rsidR="00632B3B">
        <w:t>t</w:t>
      </w:r>
      <w:r w:rsidR="00C52A89">
        <w:t xml:space="preserve">s </w:t>
      </w:r>
      <w:r>
        <w:t>length</w:t>
      </w:r>
      <w:r w:rsidR="00C52A89">
        <w:t xml:space="preserve">. The central section has been breached with stone </w:t>
      </w:r>
      <w:r>
        <w:t>blocks.</w:t>
      </w:r>
      <w:r w:rsidR="0018417A">
        <w:t xml:space="preserve"> </w:t>
      </w:r>
      <w:r w:rsidR="0068389B">
        <w:t>The</w:t>
      </w:r>
      <w:r w:rsidR="00A26B65">
        <w:t xml:space="preserve"> community infrastructure associated with the</w:t>
      </w:r>
      <w:r w:rsidR="0068389B">
        <w:t xml:space="preserve"> Deanside Local Town Centre </w:t>
      </w:r>
      <w:r w:rsidR="000D5DDC">
        <w:t xml:space="preserve">Community Hub </w:t>
      </w:r>
      <w:r w:rsidR="009561FB">
        <w:t xml:space="preserve">has </w:t>
      </w:r>
      <w:r w:rsidR="0068389B">
        <w:t xml:space="preserve">been located in proximity to the Deanside Homestead Complex and Rockbank </w:t>
      </w:r>
      <w:r w:rsidR="00CD4005">
        <w:t>Head station</w:t>
      </w:r>
      <w:r w:rsidR="0068389B">
        <w:t xml:space="preserve"> Dam with the aim to create strong links </w:t>
      </w:r>
      <w:r w:rsidR="001F3262">
        <w:t>between the existing</w:t>
      </w:r>
      <w:r w:rsidR="0068389B">
        <w:t xml:space="preserve"> heritage </w:t>
      </w:r>
      <w:r w:rsidR="001F3262">
        <w:t>values of the area</w:t>
      </w:r>
      <w:r w:rsidR="0068389B">
        <w:t xml:space="preserve"> </w:t>
      </w:r>
      <w:r w:rsidR="00C6198A">
        <w:t xml:space="preserve">and the future community. Open space has also been provided around the dam. </w:t>
      </w:r>
    </w:p>
    <w:p w14:paraId="7492ACD2" w14:textId="01E9FD14" w:rsidR="00CC5691" w:rsidRPr="00BC5A8A" w:rsidRDefault="00BC5A8A" w:rsidP="00BC5A8A">
      <w:pPr>
        <w:pStyle w:val="Heading2"/>
      </w:pPr>
      <w:r>
        <w:t xml:space="preserve">5.6 </w:t>
      </w:r>
      <w:r w:rsidR="00C45E22" w:rsidRPr="00BC5A8A">
        <w:t xml:space="preserve">Clarkes Road </w:t>
      </w:r>
      <w:r w:rsidR="009561FB" w:rsidRPr="00BC5A8A">
        <w:t>Streamside</w:t>
      </w:r>
      <w:r w:rsidR="00CC5691" w:rsidRPr="00BC5A8A">
        <w:t xml:space="preserve"> Reserve</w:t>
      </w:r>
      <w:r w:rsidR="00507E47" w:rsidRPr="00BC5A8A">
        <w:t xml:space="preserve"> </w:t>
      </w:r>
      <w:r w:rsidR="009561FB" w:rsidRPr="00BC5A8A">
        <w:t xml:space="preserve">- </w:t>
      </w:r>
      <w:r w:rsidR="00507E47" w:rsidRPr="00BC5A8A">
        <w:t>260 Clarke Road</w:t>
      </w:r>
    </w:p>
    <w:p w14:paraId="39FCE67B" w14:textId="7F7FDCEF" w:rsidR="00CC5691" w:rsidRPr="00507E47" w:rsidRDefault="005F3EF6" w:rsidP="009F0474">
      <w:r>
        <w:t>The report identified</w:t>
      </w:r>
      <w:r w:rsidR="00632B3B">
        <w:t xml:space="preserve"> a</w:t>
      </w:r>
      <w:r>
        <w:t xml:space="preserve"> delisted Victorian Heritage Inventory Site. The site consists of a bluestone cobbled ford that has been recently concreted over. </w:t>
      </w:r>
      <w:r w:rsidR="00507E47">
        <w:t>The site was delisted in 2010</w:t>
      </w:r>
      <w:r w:rsidR="00C6198A">
        <w:t xml:space="preserve"> because its values have been </w:t>
      </w:r>
      <w:r w:rsidR="003A0D09">
        <w:t xml:space="preserve">largely </w:t>
      </w:r>
      <w:r w:rsidR="00831161">
        <w:t>disturbed</w:t>
      </w:r>
      <w:r w:rsidR="00507E47">
        <w:t xml:space="preserve">. </w:t>
      </w:r>
      <w:r w:rsidR="00C6198A">
        <w:t xml:space="preserve">The </w:t>
      </w:r>
      <w:r w:rsidR="00C6198A" w:rsidRPr="006B0289">
        <w:rPr>
          <w:i/>
        </w:rPr>
        <w:t>Kororoit and Plumpton Historical Cultural Heritage Assessment Report</w:t>
      </w:r>
      <w:r w:rsidR="00C6198A">
        <w:t xml:space="preserve"> (Biosis, 2014) commission by Melton City Council states that the Clarkes Road </w:t>
      </w:r>
      <w:r w:rsidR="009561FB">
        <w:t>Streamside Res</w:t>
      </w:r>
      <w:r w:rsidR="00C6198A">
        <w:t xml:space="preserve">erve was once a stop off on the droving journey to and from the Melbourne livestock markets. The report recommends that the ford and water reserve should be conserved and protected, with a future heritage overlay considered on these places. </w:t>
      </w:r>
    </w:p>
    <w:p w14:paraId="3622CFA1" w14:textId="455FA4CC" w:rsidR="009F0474" w:rsidRPr="00BC5A8A" w:rsidRDefault="00BC5A8A" w:rsidP="00BC5A8A">
      <w:pPr>
        <w:pStyle w:val="Heading2"/>
      </w:pPr>
      <w:r>
        <w:t xml:space="preserve">5.7 </w:t>
      </w:r>
      <w:proofErr w:type="spellStart"/>
      <w:r w:rsidR="009F0474" w:rsidRPr="00BC5A8A">
        <w:t>Ko</w:t>
      </w:r>
      <w:r w:rsidR="00C45E22" w:rsidRPr="00BC5A8A">
        <w:t>roroit</w:t>
      </w:r>
      <w:proofErr w:type="spellEnd"/>
      <w:r w:rsidR="00C45E22" w:rsidRPr="00BC5A8A">
        <w:t xml:space="preserve"> Creek Hut Foundations &amp;</w:t>
      </w:r>
      <w:r w:rsidR="009F0474" w:rsidRPr="00BC5A8A">
        <w:t xml:space="preserve"> Dry Stone Wall Complex</w:t>
      </w:r>
      <w:r w:rsidR="009561FB" w:rsidRPr="00BC5A8A">
        <w:t xml:space="preserve"> -</w:t>
      </w:r>
      <w:r w:rsidR="009F0474" w:rsidRPr="00BC5A8A">
        <w:t xml:space="preserve"> 961-1025 Taylors Road</w:t>
      </w:r>
    </w:p>
    <w:p w14:paraId="7084303F" w14:textId="77777777" w:rsidR="009F0474" w:rsidRDefault="009F0474" w:rsidP="009F0474">
      <w:r w:rsidRPr="00283EF5">
        <w:t>The field su</w:t>
      </w:r>
      <w:r>
        <w:t>rvey identified hut foundations and a dry stone wall complex, an archaeological site newly listed on the V</w:t>
      </w:r>
      <w:r w:rsidR="00632B3B">
        <w:t>ictorian Heritage Inventory (H7822-2321).</w:t>
      </w:r>
      <w:r w:rsidR="005F3EF6">
        <w:t xml:space="preserve"> The site includes</w:t>
      </w:r>
      <w:r>
        <w:t xml:space="preserve"> bluestone foundations of a hut on the northern side of the Kororoit Creek. The hut consists of at least two rooms and is likely to be the remains of a shepherd’s hut dating from the squatting era (c. 1840-50s). Around the hut is a series of dry stone walls. </w:t>
      </w:r>
    </w:p>
    <w:p w14:paraId="1A3BDC25" w14:textId="66B450DD" w:rsidR="009F0474" w:rsidRPr="000F1F6D" w:rsidRDefault="00BC5A8A" w:rsidP="00BC5A8A">
      <w:pPr>
        <w:pStyle w:val="Heading2"/>
      </w:pPr>
      <w:r>
        <w:t xml:space="preserve">5.8 </w:t>
      </w:r>
      <w:r w:rsidR="00C45E22" w:rsidRPr="000F1F6D">
        <w:t>Pinkerton’s Huts &amp;</w:t>
      </w:r>
      <w:r w:rsidR="009F0474" w:rsidRPr="000F1F6D">
        <w:t xml:space="preserve"> Dry Stone Wall </w:t>
      </w:r>
      <w:r w:rsidR="009561FB" w:rsidRPr="000F1F6D">
        <w:t>Complex -</w:t>
      </w:r>
      <w:r w:rsidR="009F0474" w:rsidRPr="000F1F6D">
        <w:t>194-248 Clarke Road &amp; 260 Clarke Road</w:t>
      </w:r>
    </w:p>
    <w:p w14:paraId="057949A4" w14:textId="77777777" w:rsidR="00507E47" w:rsidRPr="009F0474" w:rsidRDefault="009F0474" w:rsidP="009F0474">
      <w:r>
        <w:t>The report identified a newly listed V</w:t>
      </w:r>
      <w:r w:rsidR="005F3EF6">
        <w:t>ictorian Heritage Inventory</w:t>
      </w:r>
      <w:r>
        <w:t xml:space="preserve"> sit</w:t>
      </w:r>
      <w:r w:rsidR="00632B3B">
        <w:t>e (</w:t>
      </w:r>
      <w:r w:rsidR="00014C57">
        <w:t>H7822-2319</w:t>
      </w:r>
      <w:r w:rsidR="00632B3B">
        <w:t>)</w:t>
      </w:r>
      <w:r w:rsidR="00014C57">
        <w:t xml:space="preserve">. A </w:t>
      </w:r>
      <w:r>
        <w:t xml:space="preserve">geological map </w:t>
      </w:r>
      <w:r w:rsidR="00014C57">
        <w:t xml:space="preserve">from 1856 </w:t>
      </w:r>
      <w:r>
        <w:t xml:space="preserve">shows a hut, marked as Pinkerton Hut at 194-258 Clarke Road. </w:t>
      </w:r>
      <w:r w:rsidR="00CC5691">
        <w:t>A site visit was not conducted on the property. The site contains archaeological re</w:t>
      </w:r>
      <w:r w:rsidR="00632B3B">
        <w:t xml:space="preserve">mains of an early squatting era </w:t>
      </w:r>
      <w:r w:rsidR="00CC5691">
        <w:t>house or hut dating back from c. 1845.</w:t>
      </w:r>
      <w:r w:rsidR="00014C57">
        <w:t xml:space="preserve"> The remains consist of linear stone features and iron artefacts.</w:t>
      </w:r>
      <w:r w:rsidR="00CC5691">
        <w:t xml:space="preserve"> It has the potential to provide information about the lifestyle of early squatters and is associated with Jame</w:t>
      </w:r>
      <w:r w:rsidR="0041135A">
        <w:t>s</w:t>
      </w:r>
      <w:r w:rsidR="00CC5691">
        <w:t xml:space="preserve"> Pinkert</w:t>
      </w:r>
      <w:r w:rsidR="00FD5BFD">
        <w:t>on, one of the</w:t>
      </w:r>
      <w:r w:rsidR="00632B3B">
        <w:t xml:space="preserve"> area’s</w:t>
      </w:r>
      <w:r w:rsidR="00FD5BFD">
        <w:t xml:space="preserve"> early squatters</w:t>
      </w:r>
      <w:r w:rsidR="00014C57">
        <w:t>.</w:t>
      </w:r>
    </w:p>
    <w:p w14:paraId="190AD606" w14:textId="6B12C0FF" w:rsidR="0041135A" w:rsidRPr="000F1F6D" w:rsidRDefault="00BC5A8A" w:rsidP="00BC5A8A">
      <w:pPr>
        <w:pStyle w:val="Heading2"/>
      </w:pPr>
      <w:r>
        <w:t xml:space="preserve">5.9 </w:t>
      </w:r>
      <w:proofErr w:type="spellStart"/>
      <w:r w:rsidR="0041135A" w:rsidRPr="000F1F6D">
        <w:t>Cropley</w:t>
      </w:r>
      <w:proofErr w:type="spellEnd"/>
      <w:r w:rsidR="0041135A" w:rsidRPr="000F1F6D">
        <w:t xml:space="preserve"> Property Dry </w:t>
      </w:r>
      <w:r w:rsidR="00401EB6" w:rsidRPr="000F1F6D">
        <w:t>Stone Wall</w:t>
      </w:r>
      <w:r w:rsidR="009561FB" w:rsidRPr="000F1F6D">
        <w:t xml:space="preserve"> -</w:t>
      </w:r>
      <w:r w:rsidR="00401EB6" w:rsidRPr="000F1F6D">
        <w:t xml:space="preserve"> 196 Sinclairs Road-</w:t>
      </w:r>
      <w:r w:rsidR="0041135A" w:rsidRPr="000F1F6D">
        <w:t>276 Sinclairs Road</w:t>
      </w:r>
    </w:p>
    <w:p w14:paraId="4FC1558F" w14:textId="77777777" w:rsidR="0041135A" w:rsidRDefault="00401EB6" w:rsidP="00D02341">
      <w:r>
        <w:t>This dry stone wall is listed on th</w:t>
      </w:r>
      <w:r w:rsidR="00632B3B">
        <w:t>e Victorian Heritage Inventory (</w:t>
      </w:r>
      <w:r w:rsidR="0041135A">
        <w:t>D7822-0247</w:t>
      </w:r>
      <w:r w:rsidR="00632B3B">
        <w:t>). The wall is intact</w:t>
      </w:r>
      <w:r>
        <w:t xml:space="preserve"> and approximately 60m in length along Sinclairs Road.</w:t>
      </w:r>
    </w:p>
    <w:p w14:paraId="46FC1D53" w14:textId="13B0F8B7" w:rsidR="00696C32" w:rsidRPr="000F1F6D" w:rsidRDefault="00BC5A8A" w:rsidP="00BC5A8A">
      <w:pPr>
        <w:pStyle w:val="Heading2"/>
      </w:pPr>
      <w:r>
        <w:t xml:space="preserve">5.10 </w:t>
      </w:r>
      <w:r w:rsidR="00CC5691" w:rsidRPr="000F1F6D">
        <w:t>Stoneleigh Homestead</w:t>
      </w:r>
      <w:r w:rsidR="00507E47" w:rsidRPr="000F1F6D">
        <w:t xml:space="preserve"> </w:t>
      </w:r>
      <w:r w:rsidR="009561FB" w:rsidRPr="000F1F6D">
        <w:t xml:space="preserve">- </w:t>
      </w:r>
      <w:r w:rsidR="00507E47" w:rsidRPr="000F1F6D">
        <w:t>196-246 Sinclairs Road</w:t>
      </w:r>
    </w:p>
    <w:p w14:paraId="51814156" w14:textId="3CE44613" w:rsidR="00BC5A8A" w:rsidRDefault="00401EB6" w:rsidP="00507E47">
      <w:r>
        <w:t xml:space="preserve">Stoneleigh Homestead was identified in the report as a site recently delisted from the Victorian Heritage Inventory (D7822-0246). </w:t>
      </w:r>
      <w:r w:rsidR="00E26530">
        <w:t xml:space="preserve">The site consists of the weatherboard house and associated outbuildings. </w:t>
      </w:r>
      <w:r>
        <w:t>The Melton Heritage Study</w:t>
      </w:r>
      <w:r w:rsidR="001F3262">
        <w:t xml:space="preserve"> and the </w:t>
      </w:r>
      <w:r w:rsidR="001F3262" w:rsidRPr="00C45E22">
        <w:rPr>
          <w:i/>
        </w:rPr>
        <w:t>Kororoit &amp; Plumpton Historical Heritage Assessment Report</w:t>
      </w:r>
      <w:r w:rsidR="001F3262">
        <w:t xml:space="preserve"> (Biosis 2014)</w:t>
      </w:r>
      <w:r w:rsidR="00C6198A">
        <w:t xml:space="preserve"> </w:t>
      </w:r>
      <w:r w:rsidR="001F3262">
        <w:t>both</w:t>
      </w:r>
      <w:r w:rsidR="00E26530">
        <w:t xml:space="preserve"> recognise the site as locally significantly and recommends it</w:t>
      </w:r>
      <w:r>
        <w:t xml:space="preserve"> for protection</w:t>
      </w:r>
      <w:r w:rsidR="00E26530">
        <w:t>.</w:t>
      </w:r>
      <w:r w:rsidR="001F3262">
        <w:t xml:space="preserve"> The Biosis report advises the application of a Heritage Overlay on the site.</w:t>
      </w:r>
      <w:r w:rsidR="00E26530">
        <w:t xml:space="preserve"> Similarly, </w:t>
      </w:r>
      <w:r w:rsidR="00E26530">
        <w:lastRenderedPageBreak/>
        <w:t xml:space="preserve">the Ecology and Heritage Partners Report </w:t>
      </w:r>
      <w:r w:rsidR="0096724A">
        <w:t>considers that the site has both built-heritage and archaeological potential</w:t>
      </w:r>
      <w:r w:rsidR="00E26530">
        <w:t xml:space="preserve">.  </w:t>
      </w:r>
      <w:r w:rsidR="004C318E">
        <w:t>It is likely that archaeological</w:t>
      </w:r>
      <w:r w:rsidR="00686F44">
        <w:t xml:space="preserve"> and artefact</w:t>
      </w:r>
      <w:r w:rsidR="004C318E">
        <w:t xml:space="preserve"> material is present</w:t>
      </w:r>
      <w:r w:rsidR="00E26530">
        <w:t xml:space="preserve"> </w:t>
      </w:r>
      <w:r w:rsidR="00686F44">
        <w:t>dat</w:t>
      </w:r>
      <w:r w:rsidR="00E26530">
        <w:t>ing from the early 20</w:t>
      </w:r>
      <w:r w:rsidR="00E26530" w:rsidRPr="00C52A89">
        <w:rPr>
          <w:vertAlign w:val="superscript"/>
        </w:rPr>
        <w:t>th</w:t>
      </w:r>
      <w:r w:rsidR="00E26530">
        <w:t xml:space="preserve"> ce</w:t>
      </w:r>
      <w:r w:rsidR="00686F44">
        <w:t>ntury occupation of the site. T</w:t>
      </w:r>
      <w:r w:rsidR="00E26530">
        <w:t>he property once belonged to the Cropley family in the 1850s who lived on the Kororoit Creek. The site has potential to retain archaeological remnants of occupation dating back to the earliest freehold occupation.</w:t>
      </w:r>
      <w:r w:rsidR="001F3262">
        <w:t xml:space="preserve"> </w:t>
      </w:r>
    </w:p>
    <w:p w14:paraId="348E6C34" w14:textId="097CA497" w:rsidR="00507E47" w:rsidRPr="00176CE8" w:rsidRDefault="00176CE8" w:rsidP="00176CE8">
      <w:pPr>
        <w:pStyle w:val="Heading2"/>
      </w:pPr>
      <w:r w:rsidRPr="00176CE8">
        <w:t xml:space="preserve">5.11 </w:t>
      </w:r>
      <w:r w:rsidR="00507E47" w:rsidRPr="00176CE8">
        <w:t>Sites of historical archaeological likelihood</w:t>
      </w:r>
    </w:p>
    <w:p w14:paraId="56D9E885" w14:textId="77777777" w:rsidR="00507E47" w:rsidRDefault="00507E47" w:rsidP="00507E47">
      <w:r>
        <w:t>Four areas of historical archaeological likelihood were also identified:</w:t>
      </w:r>
    </w:p>
    <w:p w14:paraId="00BA2A29" w14:textId="77777777" w:rsidR="00507E47" w:rsidRDefault="00507E47" w:rsidP="009E33F9">
      <w:pPr>
        <w:pStyle w:val="ListParagraph"/>
        <w:numPr>
          <w:ilvl w:val="0"/>
          <w:numId w:val="5"/>
        </w:numPr>
      </w:pPr>
      <w:r>
        <w:t>A f</w:t>
      </w:r>
      <w:r w:rsidRPr="00D02341">
        <w:t xml:space="preserve">ormer </w:t>
      </w:r>
      <w:r>
        <w:t>f</w:t>
      </w:r>
      <w:r w:rsidRPr="00D02341">
        <w:t>armhouse</w:t>
      </w:r>
      <w:r>
        <w:t xml:space="preserve"> at</w:t>
      </w:r>
      <w:r w:rsidRPr="00D02341">
        <w:t xml:space="preserve"> 35 Saric Court</w:t>
      </w:r>
      <w:r w:rsidR="00632B3B">
        <w:t xml:space="preserve"> was </w:t>
      </w:r>
      <w:r>
        <w:t>identified on 1917 and 1938 historic maps.</w:t>
      </w:r>
    </w:p>
    <w:p w14:paraId="00F01355" w14:textId="77777777" w:rsidR="00507E47" w:rsidRDefault="00507E47" w:rsidP="009E33F9">
      <w:pPr>
        <w:pStyle w:val="ListParagraph"/>
        <w:numPr>
          <w:ilvl w:val="0"/>
          <w:numId w:val="5"/>
        </w:numPr>
      </w:pPr>
      <w:r>
        <w:t>A cellar site at 971 Plumpton Road which was possibly once the cellar of a former hotel.</w:t>
      </w:r>
    </w:p>
    <w:p w14:paraId="15224C58" w14:textId="77777777" w:rsidR="00507E47" w:rsidRDefault="00507E47" w:rsidP="009E33F9">
      <w:pPr>
        <w:pStyle w:val="ListParagraph"/>
        <w:numPr>
          <w:ilvl w:val="0"/>
          <w:numId w:val="5"/>
        </w:numPr>
      </w:pPr>
      <w:r>
        <w:t>Melton Highway Cobbled Road Surface at 963-987 Melton Highway may be an example of the original road alignment. A number of b</w:t>
      </w:r>
      <w:r w:rsidR="00632B3B">
        <w:t>luestone stones were identified on a site visit.</w:t>
      </w:r>
      <w:r>
        <w:t xml:space="preserve"> </w:t>
      </w:r>
    </w:p>
    <w:p w14:paraId="5FD78E3D" w14:textId="598E9327" w:rsidR="00507E47" w:rsidRDefault="00507E47" w:rsidP="009E33F9">
      <w:pPr>
        <w:pStyle w:val="ListParagraph"/>
        <w:numPr>
          <w:ilvl w:val="0"/>
          <w:numId w:val="5"/>
        </w:numPr>
      </w:pPr>
      <w:r>
        <w:t xml:space="preserve">A former ford at 61-93 </w:t>
      </w:r>
      <w:r w:rsidR="00A31A47">
        <w:t>Tarleton</w:t>
      </w:r>
      <w:r>
        <w:t xml:space="preserve"> Road</w:t>
      </w:r>
      <w:r w:rsidR="00632B3B">
        <w:t>.</w:t>
      </w:r>
    </w:p>
    <w:p w14:paraId="4A1E20BE" w14:textId="2CC14373" w:rsidR="0018417A" w:rsidRDefault="00507E47" w:rsidP="00507E47">
      <w:r>
        <w:t>It was recommended that both further historical and archaeological investigations be carried out to confirm the sites’ heritage significance prior to any development work</w:t>
      </w:r>
      <w:r w:rsidR="005E73E8">
        <w:t>s occurring at these locations.</w:t>
      </w:r>
    </w:p>
    <w:p w14:paraId="7F31DA32" w14:textId="5ECE559E" w:rsidR="0018417A" w:rsidRPr="00176CE8" w:rsidRDefault="00176CE8" w:rsidP="00176CE8">
      <w:pPr>
        <w:pStyle w:val="Heading2"/>
      </w:pPr>
      <w:r>
        <w:rPr>
          <w:rFonts w:cs="TimesNewRomanPSMT"/>
        </w:rPr>
        <w:t xml:space="preserve">5.12 </w:t>
      </w:r>
      <w:r w:rsidR="00CF2FED" w:rsidRPr="00176CE8">
        <w:rPr>
          <w:rFonts w:cs="TimesNewRomanPSMT"/>
        </w:rPr>
        <w:t>Tree plantings</w:t>
      </w:r>
    </w:p>
    <w:p w14:paraId="0F0D0088" w14:textId="6ABADAB4" w:rsidR="00CF2FED" w:rsidRPr="000B3B2A" w:rsidRDefault="00CF2FED" w:rsidP="00CF2FED">
      <w:pPr>
        <w:rPr>
          <w:b/>
        </w:rPr>
      </w:pPr>
      <w:r w:rsidRPr="00D1628B">
        <w:rPr>
          <w:rFonts w:cs="TimesNewRomanPSMT"/>
        </w:rPr>
        <w:t xml:space="preserve">Mature sugar gum, pine and cypress plantings are common across the two precincts and are associated with a number of the heritage places. </w:t>
      </w:r>
      <w:r w:rsidR="009561FB">
        <w:rPr>
          <w:rFonts w:cs="TimesNewRomanPSMT"/>
        </w:rPr>
        <w:t>They are o</w:t>
      </w:r>
      <w:r w:rsidRPr="00D1628B">
        <w:rPr>
          <w:rFonts w:cs="TimesNewRomanPSMT"/>
        </w:rPr>
        <w:t xml:space="preserve">ften in a square or rectangular pattern around the house and outbuildings. </w:t>
      </w:r>
    </w:p>
    <w:p w14:paraId="00DA1C61" w14:textId="37216717" w:rsidR="00220A4F" w:rsidRDefault="00B4041C" w:rsidP="00CF2FED">
      <w:pPr>
        <w:rPr>
          <w:rFonts w:cs="TimesNewRomanPSMT"/>
        </w:rPr>
      </w:pPr>
      <w:r>
        <w:rPr>
          <w:rFonts w:cs="TimesNewRomanPSMT"/>
        </w:rPr>
        <w:t xml:space="preserve">Tree </w:t>
      </w:r>
      <w:r w:rsidR="00220A4F">
        <w:rPr>
          <w:rFonts w:cs="TimesNewRomanPSMT"/>
        </w:rPr>
        <w:t>plantings</w:t>
      </w:r>
      <w:r>
        <w:rPr>
          <w:rFonts w:cs="TimesNewRomanPSMT"/>
        </w:rPr>
        <w:t xml:space="preserve"> occur </w:t>
      </w:r>
      <w:r w:rsidR="00220A4F">
        <w:rPr>
          <w:rFonts w:cs="TimesNewRomanPSMT"/>
        </w:rPr>
        <w:t>throughout</w:t>
      </w:r>
      <w:r>
        <w:rPr>
          <w:rFonts w:cs="TimesNewRomanPSMT"/>
        </w:rPr>
        <w:t xml:space="preserve"> the two </w:t>
      </w:r>
      <w:r w:rsidR="00220A4F">
        <w:rPr>
          <w:rFonts w:cs="TimesNewRomanPSMT"/>
        </w:rPr>
        <w:t>precincts</w:t>
      </w:r>
      <w:r>
        <w:rPr>
          <w:rFonts w:cs="TimesNewRomanPSMT"/>
        </w:rPr>
        <w:t xml:space="preserve"> in conjunction with other historical site </w:t>
      </w:r>
      <w:r w:rsidR="00220A4F">
        <w:rPr>
          <w:rFonts w:cs="TimesNewRomanPSMT"/>
        </w:rPr>
        <w:t xml:space="preserve">components such as domestic, farming </w:t>
      </w:r>
      <w:r>
        <w:rPr>
          <w:rFonts w:cs="TimesNewRomanPSMT"/>
        </w:rPr>
        <w:t xml:space="preserve">or </w:t>
      </w:r>
      <w:r w:rsidR="00220A4F">
        <w:rPr>
          <w:rFonts w:cs="TimesNewRomanPSMT"/>
        </w:rPr>
        <w:t>pastoral</w:t>
      </w:r>
      <w:r>
        <w:rPr>
          <w:rFonts w:cs="TimesNewRomanPSMT"/>
        </w:rPr>
        <w:t xml:space="preserve"> sites. There is one tree planting associated with the Melton Highway House. Historical tree plantings occur by large introduced trees planted along original driveways, paddock boundaries or close to homestead sites</w:t>
      </w:r>
      <w:r w:rsidR="0018417A">
        <w:rPr>
          <w:rFonts w:cs="TimesNewRomanPSMT"/>
        </w:rPr>
        <w:t xml:space="preserve">, and should be considered for retention where appropriate. </w:t>
      </w:r>
    </w:p>
    <w:p w14:paraId="2D492FD5" w14:textId="3257D370" w:rsidR="0018417A" w:rsidRPr="00176CE8" w:rsidRDefault="00176CE8" w:rsidP="00176CE8">
      <w:pPr>
        <w:rPr>
          <w:b/>
          <w:sz w:val="28"/>
          <w:szCs w:val="24"/>
        </w:rPr>
      </w:pPr>
      <w:r>
        <w:rPr>
          <w:rFonts w:cs="TimesNewRomanPSMT"/>
          <w:b/>
          <w:sz w:val="28"/>
          <w:szCs w:val="24"/>
        </w:rPr>
        <w:t xml:space="preserve">5.13 </w:t>
      </w:r>
      <w:proofErr w:type="spellStart"/>
      <w:r w:rsidR="00CF2FED" w:rsidRPr="00176CE8">
        <w:rPr>
          <w:rFonts w:cs="TimesNewRomanPSMT"/>
          <w:b/>
          <w:sz w:val="28"/>
          <w:szCs w:val="24"/>
        </w:rPr>
        <w:t>Beattys</w:t>
      </w:r>
      <w:proofErr w:type="spellEnd"/>
      <w:r w:rsidR="00CF2FED" w:rsidRPr="00176CE8">
        <w:rPr>
          <w:rFonts w:cs="TimesNewRomanPSMT"/>
          <w:b/>
          <w:sz w:val="28"/>
          <w:szCs w:val="24"/>
        </w:rPr>
        <w:t xml:space="preserve"> Road</w:t>
      </w:r>
    </w:p>
    <w:p w14:paraId="4A7F66D7" w14:textId="6ECCF010" w:rsidR="00220A4F" w:rsidRDefault="00CF2FED" w:rsidP="00477FFA">
      <w:pPr>
        <w:rPr>
          <w:rFonts w:cs="TimesNewRomanPSMT"/>
        </w:rPr>
      </w:pPr>
      <w:r w:rsidRPr="00D1628B">
        <w:rPr>
          <w:rFonts w:cs="TimesNewRomanPSMT"/>
        </w:rPr>
        <w:t xml:space="preserve">Ballarat was one of the two great gold rushes of the nineteenth century. Beattys Road is historically significant as it provided gold rush travellers during the 1850s </w:t>
      </w:r>
      <w:r>
        <w:rPr>
          <w:rFonts w:cs="TimesNewRomanPSMT"/>
        </w:rPr>
        <w:t>an early transportation</w:t>
      </w:r>
      <w:r w:rsidRPr="00D1628B">
        <w:rPr>
          <w:rFonts w:cs="TimesNewRomanPSMT"/>
        </w:rPr>
        <w:t xml:space="preserve"> route to the goldfields. Travellers would frequent the Rockbank Inn, an early gold rush wayside hotel, located further west on Beattys Road</w:t>
      </w:r>
      <w:r w:rsidR="0018417A">
        <w:rPr>
          <w:rFonts w:cs="TimesNewRomanPSMT"/>
        </w:rPr>
        <w:t>.</w:t>
      </w:r>
    </w:p>
    <w:p w14:paraId="14992964" w14:textId="275D590B" w:rsidR="007D7FFD" w:rsidRPr="00176CE8" w:rsidRDefault="00176CE8" w:rsidP="00176CE8">
      <w:pPr>
        <w:rPr>
          <w:rFonts w:cs="TimesNewRomanPSMT"/>
          <w:sz w:val="28"/>
          <w:szCs w:val="24"/>
        </w:rPr>
      </w:pPr>
      <w:r>
        <w:rPr>
          <w:rFonts w:ascii="Calibri" w:hAnsi="Calibri" w:cs="Calibri"/>
          <w:b/>
          <w:sz w:val="28"/>
          <w:szCs w:val="24"/>
        </w:rPr>
        <w:t xml:space="preserve">5.14 </w:t>
      </w:r>
      <w:r w:rsidR="00E95D97" w:rsidRPr="00176CE8">
        <w:rPr>
          <w:rFonts w:ascii="Calibri" w:hAnsi="Calibri" w:cs="Calibri"/>
          <w:b/>
          <w:sz w:val="28"/>
          <w:szCs w:val="24"/>
        </w:rPr>
        <w:t>Dry Stone Wall</w:t>
      </w:r>
      <w:r w:rsidR="000A4032" w:rsidRPr="00176CE8">
        <w:rPr>
          <w:rFonts w:ascii="Calibri" w:hAnsi="Calibri" w:cs="Calibri"/>
          <w:b/>
          <w:sz w:val="28"/>
          <w:szCs w:val="24"/>
        </w:rPr>
        <w:t xml:space="preserve">s </w:t>
      </w:r>
    </w:p>
    <w:p w14:paraId="52D593C1" w14:textId="77777777" w:rsidR="001E5A81" w:rsidRDefault="007D7FFD" w:rsidP="00343B64">
      <w:pPr>
        <w:rPr>
          <w:rFonts w:cs="TimesNewRomanPSMT"/>
        </w:rPr>
      </w:pPr>
      <w:r w:rsidRPr="007D7FFD">
        <w:rPr>
          <w:rFonts w:cs="Calibri"/>
        </w:rPr>
        <w:t xml:space="preserve">The construction of dry stone walls </w:t>
      </w:r>
      <w:r w:rsidR="001E5A81" w:rsidRPr="007D7FFD">
        <w:rPr>
          <w:rFonts w:cs="Open Sans"/>
        </w:rPr>
        <w:t>reflect the early settlement, clearance of the landscape and land use practices of squatters and selectors in the period 1850-1880, and subsequent legacy of the early settlers and farmers. The walls provide a distinctive feature of the landscape which demonstrates both the underlying volcanic origins of the natural landscape, and the evolved form of the cultural landscape.</w:t>
      </w:r>
    </w:p>
    <w:p w14:paraId="66923651" w14:textId="538332D7" w:rsidR="007D7FFD" w:rsidRDefault="007D7FFD" w:rsidP="00343B64">
      <w:pPr>
        <w:rPr>
          <w:rFonts w:cs="TimesNewRomanPSMT"/>
        </w:rPr>
      </w:pPr>
      <w:r w:rsidRPr="007D7FFD">
        <w:rPr>
          <w:rFonts w:cs="TimesNewRomanPSMT"/>
        </w:rPr>
        <w:t>Research indicates that the Clarkes</w:t>
      </w:r>
      <w:r w:rsidRPr="007D7FFD">
        <w:t xml:space="preserve"> </w:t>
      </w:r>
      <w:r w:rsidRPr="007D7FFD">
        <w:rPr>
          <w:rFonts w:cs="TimesNewRomanPSMT"/>
        </w:rPr>
        <w:t xml:space="preserve">built nearly half of the drystone walls that remain in the </w:t>
      </w:r>
      <w:r w:rsidR="001E5A81">
        <w:rPr>
          <w:rFonts w:cs="TimesNewRomanPSMT"/>
        </w:rPr>
        <w:t xml:space="preserve">municipality as part of </w:t>
      </w:r>
      <w:r w:rsidR="001E5A81" w:rsidRPr="00E95D97">
        <w:t>W.J. Clarke</w:t>
      </w:r>
      <w:r w:rsidR="001E5A81">
        <w:t>’s</w:t>
      </w:r>
      <w:r w:rsidRPr="007D7FFD">
        <w:rPr>
          <w:rFonts w:cs="TimesNewRomanPSMT"/>
        </w:rPr>
        <w:t xml:space="preserve"> vast Rockbank pastoral estate. Today </w:t>
      </w:r>
      <w:r w:rsidRPr="007D7FFD">
        <w:t>a significant proportion of original dry stone walls that pre-date 1940</w:t>
      </w:r>
      <w:r w:rsidRPr="007D7FFD">
        <w:rPr>
          <w:rFonts w:cs="TimesNewRomanPSMT"/>
        </w:rPr>
        <w:t xml:space="preserve"> remain. </w:t>
      </w:r>
      <w:r w:rsidRPr="007D7FFD">
        <w:rPr>
          <w:rFonts w:cs="Calibri"/>
        </w:rPr>
        <w:t xml:space="preserve">Dry stone walls are of cultural significance are encouraged in the PSPs to be retained in-situ within the public realm </w:t>
      </w:r>
      <w:r w:rsidR="009561FB">
        <w:rPr>
          <w:rFonts w:cs="Calibri"/>
        </w:rPr>
        <w:t xml:space="preserve">or at the edge of properties </w:t>
      </w:r>
      <w:r w:rsidRPr="007D7FFD">
        <w:rPr>
          <w:rFonts w:cs="Calibri"/>
        </w:rPr>
        <w:t>where possible.</w:t>
      </w:r>
    </w:p>
    <w:p w14:paraId="123AAE26" w14:textId="5479BFE3" w:rsidR="007D7FFD" w:rsidRDefault="00686F44" w:rsidP="00343B64">
      <w:pPr>
        <w:rPr>
          <w:rFonts w:cs="TimesNewRomanPSMT"/>
        </w:rPr>
      </w:pPr>
      <w:r w:rsidRPr="007D7FFD">
        <w:rPr>
          <w:rFonts w:cs="Calibri"/>
        </w:rPr>
        <w:lastRenderedPageBreak/>
        <w:t xml:space="preserve">Melton City Council engaged Planning Collaborative to </w:t>
      </w:r>
      <w:r w:rsidR="00FD5BFD" w:rsidRPr="007D7FFD">
        <w:rPr>
          <w:rFonts w:cs="Calibri"/>
        </w:rPr>
        <w:t>prepare</w:t>
      </w:r>
      <w:r w:rsidRPr="007D7FFD">
        <w:rPr>
          <w:rFonts w:cs="Calibri"/>
        </w:rPr>
        <w:t xml:space="preserve"> the </w:t>
      </w:r>
      <w:r w:rsidR="004D67AB" w:rsidRPr="00E42AF5">
        <w:rPr>
          <w:rFonts w:cs="Calibri"/>
          <w:i/>
        </w:rPr>
        <w:t>Melton Dry Stone Wall</w:t>
      </w:r>
      <w:r w:rsidR="006B0289">
        <w:rPr>
          <w:rFonts w:cs="Calibri"/>
          <w:i/>
        </w:rPr>
        <w:t>s</w:t>
      </w:r>
      <w:r w:rsidR="004D67AB" w:rsidRPr="00E42AF5">
        <w:rPr>
          <w:rFonts w:cs="Calibri"/>
          <w:i/>
        </w:rPr>
        <w:t xml:space="preserve"> Study</w:t>
      </w:r>
      <w:r w:rsidR="00864140">
        <w:rPr>
          <w:rFonts w:cs="Calibri"/>
          <w:i/>
        </w:rPr>
        <w:t xml:space="preserve"> </w:t>
      </w:r>
      <w:r w:rsidR="006B0289">
        <w:rPr>
          <w:rFonts w:cs="Calibri"/>
          <w:i/>
        </w:rPr>
        <w:t xml:space="preserve">Volume 1 </w:t>
      </w:r>
      <w:r w:rsidR="00864140" w:rsidRPr="006B0289">
        <w:rPr>
          <w:rFonts w:cs="Calibri"/>
        </w:rPr>
        <w:t>(</w:t>
      </w:r>
      <w:r w:rsidR="006B0289" w:rsidRPr="006B0289">
        <w:rPr>
          <w:rFonts w:cs="Calibri"/>
        </w:rPr>
        <w:t>2011</w:t>
      </w:r>
      <w:r w:rsidR="00864140" w:rsidRPr="006B0289">
        <w:rPr>
          <w:rFonts w:cs="Calibri"/>
        </w:rPr>
        <w:t>) which</w:t>
      </w:r>
      <w:r w:rsidR="001E4DFB" w:rsidRPr="007D7FFD">
        <w:rPr>
          <w:rFonts w:cs="Calibri"/>
        </w:rPr>
        <w:t xml:space="preserve"> </w:t>
      </w:r>
      <w:r w:rsidR="004D67AB" w:rsidRPr="007D7FFD">
        <w:rPr>
          <w:rFonts w:cs="Calibri"/>
        </w:rPr>
        <w:t>document</w:t>
      </w:r>
      <w:r w:rsidR="00864140">
        <w:rPr>
          <w:rFonts w:cs="Calibri"/>
        </w:rPr>
        <w:t>ed</w:t>
      </w:r>
      <w:r w:rsidR="004D67AB" w:rsidRPr="007D7FFD">
        <w:rPr>
          <w:rFonts w:cs="Calibri"/>
        </w:rPr>
        <w:t xml:space="preserve"> and assess</w:t>
      </w:r>
      <w:r w:rsidR="00864140">
        <w:rPr>
          <w:rFonts w:cs="Calibri"/>
        </w:rPr>
        <w:t>ed</w:t>
      </w:r>
      <w:r w:rsidR="002666D1" w:rsidRPr="007D7FFD">
        <w:rPr>
          <w:rFonts w:cs="Calibri"/>
        </w:rPr>
        <w:t xml:space="preserve"> all the dry stone walls </w:t>
      </w:r>
      <w:r w:rsidR="00864140">
        <w:rPr>
          <w:rFonts w:cs="Calibri"/>
        </w:rPr>
        <w:t>in Melton</w:t>
      </w:r>
      <w:r w:rsidR="004D67AB" w:rsidRPr="007D7FFD">
        <w:rPr>
          <w:rFonts w:cs="Calibri"/>
        </w:rPr>
        <w:t xml:space="preserve"> and recommend</w:t>
      </w:r>
      <w:r w:rsidR="00864140">
        <w:rPr>
          <w:rFonts w:cs="Calibri"/>
        </w:rPr>
        <w:t>ed</w:t>
      </w:r>
      <w:r w:rsidR="004D67AB" w:rsidRPr="007D7FFD">
        <w:rPr>
          <w:rFonts w:cs="Calibri"/>
        </w:rPr>
        <w:t xml:space="preserve"> planning controls for walls that should be protected.</w:t>
      </w:r>
      <w:r w:rsidR="00046CDA" w:rsidRPr="007D7FFD">
        <w:rPr>
          <w:rFonts w:cs="Calibri"/>
        </w:rPr>
        <w:t xml:space="preserve"> The study identified a number of stone walls within Plumpton and Kor</w:t>
      </w:r>
      <w:r w:rsidR="000A4032" w:rsidRPr="007D7FFD">
        <w:rPr>
          <w:rFonts w:cs="Calibri"/>
        </w:rPr>
        <w:t>o</w:t>
      </w:r>
      <w:r w:rsidR="00046CDA" w:rsidRPr="007D7FFD">
        <w:rPr>
          <w:rFonts w:cs="Calibri"/>
        </w:rPr>
        <w:t xml:space="preserve">roit. </w:t>
      </w:r>
      <w:r w:rsidR="000A4032" w:rsidRPr="007D7FFD">
        <w:rPr>
          <w:rFonts w:cs="Open Sans"/>
        </w:rPr>
        <w:t>The Melton Dry Stone Wall Study proposed two dr</w:t>
      </w:r>
      <w:r w:rsidR="00FF5EA6" w:rsidRPr="007D7FFD">
        <w:rPr>
          <w:rFonts w:cs="Open Sans"/>
        </w:rPr>
        <w:t>y stone wall heritage precincts within</w:t>
      </w:r>
      <w:r w:rsidR="000A4032" w:rsidRPr="007D7FFD">
        <w:rPr>
          <w:rFonts w:cs="Open Sans"/>
        </w:rPr>
        <w:t xml:space="preserve"> the vicinity of the study area.</w:t>
      </w:r>
    </w:p>
    <w:p w14:paraId="7037B0C8" w14:textId="3EABBE2C" w:rsidR="007D7FFD" w:rsidRDefault="00343B64" w:rsidP="00343B64">
      <w:pPr>
        <w:rPr>
          <w:rFonts w:cs="TimesNewRomanPSMT"/>
        </w:rPr>
      </w:pPr>
      <w:r w:rsidRPr="007D7FFD">
        <w:rPr>
          <w:rFonts w:cs="Calibri"/>
        </w:rPr>
        <w:t>T</w:t>
      </w:r>
      <w:r w:rsidR="00632B3B" w:rsidRPr="007D7FFD">
        <w:rPr>
          <w:rFonts w:cs="Calibri"/>
        </w:rPr>
        <w:t xml:space="preserve">he </w:t>
      </w:r>
      <w:r w:rsidR="006B0289">
        <w:rPr>
          <w:rFonts w:cs="Calibri"/>
          <w:i/>
        </w:rPr>
        <w:t>Plum</w:t>
      </w:r>
      <w:r w:rsidR="006B0289" w:rsidRPr="006B0289">
        <w:rPr>
          <w:rFonts w:cs="Calibri"/>
          <w:i/>
        </w:rPr>
        <w:t>pton &amp; Koror</w:t>
      </w:r>
      <w:r w:rsidR="006B0289">
        <w:rPr>
          <w:rFonts w:cs="Calibri"/>
          <w:i/>
        </w:rPr>
        <w:t>o</w:t>
      </w:r>
      <w:r w:rsidR="006B0289" w:rsidRPr="006B0289">
        <w:rPr>
          <w:rFonts w:cs="Calibri"/>
          <w:i/>
        </w:rPr>
        <w:t>it Historic Cultural Heritage Assessment Report</w:t>
      </w:r>
      <w:r w:rsidR="006B0289">
        <w:rPr>
          <w:rFonts w:cs="Calibri"/>
        </w:rPr>
        <w:t xml:space="preserve"> (</w:t>
      </w:r>
      <w:r w:rsidR="00632B3B" w:rsidRPr="007D7FFD">
        <w:rPr>
          <w:rFonts w:cs="Calibri"/>
        </w:rPr>
        <w:t>2014</w:t>
      </w:r>
      <w:r w:rsidR="006B0289">
        <w:rPr>
          <w:rFonts w:cs="Calibri"/>
        </w:rPr>
        <w:t>)</w:t>
      </w:r>
      <w:r w:rsidR="00632B3B" w:rsidRPr="007D7FFD">
        <w:rPr>
          <w:rFonts w:cs="Calibri"/>
        </w:rPr>
        <w:t xml:space="preserve"> </w:t>
      </w:r>
      <w:r w:rsidR="006B0289">
        <w:rPr>
          <w:rFonts w:cs="Calibri"/>
        </w:rPr>
        <w:t xml:space="preserve">prepared by Biosis on </w:t>
      </w:r>
      <w:r w:rsidRPr="007D7FFD">
        <w:rPr>
          <w:rFonts w:cs="Calibri"/>
        </w:rPr>
        <w:t>behalf of Council</w:t>
      </w:r>
      <w:r w:rsidR="00092803">
        <w:rPr>
          <w:rFonts w:cs="Calibri"/>
        </w:rPr>
        <w:t>,</w:t>
      </w:r>
      <w:r w:rsidRPr="007D7FFD">
        <w:rPr>
          <w:rFonts w:cs="Calibri"/>
        </w:rPr>
        <w:t xml:space="preserve"> found that d</w:t>
      </w:r>
      <w:r w:rsidRPr="007D7FFD">
        <w:rPr>
          <w:rFonts w:cs="Open Sans"/>
        </w:rPr>
        <w:t>ry stone walls were primarily concentrated on Sinclairs Road, Clarkes Road, and Taylors Road, with some dividing walls in paddocks. Many of these would have been built in the 1850s when the initial land sales occurred. Two groups of walls near the Clarke Road water</w:t>
      </w:r>
      <w:r w:rsidR="007D7FFD" w:rsidRPr="007D7FFD">
        <w:rPr>
          <w:rFonts w:cs="Open Sans"/>
        </w:rPr>
        <w:t xml:space="preserve"> reserve</w:t>
      </w:r>
      <w:r w:rsidRPr="007D7FFD">
        <w:rPr>
          <w:rFonts w:cs="Open Sans"/>
        </w:rPr>
        <w:t xml:space="preserve"> and on Kororoit Creek </w:t>
      </w:r>
      <w:r w:rsidR="007D7FFD" w:rsidRPr="007D7FFD">
        <w:rPr>
          <w:rFonts w:cs="Open Sans"/>
        </w:rPr>
        <w:t xml:space="preserve">east of Sinclairs Road </w:t>
      </w:r>
      <w:r w:rsidRPr="007D7FFD">
        <w:rPr>
          <w:rFonts w:cs="Open Sans"/>
        </w:rPr>
        <w:t>may relate to even earlier squatter activity, and though of low integrity, are deemed to have potential for associated archaeological features.</w:t>
      </w:r>
    </w:p>
    <w:p w14:paraId="2385E5B7" w14:textId="77777777" w:rsidR="007D7FFD" w:rsidRDefault="00343B64" w:rsidP="007D7FFD">
      <w:pPr>
        <w:rPr>
          <w:rFonts w:cs="TimesNewRomanPSMT"/>
        </w:rPr>
      </w:pPr>
      <w:r w:rsidRPr="007D7FFD">
        <w:rPr>
          <w:rFonts w:cs="Open Sans"/>
        </w:rPr>
        <w:t xml:space="preserve">A group to the north of Deanside are </w:t>
      </w:r>
      <w:r w:rsidR="001E5A81">
        <w:rPr>
          <w:rFonts w:cs="Open Sans"/>
        </w:rPr>
        <w:t>most likely</w:t>
      </w:r>
      <w:r w:rsidRPr="007D7FFD">
        <w:rPr>
          <w:rFonts w:cs="Open Sans"/>
        </w:rPr>
        <w:t xml:space="preserve"> related to the holding paddocks for the Rockbank run, while another group on Beattys Road may relate to the establishment of small farms in the former Rockbank village reserve in the 1860s and 70s.</w:t>
      </w:r>
    </w:p>
    <w:p w14:paraId="62CA5719" w14:textId="0C941633" w:rsidR="007D7FFD" w:rsidRDefault="007D7FFD" w:rsidP="007D7FFD">
      <w:pPr>
        <w:rPr>
          <w:rFonts w:cs="TimesNewRomanPSMT"/>
        </w:rPr>
      </w:pPr>
      <w:r w:rsidRPr="007D7FFD">
        <w:rPr>
          <w:rFonts w:cs="Open Sans"/>
        </w:rPr>
        <w:t xml:space="preserve">The best examples of walls </w:t>
      </w:r>
      <w:r w:rsidR="00343B64" w:rsidRPr="007D7FFD">
        <w:rPr>
          <w:rFonts w:cs="Open Sans"/>
        </w:rPr>
        <w:t xml:space="preserve">are those along the Sinclairs Road, north of Taylors Road and the Clarke dam retaining wall. Some other sections of walls such as those along Clarke </w:t>
      </w:r>
      <w:r w:rsidR="002F52CE">
        <w:rPr>
          <w:rFonts w:cs="Open Sans"/>
        </w:rPr>
        <w:t>R</w:t>
      </w:r>
      <w:r w:rsidR="00343B64" w:rsidRPr="007D7FFD">
        <w:rPr>
          <w:rFonts w:cs="Open Sans"/>
        </w:rPr>
        <w:t>oad and around the Clarke Road reserve, and those near Deanside</w:t>
      </w:r>
      <w:r w:rsidR="002F52CE">
        <w:rPr>
          <w:rFonts w:cs="Open Sans"/>
        </w:rPr>
        <w:t xml:space="preserve"> mansion and woolshed complex</w:t>
      </w:r>
      <w:r w:rsidR="00343B64" w:rsidRPr="007D7FFD">
        <w:rPr>
          <w:rFonts w:cs="Open Sans"/>
        </w:rPr>
        <w:t>, are considered to be of historical significance despite their relatively low integrity.</w:t>
      </w:r>
    </w:p>
    <w:p w14:paraId="18C71300" w14:textId="14F82A57" w:rsidR="00140AD6" w:rsidRDefault="007D7FFD">
      <w:pPr>
        <w:rPr>
          <w:rFonts w:cs="Open Sans"/>
        </w:rPr>
      </w:pPr>
      <w:r w:rsidRPr="007D7FFD">
        <w:rPr>
          <w:rFonts w:cs="Open Sans"/>
        </w:rPr>
        <w:t>Dry stone walls in the Kororoit and Plumpton PSP areas are in general of local significance and warrant conservation. Wherever possible the PSP should be designed to provide compatible land uses around the walls, such as unstructured open space, conservation reserves, wide adjoining road verges, or allow retention of walls on frontage property boundaries by providing service lane access.</w:t>
      </w:r>
    </w:p>
    <w:p w14:paraId="3CF3287B" w14:textId="77777777" w:rsidR="00917A97" w:rsidRDefault="00917A97">
      <w:pPr>
        <w:rPr>
          <w:b/>
          <w:sz w:val="28"/>
          <w:szCs w:val="28"/>
          <w:u w:val="single"/>
        </w:rPr>
      </w:pPr>
      <w:r>
        <w:rPr>
          <w:b/>
          <w:sz w:val="28"/>
          <w:szCs w:val="28"/>
          <w:u w:val="single"/>
        </w:rPr>
        <w:br w:type="page"/>
      </w:r>
    </w:p>
    <w:p w14:paraId="46CBE945" w14:textId="73C06E14" w:rsidR="00E00B0E" w:rsidRPr="00176CE8" w:rsidRDefault="0032418A" w:rsidP="00176CE8">
      <w:pPr>
        <w:pStyle w:val="Heading1"/>
        <w:numPr>
          <w:ilvl w:val="0"/>
          <w:numId w:val="23"/>
        </w:numPr>
        <w:rPr>
          <w:rFonts w:cs="TimesNewRomanPSMT"/>
          <w:b/>
          <w:sz w:val="28"/>
        </w:rPr>
      </w:pPr>
      <w:r w:rsidRPr="00176CE8">
        <w:rPr>
          <w:b/>
        </w:rPr>
        <w:lastRenderedPageBreak/>
        <w:t>Lan</w:t>
      </w:r>
      <w:r w:rsidR="00DB2317">
        <w:rPr>
          <w:b/>
        </w:rPr>
        <w:t>d Capability</w:t>
      </w:r>
    </w:p>
    <w:p w14:paraId="17C0E904" w14:textId="77777777" w:rsidR="0041135A" w:rsidRDefault="0041135A" w:rsidP="0041135A">
      <w:r>
        <w:t>GHD was engaged by the MPA to undertake</w:t>
      </w:r>
      <w:r w:rsidR="002E37D2">
        <w:t xml:space="preserve"> </w:t>
      </w:r>
      <w:r>
        <w:t xml:space="preserve">a desktop environmental, hydrological and geotechnical assessment for the precinct. </w:t>
      </w:r>
    </w:p>
    <w:p w14:paraId="5D5C0FE0" w14:textId="2FDEFE1B" w:rsidR="00AE28A0" w:rsidRDefault="0041135A" w:rsidP="0041135A">
      <w:r>
        <w:t>The aim of the assessment was to determine the suitability of land for sensitive uses (including residential, childcare, kindergartens and primary schools) and identify any assessments or remediation works that may be necessary.</w:t>
      </w:r>
      <w:r w:rsidR="00140AD6">
        <w:t xml:space="preserve"> </w:t>
      </w:r>
    </w:p>
    <w:p w14:paraId="52644226" w14:textId="77777777" w:rsidR="0041135A" w:rsidRDefault="0041135A" w:rsidP="0041135A">
      <w:r>
        <w:t xml:space="preserve">The assessment included two </w:t>
      </w:r>
      <w:r w:rsidR="00747739">
        <w:t>stages</w:t>
      </w:r>
      <w:r>
        <w:t xml:space="preserve">: </w:t>
      </w:r>
    </w:p>
    <w:p w14:paraId="6B4A8CD6" w14:textId="77777777" w:rsidR="0041135A" w:rsidRDefault="00747739" w:rsidP="009E33F9">
      <w:pPr>
        <w:pStyle w:val="Default"/>
        <w:numPr>
          <w:ilvl w:val="0"/>
          <w:numId w:val="5"/>
        </w:numPr>
        <w:spacing w:after="186"/>
        <w:rPr>
          <w:sz w:val="22"/>
          <w:szCs w:val="22"/>
        </w:rPr>
      </w:pPr>
      <w:r>
        <w:rPr>
          <w:sz w:val="22"/>
          <w:szCs w:val="22"/>
        </w:rPr>
        <w:t>Stage</w:t>
      </w:r>
      <w:r w:rsidR="0041135A">
        <w:rPr>
          <w:sz w:val="22"/>
          <w:szCs w:val="22"/>
        </w:rPr>
        <w:t xml:space="preserve"> 1: Assessment included the gathering of relevant information (including the use of literature sources) for the purpose of identifying potential sources of contamination, hydrogeological and geotechnical issues; and </w:t>
      </w:r>
    </w:p>
    <w:p w14:paraId="2609D033" w14:textId="5DD90861" w:rsidR="0041135A" w:rsidRPr="0041135A" w:rsidRDefault="0041135A" w:rsidP="009E33F9">
      <w:pPr>
        <w:pStyle w:val="Default"/>
        <w:numPr>
          <w:ilvl w:val="0"/>
          <w:numId w:val="5"/>
        </w:numPr>
        <w:spacing w:after="186"/>
        <w:rPr>
          <w:sz w:val="22"/>
          <w:szCs w:val="22"/>
        </w:rPr>
      </w:pPr>
      <w:r w:rsidRPr="0041135A">
        <w:rPr>
          <w:sz w:val="22"/>
          <w:szCs w:val="22"/>
        </w:rPr>
        <w:t xml:space="preserve">Part 2: Assessment included inspecting the site for potential sources of contamination, and areas of geotechnical and hydrogeological significance (i.e. areas of water logging, existing groundwater bores, </w:t>
      </w:r>
      <w:r w:rsidR="00CD4005" w:rsidRPr="0041135A">
        <w:rPr>
          <w:sz w:val="22"/>
          <w:szCs w:val="22"/>
        </w:rPr>
        <w:t>etc.</w:t>
      </w:r>
      <w:r w:rsidRPr="0041135A">
        <w:rPr>
          <w:sz w:val="22"/>
          <w:szCs w:val="22"/>
        </w:rPr>
        <w:t xml:space="preserve">). </w:t>
      </w:r>
    </w:p>
    <w:p w14:paraId="46AD9308" w14:textId="77777777" w:rsidR="0041135A" w:rsidRDefault="00A751AF">
      <w:r>
        <w:t>The desktop assessment and site visit identified ‘very low’ to ‘medium’ areas of contamination within the precinct. The areas identified as ‘low’ or ‘medium’ potential for contamination are localised around past and current farming practices.</w:t>
      </w:r>
    </w:p>
    <w:p w14:paraId="688CF5A5" w14:textId="31C7D978" w:rsidR="008C07A9" w:rsidRPr="000C7A6F" w:rsidRDefault="00176CE8" w:rsidP="00176CE8">
      <w:pPr>
        <w:pStyle w:val="Heading2"/>
        <w:rPr>
          <w:rFonts w:cs="TimesNewRomanPSMT"/>
        </w:rPr>
      </w:pPr>
      <w:r>
        <w:t xml:space="preserve">6.1 </w:t>
      </w:r>
      <w:r w:rsidR="008C07A9" w:rsidRPr="000C7A6F">
        <w:t>Contamination</w:t>
      </w:r>
    </w:p>
    <w:p w14:paraId="5396922E" w14:textId="5FE66C07" w:rsidR="00747739" w:rsidRPr="00DF623D" w:rsidRDefault="00747739">
      <w:pPr>
        <w:rPr>
          <w:rFonts w:ascii="Calibri" w:hAnsi="Calibri" w:cs="Calibri"/>
        </w:rPr>
      </w:pPr>
      <w:r w:rsidRPr="00DF623D">
        <w:rPr>
          <w:rFonts w:ascii="Calibri" w:hAnsi="Calibri" w:cs="Calibri"/>
        </w:rPr>
        <w:t xml:space="preserve">The desktop assessment indicated that the most properties have been predominantly </w:t>
      </w:r>
      <w:r w:rsidR="00FE55BE" w:rsidRPr="00DF623D">
        <w:rPr>
          <w:rFonts w:ascii="Calibri" w:hAnsi="Calibri" w:cs="Calibri"/>
        </w:rPr>
        <w:t>for small scale farming</w:t>
      </w:r>
      <w:r w:rsidR="00E64088">
        <w:rPr>
          <w:rFonts w:ascii="Calibri" w:hAnsi="Calibri" w:cs="Calibri"/>
        </w:rPr>
        <w:t>,</w:t>
      </w:r>
      <w:r w:rsidR="00FE55BE" w:rsidRPr="00DF623D">
        <w:rPr>
          <w:rFonts w:ascii="Calibri" w:hAnsi="Calibri" w:cs="Calibri"/>
        </w:rPr>
        <w:t xml:space="preserve"> consisting of agricultural and stock grazing purposes</w:t>
      </w:r>
      <w:r w:rsidR="00A2584D">
        <w:rPr>
          <w:rFonts w:ascii="Calibri" w:hAnsi="Calibri" w:cs="Calibri"/>
        </w:rPr>
        <w:t>, f</w:t>
      </w:r>
      <w:r w:rsidR="00FE55BE" w:rsidRPr="00DF623D">
        <w:rPr>
          <w:rFonts w:ascii="Calibri" w:hAnsi="Calibri" w:cs="Calibri"/>
        </w:rPr>
        <w:t>rom 1890</w:t>
      </w:r>
      <w:r w:rsidR="00A2584D">
        <w:rPr>
          <w:rFonts w:ascii="Calibri" w:hAnsi="Calibri" w:cs="Calibri"/>
        </w:rPr>
        <w:t xml:space="preserve"> </w:t>
      </w:r>
      <w:r w:rsidR="00FE55BE" w:rsidRPr="00DF623D">
        <w:rPr>
          <w:rFonts w:ascii="Calibri" w:hAnsi="Calibri" w:cs="Calibri"/>
        </w:rPr>
        <w:t xml:space="preserve">to </w:t>
      </w:r>
      <w:r w:rsidR="00A2584D">
        <w:rPr>
          <w:rFonts w:ascii="Calibri" w:hAnsi="Calibri" w:cs="Calibri"/>
        </w:rPr>
        <w:t xml:space="preserve">the </w:t>
      </w:r>
      <w:r w:rsidR="00FE55BE" w:rsidRPr="00DF623D">
        <w:rPr>
          <w:rFonts w:ascii="Calibri" w:hAnsi="Calibri" w:cs="Calibri"/>
        </w:rPr>
        <w:t>present day</w:t>
      </w:r>
      <w:r w:rsidR="004F2B4F" w:rsidRPr="00DF623D">
        <w:rPr>
          <w:rFonts w:ascii="Calibri" w:hAnsi="Calibri" w:cs="Calibri"/>
        </w:rPr>
        <w:t>.</w:t>
      </w:r>
    </w:p>
    <w:p w14:paraId="5272E2ED" w14:textId="1D651784" w:rsidR="00DF623D" w:rsidRDefault="00FE55BE" w:rsidP="00DF623D">
      <w:pPr>
        <w:rPr>
          <w:rFonts w:ascii="Calibri" w:hAnsi="Calibri" w:cs="Calibri"/>
        </w:rPr>
      </w:pPr>
      <w:r w:rsidRPr="00DF623D">
        <w:rPr>
          <w:rFonts w:ascii="Calibri" w:hAnsi="Calibri" w:cs="Calibri"/>
        </w:rPr>
        <w:t xml:space="preserve">Earthworks were observed </w:t>
      </w:r>
      <w:r w:rsidR="004F2B4F" w:rsidRPr="00DF623D">
        <w:rPr>
          <w:rFonts w:ascii="Calibri" w:hAnsi="Calibri" w:cs="Calibri"/>
        </w:rPr>
        <w:t xml:space="preserve">during 1950-1990, generally associated with the creation of dams and the alteration of </w:t>
      </w:r>
      <w:r w:rsidR="00E74167" w:rsidRPr="00DF623D">
        <w:rPr>
          <w:rFonts w:ascii="Calibri" w:hAnsi="Calibri" w:cs="Calibri"/>
        </w:rPr>
        <w:t>existing</w:t>
      </w:r>
      <w:r w:rsidR="004F2B4F" w:rsidRPr="00DF623D">
        <w:rPr>
          <w:rFonts w:ascii="Calibri" w:hAnsi="Calibri" w:cs="Calibri"/>
        </w:rPr>
        <w:t xml:space="preserve"> </w:t>
      </w:r>
      <w:r w:rsidR="00E74167" w:rsidRPr="00DF623D">
        <w:rPr>
          <w:rFonts w:ascii="Calibri" w:hAnsi="Calibri" w:cs="Calibri"/>
        </w:rPr>
        <w:t>watercourses</w:t>
      </w:r>
      <w:r w:rsidR="004F2B4F" w:rsidRPr="00DF623D">
        <w:rPr>
          <w:rFonts w:ascii="Calibri" w:hAnsi="Calibri" w:cs="Calibri"/>
        </w:rPr>
        <w:t xml:space="preserve">. The structures during this time were typically sheds, animal pens and stables and a number of farm houses. </w:t>
      </w:r>
    </w:p>
    <w:p w14:paraId="1C786D60" w14:textId="77777777" w:rsidR="00DF623D" w:rsidRDefault="00E74167" w:rsidP="00DF623D">
      <w:r w:rsidRPr="00DF623D">
        <w:rPr>
          <w:rFonts w:ascii="Calibri" w:hAnsi="Calibri" w:cs="Calibri"/>
        </w:rPr>
        <w:t>From 1991 onwards, development of infrastructure largely comprising of residential and associated buildings were</w:t>
      </w:r>
      <w:r w:rsidRPr="00DF623D">
        <w:t xml:space="preserve"> identified on most properties. This infrastructure generally consisted of residential and farm </w:t>
      </w:r>
      <w:r w:rsidR="00DF623D" w:rsidRPr="00DF623D">
        <w:t>buildings</w:t>
      </w:r>
      <w:r w:rsidRPr="00DF623D">
        <w:t xml:space="preserve">. General </w:t>
      </w:r>
      <w:r w:rsidR="00DF623D">
        <w:t xml:space="preserve">debris associated with residential and farming buildings also rose significantly from 1991 onwards, with most properties now occupied. </w:t>
      </w:r>
    </w:p>
    <w:p w14:paraId="5308B618" w14:textId="77777777" w:rsidR="00C722A1" w:rsidRDefault="002E37D2" w:rsidP="00DF623D">
      <w:pPr>
        <w:rPr>
          <w:rFonts w:ascii="Calibri" w:hAnsi="Calibri" w:cs="Calibri"/>
        </w:rPr>
      </w:pPr>
      <w:r w:rsidRPr="00DF623D">
        <w:rPr>
          <w:rFonts w:ascii="Calibri" w:hAnsi="Calibri" w:cs="Calibri"/>
        </w:rPr>
        <w:t>Potential contamination sources are generally related to agricultural practices undertaken in the precinct, such as the use of pesticides, fertilisers and machinery maintenance.</w:t>
      </w:r>
      <w:r w:rsidR="00DF623D">
        <w:rPr>
          <w:rFonts w:ascii="Calibri" w:hAnsi="Calibri" w:cs="Calibri"/>
        </w:rPr>
        <w:t xml:space="preserve"> Earthworks and stockpiling </w:t>
      </w:r>
      <w:r w:rsidRPr="00DF623D">
        <w:rPr>
          <w:rFonts w:ascii="Calibri" w:hAnsi="Calibri" w:cs="Calibri"/>
        </w:rPr>
        <w:t>of miscellaneous materials were the most frequently observed potential contamination sources within the PSP areas. Any contamination present is likely to be localised and able to be remediated or managed.</w:t>
      </w:r>
    </w:p>
    <w:p w14:paraId="103E95BB" w14:textId="13E16DB6" w:rsidR="00312CC4" w:rsidRDefault="00312CC4">
      <w:pPr>
        <w:rPr>
          <w:rFonts w:ascii="Calibri" w:hAnsi="Calibri" w:cs="Calibri"/>
        </w:rPr>
      </w:pPr>
      <w:r>
        <w:rPr>
          <w:rFonts w:ascii="Calibri" w:hAnsi="Calibri" w:cs="Calibri"/>
        </w:rPr>
        <w:t xml:space="preserve">The precinct </w:t>
      </w:r>
      <w:r w:rsidR="00D11451">
        <w:rPr>
          <w:rFonts w:ascii="Calibri" w:hAnsi="Calibri" w:cs="Calibri"/>
        </w:rPr>
        <w:t xml:space="preserve">has </w:t>
      </w:r>
      <w:r w:rsidR="00CC2678">
        <w:rPr>
          <w:rFonts w:ascii="Calibri" w:hAnsi="Calibri" w:cs="Calibri"/>
        </w:rPr>
        <w:t>contained</w:t>
      </w:r>
      <w:r>
        <w:rPr>
          <w:rFonts w:ascii="Calibri" w:hAnsi="Calibri" w:cs="Calibri"/>
        </w:rPr>
        <w:t xml:space="preserve"> a number of land uses and </w:t>
      </w:r>
      <w:r w:rsidR="00CC2678">
        <w:rPr>
          <w:rFonts w:ascii="Calibri" w:hAnsi="Calibri" w:cs="Calibri"/>
        </w:rPr>
        <w:t>activities</w:t>
      </w:r>
      <w:r>
        <w:rPr>
          <w:rFonts w:ascii="Calibri" w:hAnsi="Calibri" w:cs="Calibri"/>
        </w:rPr>
        <w:t xml:space="preserve"> that have potential to </w:t>
      </w:r>
      <w:r w:rsidR="00CC2678">
        <w:rPr>
          <w:rFonts w:ascii="Calibri" w:hAnsi="Calibri" w:cs="Calibri"/>
        </w:rPr>
        <w:t>have led</w:t>
      </w:r>
      <w:r>
        <w:rPr>
          <w:rFonts w:ascii="Calibri" w:hAnsi="Calibri" w:cs="Calibri"/>
        </w:rPr>
        <w:t xml:space="preserve"> to contamination of soil and/or groundwater. </w:t>
      </w:r>
      <w:r w:rsidR="00DF623D">
        <w:rPr>
          <w:rFonts w:ascii="Calibri" w:hAnsi="Calibri" w:cs="Calibri"/>
        </w:rPr>
        <w:t xml:space="preserve">Storage tanks, general debris, fuel or chemical storage, </w:t>
      </w:r>
      <w:r>
        <w:rPr>
          <w:rFonts w:ascii="Calibri" w:hAnsi="Calibri" w:cs="Calibri"/>
        </w:rPr>
        <w:t xml:space="preserve">potential asbestos containing materials in </w:t>
      </w:r>
      <w:r w:rsidR="00CC2678">
        <w:rPr>
          <w:rFonts w:ascii="Calibri" w:hAnsi="Calibri" w:cs="Calibri"/>
        </w:rPr>
        <w:t>buildings</w:t>
      </w:r>
      <w:r>
        <w:rPr>
          <w:rFonts w:ascii="Calibri" w:hAnsi="Calibri" w:cs="Calibri"/>
        </w:rPr>
        <w:t xml:space="preserve">, farm equipment, commercial and industrial activities, livestock grazing or cultivation. </w:t>
      </w:r>
    </w:p>
    <w:p w14:paraId="186EB88C" w14:textId="4A43DA8D" w:rsidR="00C45E22" w:rsidRDefault="00312CC4">
      <w:pPr>
        <w:rPr>
          <w:rFonts w:ascii="Calibri" w:hAnsi="Calibri" w:cs="Calibri"/>
        </w:rPr>
      </w:pPr>
      <w:r>
        <w:rPr>
          <w:rFonts w:ascii="Calibri" w:hAnsi="Calibri" w:cs="Calibri"/>
        </w:rPr>
        <w:t>Following the completion of the desktop analysis, GHD</w:t>
      </w:r>
      <w:r w:rsidR="00CC2678">
        <w:rPr>
          <w:rFonts w:ascii="Calibri" w:hAnsi="Calibri" w:cs="Calibri"/>
        </w:rPr>
        <w:t xml:space="preserve"> advised that ten</w:t>
      </w:r>
      <w:r>
        <w:rPr>
          <w:rFonts w:ascii="Calibri" w:hAnsi="Calibri" w:cs="Calibri"/>
        </w:rPr>
        <w:t xml:space="preserve"> propert</w:t>
      </w:r>
      <w:r w:rsidR="00CC2678">
        <w:rPr>
          <w:rFonts w:ascii="Calibri" w:hAnsi="Calibri" w:cs="Calibri"/>
        </w:rPr>
        <w:t xml:space="preserve">ies are of medium or high risk based on historical land uses and potential contamination sources identified on each property. Individual </w:t>
      </w:r>
      <w:r w:rsidR="00D11451">
        <w:rPr>
          <w:rFonts w:ascii="Calibri" w:hAnsi="Calibri" w:cs="Calibri"/>
        </w:rPr>
        <w:t xml:space="preserve">inspections </w:t>
      </w:r>
      <w:r w:rsidR="00CC2678">
        <w:rPr>
          <w:rFonts w:ascii="Calibri" w:hAnsi="Calibri" w:cs="Calibri"/>
        </w:rPr>
        <w:t>were completed on the ten properties. A further four properties were identified following information obtained following an initial inspection/</w:t>
      </w:r>
      <w:r w:rsidR="003F7722">
        <w:rPr>
          <w:rFonts w:ascii="Calibri" w:hAnsi="Calibri" w:cs="Calibri"/>
        </w:rPr>
        <w:t>viewing from the road.</w:t>
      </w:r>
      <w:r w:rsidR="00CC2678">
        <w:rPr>
          <w:rFonts w:ascii="Calibri" w:hAnsi="Calibri" w:cs="Calibri"/>
        </w:rPr>
        <w:t xml:space="preserve"> </w:t>
      </w:r>
    </w:p>
    <w:p w14:paraId="6C187857" w14:textId="77777777" w:rsidR="00316A25" w:rsidRDefault="00316A25">
      <w:pPr>
        <w:rPr>
          <w:rFonts w:ascii="Calibri" w:hAnsi="Calibri" w:cs="Calibri"/>
        </w:rPr>
      </w:pPr>
    </w:p>
    <w:p w14:paraId="26592A9C" w14:textId="77777777" w:rsidR="00CC2678" w:rsidRDefault="00CC2678">
      <w:pPr>
        <w:rPr>
          <w:rFonts w:ascii="Calibri" w:hAnsi="Calibri" w:cs="Calibri"/>
        </w:rPr>
      </w:pPr>
      <w:r>
        <w:rPr>
          <w:rFonts w:ascii="Calibri" w:hAnsi="Calibri" w:cs="Calibri"/>
        </w:rPr>
        <w:lastRenderedPageBreak/>
        <w:t>The main potential contaminants identified were:</w:t>
      </w:r>
      <w:r w:rsidR="00295EB2">
        <w:rPr>
          <w:rFonts w:ascii="Calibri" w:hAnsi="Calibri" w:cs="Calibri"/>
        </w:rPr>
        <w:t xml:space="preserve"> </w:t>
      </w:r>
    </w:p>
    <w:p w14:paraId="45C46462" w14:textId="2C6B8CF6" w:rsidR="00CC2678" w:rsidRDefault="00295EB2" w:rsidP="009E33F9">
      <w:pPr>
        <w:pStyle w:val="ListParagraph"/>
        <w:numPr>
          <w:ilvl w:val="0"/>
          <w:numId w:val="5"/>
        </w:numPr>
        <w:rPr>
          <w:rFonts w:ascii="Calibri" w:hAnsi="Calibri" w:cs="Calibri"/>
        </w:rPr>
      </w:pPr>
      <w:r>
        <w:rPr>
          <w:rFonts w:ascii="Calibri" w:hAnsi="Calibri" w:cs="Calibri"/>
        </w:rPr>
        <w:t xml:space="preserve">Fuels (diesel &amp; unleaded) and </w:t>
      </w:r>
      <w:r w:rsidR="00CC2678">
        <w:rPr>
          <w:rFonts w:ascii="Calibri" w:hAnsi="Calibri" w:cs="Calibri"/>
        </w:rPr>
        <w:t>lubricants (oil and grease) stored and used for farm machinery</w:t>
      </w:r>
      <w:r w:rsidR="00BC6D7F">
        <w:rPr>
          <w:rFonts w:ascii="Calibri" w:hAnsi="Calibri" w:cs="Calibri"/>
        </w:rPr>
        <w:t>.</w:t>
      </w:r>
    </w:p>
    <w:p w14:paraId="1A4BE8E8" w14:textId="350B8AD1" w:rsidR="00295EB2" w:rsidRDefault="00295EB2" w:rsidP="009E33F9">
      <w:pPr>
        <w:pStyle w:val="ListParagraph"/>
        <w:numPr>
          <w:ilvl w:val="0"/>
          <w:numId w:val="5"/>
        </w:numPr>
        <w:rPr>
          <w:rFonts w:ascii="Calibri" w:hAnsi="Calibri" w:cs="Calibri"/>
        </w:rPr>
      </w:pPr>
      <w:r>
        <w:rPr>
          <w:rFonts w:ascii="Calibri" w:hAnsi="Calibri" w:cs="Calibri"/>
        </w:rPr>
        <w:t>Heavy metals associated with machinery, burn piles, soil and rubble stockpiles, fill material and agricultural chemicals</w:t>
      </w:r>
      <w:r w:rsidR="00BC6D7F">
        <w:rPr>
          <w:rFonts w:ascii="Calibri" w:hAnsi="Calibri" w:cs="Calibri"/>
        </w:rPr>
        <w:t>.</w:t>
      </w:r>
    </w:p>
    <w:p w14:paraId="6D32D5EF" w14:textId="16D9386A" w:rsidR="00295EB2" w:rsidRDefault="00295EB2" w:rsidP="009E33F9">
      <w:pPr>
        <w:pStyle w:val="ListParagraph"/>
        <w:numPr>
          <w:ilvl w:val="0"/>
          <w:numId w:val="5"/>
        </w:numPr>
        <w:rPr>
          <w:rFonts w:ascii="Calibri" w:hAnsi="Calibri" w:cs="Calibri"/>
        </w:rPr>
      </w:pPr>
      <w:r>
        <w:rPr>
          <w:rFonts w:ascii="Calibri" w:hAnsi="Calibri" w:cs="Calibri"/>
        </w:rPr>
        <w:t>Pesticides associated with agriculture, livestock and market gardens</w:t>
      </w:r>
      <w:r w:rsidR="00BC6D7F">
        <w:rPr>
          <w:rFonts w:ascii="Calibri" w:hAnsi="Calibri" w:cs="Calibri"/>
        </w:rPr>
        <w:t>.</w:t>
      </w:r>
    </w:p>
    <w:p w14:paraId="462547EF" w14:textId="2655EEBC" w:rsidR="00694DD3" w:rsidRPr="00BC6D7F" w:rsidRDefault="00295EB2" w:rsidP="00BC6D7F">
      <w:pPr>
        <w:pStyle w:val="ListParagraph"/>
        <w:numPr>
          <w:ilvl w:val="0"/>
          <w:numId w:val="5"/>
        </w:numPr>
        <w:rPr>
          <w:rFonts w:ascii="Calibri" w:hAnsi="Calibri" w:cs="Calibri"/>
        </w:rPr>
      </w:pPr>
      <w:r>
        <w:rPr>
          <w:rFonts w:ascii="Calibri" w:hAnsi="Calibri" w:cs="Calibri"/>
        </w:rPr>
        <w:t>Nutrient contamination associated with septic tanks and composting</w:t>
      </w:r>
      <w:r w:rsidR="00BC6D7F">
        <w:rPr>
          <w:rFonts w:ascii="Calibri" w:hAnsi="Calibri" w:cs="Calibri"/>
        </w:rPr>
        <w:t>.</w:t>
      </w:r>
    </w:p>
    <w:p w14:paraId="419645E0" w14:textId="60DE1FD9" w:rsidR="008A7365" w:rsidRDefault="008A7365">
      <w:pPr>
        <w:rPr>
          <w:rFonts w:ascii="Calibri" w:hAnsi="Calibri" w:cs="Calibri"/>
        </w:rPr>
      </w:pPr>
      <w:r>
        <w:rPr>
          <w:rFonts w:ascii="Calibri" w:hAnsi="Calibri" w:cs="Calibri"/>
        </w:rPr>
        <w:t xml:space="preserve">A full list of the identified risks and affected properties can be found within the report. </w:t>
      </w:r>
    </w:p>
    <w:p w14:paraId="133E3BF2" w14:textId="0356288B" w:rsidR="003B2ACC" w:rsidRPr="00176CE8" w:rsidRDefault="00176CE8" w:rsidP="00176CE8">
      <w:pPr>
        <w:pStyle w:val="Heading2"/>
      </w:pPr>
      <w:r>
        <w:t xml:space="preserve">6.2 </w:t>
      </w:r>
      <w:r w:rsidR="003B2ACC" w:rsidRPr="00176CE8">
        <w:t>Geology</w:t>
      </w:r>
    </w:p>
    <w:p w14:paraId="558E7A78" w14:textId="2541D533" w:rsidR="00597F81" w:rsidRPr="003B2ACC" w:rsidRDefault="00597F81">
      <w:r>
        <w:t xml:space="preserve">The report indicated that the majority of the area is underlain by the Quaternary aged Newer Volcanic Group, composed of lava flow. Swamp and lake deposits were also identified in a small area along the western boundary of the </w:t>
      </w:r>
      <w:proofErr w:type="spellStart"/>
      <w:r>
        <w:t>Kororoit</w:t>
      </w:r>
      <w:proofErr w:type="spellEnd"/>
      <w:r>
        <w:t xml:space="preserve"> PSP area. The same areas </w:t>
      </w:r>
      <w:r w:rsidR="00AE35DD">
        <w:t xml:space="preserve">were </w:t>
      </w:r>
      <w:r>
        <w:t xml:space="preserve">also identified as potentially containing </w:t>
      </w:r>
      <w:r w:rsidR="002A2121">
        <w:t xml:space="preserve">acid </w:t>
      </w:r>
      <w:r w:rsidR="00AE35DD">
        <w:t>sulphate</w:t>
      </w:r>
      <w:r w:rsidR="002A2121">
        <w:t xml:space="preserve"> </w:t>
      </w:r>
      <w:r w:rsidR="00AE35DD">
        <w:t>soils</w:t>
      </w:r>
      <w:r>
        <w:t xml:space="preserve">, mostly associated with the low lying areas around the </w:t>
      </w:r>
      <w:proofErr w:type="spellStart"/>
      <w:r>
        <w:t>Kororoit</w:t>
      </w:r>
      <w:proofErr w:type="spellEnd"/>
      <w:r>
        <w:t xml:space="preserve"> Creek. </w:t>
      </w:r>
    </w:p>
    <w:p w14:paraId="55FD3957" w14:textId="560DB745" w:rsidR="00C722A1" w:rsidRPr="000F1F6D" w:rsidRDefault="00DB2317" w:rsidP="00DB2317">
      <w:pPr>
        <w:pStyle w:val="Heading2"/>
      </w:pPr>
      <w:r>
        <w:t xml:space="preserve">6.3 </w:t>
      </w:r>
      <w:r w:rsidR="00A751AF" w:rsidRPr="000F1F6D">
        <w:t>Geotechnical</w:t>
      </w:r>
    </w:p>
    <w:p w14:paraId="6E8DA016" w14:textId="4E4AE5CC" w:rsidR="00DB4B5E" w:rsidRPr="00597F81" w:rsidRDefault="00597F81">
      <w:r>
        <w:t xml:space="preserve">The area is largely </w:t>
      </w:r>
      <w:r w:rsidR="009C2A24">
        <w:t>underlain</w:t>
      </w:r>
      <w:r>
        <w:t xml:space="preserve"> by Quaternary New </w:t>
      </w:r>
      <w:proofErr w:type="spellStart"/>
      <w:r>
        <w:t>Volcanics</w:t>
      </w:r>
      <w:proofErr w:type="spellEnd"/>
      <w:r>
        <w:t xml:space="preserve"> that consists of extrusive </w:t>
      </w:r>
      <w:r w:rsidR="009C2A24">
        <w:t>igneous</w:t>
      </w:r>
      <w:r>
        <w:t xml:space="preserve"> basalt rock</w:t>
      </w:r>
      <w:r w:rsidR="009C2A24">
        <w:t xml:space="preserve">. The site also indicates areas of </w:t>
      </w:r>
      <w:proofErr w:type="spellStart"/>
      <w:r w:rsidR="009C2A24">
        <w:t>colluvial</w:t>
      </w:r>
      <w:proofErr w:type="spellEnd"/>
      <w:r w:rsidR="009C2A24">
        <w:t xml:space="preserve"> and </w:t>
      </w:r>
      <w:proofErr w:type="spellStart"/>
      <w:r w:rsidR="009C2A24">
        <w:t>paludal</w:t>
      </w:r>
      <w:proofErr w:type="spellEnd"/>
      <w:r w:rsidR="009C2A24">
        <w:t xml:space="preserve"> deposits. The </w:t>
      </w:r>
      <w:proofErr w:type="spellStart"/>
      <w:r w:rsidR="009C2A24">
        <w:t>colluvial</w:t>
      </w:r>
      <w:proofErr w:type="spellEnd"/>
      <w:r w:rsidR="009C2A24">
        <w:t xml:space="preserve"> deposits, which consist of silt, sand and gravel, </w:t>
      </w:r>
      <w:r w:rsidR="00D11451">
        <w:t>are</w:t>
      </w:r>
      <w:r w:rsidR="009C2A24">
        <w:t xml:space="preserve"> generally confined to the edges of localised waterways which cross through the area, in particular the </w:t>
      </w:r>
      <w:proofErr w:type="spellStart"/>
      <w:r w:rsidR="009C2A24">
        <w:t>Kororoit</w:t>
      </w:r>
      <w:proofErr w:type="spellEnd"/>
      <w:r w:rsidR="009C2A24">
        <w:t xml:space="preserve"> Creek. Minor pockets of alluvium, consisting of silt and clay are also indicated as being present within the </w:t>
      </w:r>
      <w:proofErr w:type="spellStart"/>
      <w:r w:rsidR="009C2A24">
        <w:t>Kororoit</w:t>
      </w:r>
      <w:proofErr w:type="spellEnd"/>
      <w:r w:rsidR="009C2A24">
        <w:t xml:space="preserve"> PSP area. </w:t>
      </w:r>
    </w:p>
    <w:p w14:paraId="4A4351E5" w14:textId="5C0A5D9A" w:rsidR="00C722A1" w:rsidRPr="00DB2317" w:rsidRDefault="00DB2317" w:rsidP="00DB2317">
      <w:pPr>
        <w:pStyle w:val="Heading2"/>
        <w:rPr>
          <w:sz w:val="24"/>
        </w:rPr>
      </w:pPr>
      <w:r>
        <w:t xml:space="preserve">6.4 </w:t>
      </w:r>
      <w:r w:rsidR="00A751AF" w:rsidRPr="00DB2317">
        <w:t>Hydrology</w:t>
      </w:r>
    </w:p>
    <w:p w14:paraId="13A9993B" w14:textId="3F71AA81" w:rsidR="00DB4B5E" w:rsidRDefault="009C2A24">
      <w:r>
        <w:t>The area is located in a</w:t>
      </w:r>
      <w:r w:rsidR="0011376C">
        <w:t xml:space="preserve"> region </w:t>
      </w:r>
      <w:r>
        <w:t>that includes generally north-south oriented low ridges</w:t>
      </w:r>
      <w:r w:rsidR="0011376C">
        <w:t>,</w:t>
      </w:r>
      <w:r>
        <w:t xml:space="preserve"> associated with tributaries of the Kororoit Creek and the Kororoit Creek itself. GHD indicated that low lying areas associated with these watercourses, swamps and wetlands throughout the area are prone to flooding.</w:t>
      </w:r>
    </w:p>
    <w:p w14:paraId="696C4822" w14:textId="57705026" w:rsidR="009C2A24" w:rsidRPr="009C2A24" w:rsidRDefault="009C2A24">
      <w:r>
        <w:t xml:space="preserve">The presence of surface water bodies suggests that shallow groundwater beneath the area is likely to flow in a southerly direction towards the Kororoit Creek and then in a south to south easterly direction towards the bay. </w:t>
      </w:r>
    </w:p>
    <w:p w14:paraId="75997167" w14:textId="6E00B0AB" w:rsidR="00A751AF" w:rsidRPr="00DB2317" w:rsidRDefault="00DB2317" w:rsidP="00DB2317">
      <w:pPr>
        <w:pStyle w:val="Heading2"/>
      </w:pPr>
      <w:r>
        <w:t xml:space="preserve">6.5 </w:t>
      </w:r>
      <w:r w:rsidR="009C2A24" w:rsidRPr="00DB2317">
        <w:t>Hydrogeology</w:t>
      </w:r>
    </w:p>
    <w:p w14:paraId="1AA07714" w14:textId="77777777" w:rsidR="009C2A24" w:rsidRDefault="005102AC" w:rsidP="009C2A24">
      <w:pPr>
        <w:rPr>
          <w:rFonts w:ascii="Calibri" w:hAnsi="Calibri" w:cs="Calibri"/>
        </w:rPr>
      </w:pPr>
      <w:r>
        <w:rPr>
          <w:rFonts w:ascii="Calibri" w:hAnsi="Calibri" w:cs="Calibri"/>
        </w:rPr>
        <w:t>GHD’s report indicated that the estimated depth of ground water in the area ranges from 5-1 metres below ground level and that the regional aquifer beneath the area comprises fractured basalt rock.</w:t>
      </w:r>
    </w:p>
    <w:p w14:paraId="1904FB15" w14:textId="06A6FC78" w:rsidR="005102AC" w:rsidRDefault="005102AC" w:rsidP="009C2A24">
      <w:pPr>
        <w:rPr>
          <w:rFonts w:ascii="Calibri" w:hAnsi="Calibri" w:cs="Calibri"/>
        </w:rPr>
      </w:pPr>
      <w:r>
        <w:rPr>
          <w:rFonts w:ascii="Calibri" w:hAnsi="Calibri" w:cs="Calibri"/>
        </w:rPr>
        <w:t>The groundwater salinity in Plumpton ranges from 35,000mg/L to 7,000mg/L and in Kororoit from 7,000mg/L to 1,000mg/L.</w:t>
      </w:r>
    </w:p>
    <w:p w14:paraId="437C73AE" w14:textId="559FBB48" w:rsidR="00C45E22" w:rsidRDefault="005102AC">
      <w:pPr>
        <w:rPr>
          <w:rFonts w:ascii="Calibri" w:hAnsi="Calibri" w:cs="Calibri"/>
        </w:rPr>
      </w:pPr>
      <w:r>
        <w:rPr>
          <w:rFonts w:ascii="Calibri" w:hAnsi="Calibri" w:cs="Calibri"/>
        </w:rPr>
        <w:t>GHD found that there are 45 registered bores w</w:t>
      </w:r>
      <w:r w:rsidR="00990E56">
        <w:rPr>
          <w:rFonts w:ascii="Calibri" w:hAnsi="Calibri" w:cs="Calibri"/>
        </w:rPr>
        <w:t xml:space="preserve">ithin the area of varying depths. </w:t>
      </w:r>
    </w:p>
    <w:p w14:paraId="2D1F3EC0" w14:textId="77777777" w:rsidR="00316A25" w:rsidRDefault="00316A25">
      <w:pPr>
        <w:rPr>
          <w:rFonts w:ascii="Calibri" w:hAnsi="Calibri" w:cs="Calibri"/>
        </w:rPr>
      </w:pPr>
    </w:p>
    <w:p w14:paraId="22B70CA4" w14:textId="77777777" w:rsidR="00316A25" w:rsidRDefault="00316A25">
      <w:pPr>
        <w:rPr>
          <w:rFonts w:ascii="Calibri" w:hAnsi="Calibri" w:cs="Calibri"/>
        </w:rPr>
      </w:pPr>
    </w:p>
    <w:p w14:paraId="636CAE97" w14:textId="77777777" w:rsidR="00316A25" w:rsidRDefault="00316A25">
      <w:pPr>
        <w:rPr>
          <w:rFonts w:ascii="Calibri" w:hAnsi="Calibri" w:cs="Calibri"/>
        </w:rPr>
      </w:pPr>
    </w:p>
    <w:p w14:paraId="61F01D97" w14:textId="092AA9D6" w:rsidR="009C2A24" w:rsidRPr="00DB2317" w:rsidRDefault="00DB2317" w:rsidP="00DB2317">
      <w:pPr>
        <w:pStyle w:val="Heading2"/>
      </w:pPr>
      <w:r>
        <w:lastRenderedPageBreak/>
        <w:t xml:space="preserve">6.6 </w:t>
      </w:r>
      <w:r w:rsidR="009C2A24" w:rsidRPr="00DB2317">
        <w:t>Recommendations</w:t>
      </w:r>
    </w:p>
    <w:p w14:paraId="53AC147A" w14:textId="77777777" w:rsidR="009C2A24" w:rsidRDefault="009C2A24" w:rsidP="009C2A24">
      <w:pPr>
        <w:rPr>
          <w:rFonts w:ascii="Calibri" w:hAnsi="Calibri" w:cs="Calibri"/>
        </w:rPr>
      </w:pPr>
      <w:r>
        <w:rPr>
          <w:rFonts w:ascii="Calibri" w:hAnsi="Calibri" w:cs="Calibri"/>
        </w:rPr>
        <w:t>GHD recommended the following:</w:t>
      </w:r>
    </w:p>
    <w:p w14:paraId="0B9A785F" w14:textId="3640618F" w:rsidR="009C2A24" w:rsidRDefault="009C2A24" w:rsidP="009C2A24">
      <w:pPr>
        <w:rPr>
          <w:rFonts w:ascii="Calibri" w:hAnsi="Calibri" w:cs="Calibri"/>
        </w:rPr>
      </w:pPr>
      <w:r w:rsidRPr="00BC6D7F">
        <w:rPr>
          <w:rFonts w:ascii="Calibri" w:hAnsi="Calibri" w:cs="Calibri"/>
          <w:b/>
        </w:rPr>
        <w:t>High risk</w:t>
      </w:r>
      <w:r>
        <w:rPr>
          <w:rFonts w:ascii="Calibri" w:hAnsi="Calibri" w:cs="Calibri"/>
        </w:rPr>
        <w:t xml:space="preserve"> – </w:t>
      </w:r>
      <w:r w:rsidR="006079D0">
        <w:rPr>
          <w:rFonts w:ascii="Calibri" w:hAnsi="Calibri" w:cs="Calibri"/>
        </w:rPr>
        <w:t xml:space="preserve">a </w:t>
      </w:r>
      <w:r>
        <w:rPr>
          <w:rFonts w:ascii="Calibri" w:hAnsi="Calibri" w:cs="Calibri"/>
        </w:rPr>
        <w:t xml:space="preserve">mechanism in the Urban Growth Zone (UGZ) Schedule for the PSP area should be applied to these properties to ensure an environmental audit is carried out at the site prior to redevelopment to sensitive residential or associated land uses. </w:t>
      </w:r>
    </w:p>
    <w:p w14:paraId="40088524" w14:textId="77777777" w:rsidR="009C2A24" w:rsidRDefault="009C2A24" w:rsidP="009C2A24">
      <w:pPr>
        <w:rPr>
          <w:rFonts w:ascii="Calibri" w:hAnsi="Calibri" w:cs="Calibri"/>
        </w:rPr>
      </w:pPr>
      <w:r w:rsidRPr="00BC6D7F">
        <w:rPr>
          <w:rFonts w:ascii="Calibri" w:hAnsi="Calibri" w:cs="Calibri"/>
          <w:b/>
        </w:rPr>
        <w:t>Medium risk</w:t>
      </w:r>
      <w:r>
        <w:rPr>
          <w:rFonts w:ascii="Calibri" w:hAnsi="Calibri" w:cs="Calibri"/>
        </w:rPr>
        <w:t xml:space="preserve"> – an environmental site assessment, which may include a detailed property inspection and intrusive works to assess potential contamination of soil and ground water, should be completed on these properties.</w:t>
      </w:r>
    </w:p>
    <w:p w14:paraId="21E88B80" w14:textId="77777777" w:rsidR="009C2A24" w:rsidRDefault="009C2A24" w:rsidP="009C2A24">
      <w:pPr>
        <w:rPr>
          <w:rFonts w:ascii="Calibri" w:hAnsi="Calibri" w:cs="Calibri"/>
        </w:rPr>
      </w:pPr>
      <w:r w:rsidRPr="00BC6D7F">
        <w:rPr>
          <w:rFonts w:ascii="Calibri" w:hAnsi="Calibri" w:cs="Calibri"/>
          <w:b/>
        </w:rPr>
        <w:t>Low risk</w:t>
      </w:r>
      <w:r>
        <w:rPr>
          <w:rFonts w:ascii="Calibri" w:hAnsi="Calibri" w:cs="Calibri"/>
        </w:rPr>
        <w:t xml:space="preserve"> – no further works are recommended on these properties.</w:t>
      </w:r>
    </w:p>
    <w:p w14:paraId="3B17A156" w14:textId="77777777" w:rsidR="00917A97" w:rsidRDefault="00917A97">
      <w:pPr>
        <w:rPr>
          <w:b/>
          <w:sz w:val="28"/>
          <w:szCs w:val="28"/>
          <w:u w:val="single"/>
        </w:rPr>
      </w:pPr>
      <w:r>
        <w:rPr>
          <w:b/>
          <w:sz w:val="28"/>
          <w:szCs w:val="28"/>
          <w:u w:val="single"/>
        </w:rPr>
        <w:br w:type="page"/>
      </w:r>
    </w:p>
    <w:p w14:paraId="350F2DDE" w14:textId="29C396A4" w:rsidR="00117342" w:rsidRPr="00BC6D7F" w:rsidRDefault="0032418A" w:rsidP="00BC6D7F">
      <w:pPr>
        <w:pStyle w:val="Heading1"/>
        <w:numPr>
          <w:ilvl w:val="0"/>
          <w:numId w:val="23"/>
        </w:numPr>
        <w:rPr>
          <w:b/>
        </w:rPr>
      </w:pPr>
      <w:r w:rsidRPr="00BC6D7F">
        <w:rPr>
          <w:b/>
        </w:rPr>
        <w:lastRenderedPageBreak/>
        <w:t>Biodiversity</w:t>
      </w:r>
    </w:p>
    <w:p w14:paraId="4F4130CF" w14:textId="23D22398" w:rsidR="00020FEB" w:rsidRDefault="00020FEB" w:rsidP="00E42AF5">
      <w:r>
        <w:t>The western growth corridor has significant biodiversity values including threatened communities of Natural Temperate Grasslands. Threatened fauna species that occur include Striped Legless Lizard, Golden Sun Moth and Growling Grass Frog. Threatened flora species occur throughout the growth corridor, including significant populations of Spiny Rice-flow</w:t>
      </w:r>
      <w:r w:rsidR="00610BED">
        <w:t>er</w:t>
      </w:r>
      <w:r>
        <w:t xml:space="preserve"> and Large-fruit Groundsel. The major waterways of Werribee River and Kororoit Creek are important habitat corridors providing connectivity through the growth corridor. </w:t>
      </w:r>
    </w:p>
    <w:p w14:paraId="12FA67B1" w14:textId="2A5EA0B2" w:rsidR="00020FEB" w:rsidRDefault="00020FEB" w:rsidP="00E42AF5">
      <w:r>
        <w:t xml:space="preserve">The Kororoit precinct lies within a landscape which is well documented for its association with significant biodiversity values and comprises areas of native vegetation and habitat for national and state significant flora and fauna species. </w:t>
      </w:r>
    </w:p>
    <w:p w14:paraId="225F5D7D" w14:textId="3A208D74" w:rsidR="00117342" w:rsidRPr="00BC6D7F" w:rsidRDefault="00BC6D7F" w:rsidP="00BC6D7F">
      <w:pPr>
        <w:pStyle w:val="Heading2"/>
      </w:pPr>
      <w:r>
        <w:t xml:space="preserve">7.1 </w:t>
      </w:r>
      <w:r w:rsidR="005D7A24" w:rsidRPr="00BC6D7F">
        <w:t xml:space="preserve">Biodiversity Conservation Strategy </w:t>
      </w:r>
    </w:p>
    <w:p w14:paraId="6BD21EF5" w14:textId="59FBC4EC" w:rsidR="00117342" w:rsidRDefault="00650932" w:rsidP="00117342">
      <w:pPr>
        <w:rPr>
          <w:b/>
          <w:sz w:val="28"/>
          <w:szCs w:val="28"/>
          <w:u w:val="single"/>
        </w:rPr>
      </w:pPr>
      <w:r>
        <w:rPr>
          <w:rFonts w:ascii="Calibri" w:hAnsi="Calibri" w:cs="Calibri"/>
          <w:color w:val="000000"/>
        </w:rPr>
        <w:t xml:space="preserve">The </w:t>
      </w:r>
      <w:r w:rsidR="005D7A24" w:rsidRPr="00E42AF5">
        <w:rPr>
          <w:rFonts w:ascii="Calibri" w:hAnsi="Calibri" w:cs="Calibri"/>
          <w:i/>
          <w:color w:val="000000"/>
        </w:rPr>
        <w:t xml:space="preserve">Biodiversity Conservation Strategy </w:t>
      </w:r>
      <w:r w:rsidRPr="00E42AF5">
        <w:rPr>
          <w:rFonts w:ascii="Calibri" w:hAnsi="Calibri" w:cs="Calibri"/>
          <w:i/>
          <w:color w:val="000000"/>
        </w:rPr>
        <w:t>for Melbourne’s Growth Corridors</w:t>
      </w:r>
      <w:r>
        <w:rPr>
          <w:rFonts w:ascii="Calibri" w:hAnsi="Calibri" w:cs="Calibri"/>
          <w:color w:val="000000"/>
        </w:rPr>
        <w:t xml:space="preserve"> </w:t>
      </w:r>
      <w:r w:rsidR="005D7A24" w:rsidRPr="005D7A24">
        <w:rPr>
          <w:rFonts w:ascii="Calibri" w:hAnsi="Calibri" w:cs="Calibri"/>
          <w:color w:val="000000"/>
        </w:rPr>
        <w:t>(</w:t>
      </w:r>
      <w:r>
        <w:rPr>
          <w:rFonts w:ascii="Calibri" w:hAnsi="Calibri" w:cs="Calibri"/>
          <w:color w:val="000000"/>
        </w:rPr>
        <w:t>2013 – ‘</w:t>
      </w:r>
      <w:r w:rsidR="005D7A24" w:rsidRPr="005D7A24">
        <w:rPr>
          <w:rFonts w:ascii="Calibri" w:hAnsi="Calibri" w:cs="Calibri"/>
          <w:color w:val="000000"/>
        </w:rPr>
        <w:t>BCS</w:t>
      </w:r>
      <w:r>
        <w:rPr>
          <w:rFonts w:ascii="Calibri" w:hAnsi="Calibri" w:cs="Calibri"/>
          <w:color w:val="000000"/>
        </w:rPr>
        <w:t>’</w:t>
      </w:r>
      <w:r w:rsidR="005D7A24" w:rsidRPr="005D7A24">
        <w:rPr>
          <w:rFonts w:ascii="Calibri" w:hAnsi="Calibri" w:cs="Calibri"/>
          <w:color w:val="000000"/>
        </w:rPr>
        <w:t xml:space="preserve">) was </w:t>
      </w:r>
      <w:r>
        <w:rPr>
          <w:rFonts w:ascii="Calibri" w:hAnsi="Calibri" w:cs="Calibri"/>
          <w:color w:val="000000"/>
        </w:rPr>
        <w:t>prepared in response to obligations arising from the Melbourne Strategic Assessment</w:t>
      </w:r>
      <w:r w:rsidR="00A75351">
        <w:rPr>
          <w:rFonts w:ascii="Calibri" w:hAnsi="Calibri" w:cs="Calibri"/>
          <w:color w:val="000000"/>
        </w:rPr>
        <w:t xml:space="preserve"> (MSA)</w:t>
      </w:r>
      <w:r>
        <w:rPr>
          <w:rFonts w:ascii="Calibri" w:hAnsi="Calibri" w:cs="Calibri"/>
          <w:color w:val="000000"/>
        </w:rPr>
        <w:t xml:space="preserve"> conducted under Part 10 of the </w:t>
      </w:r>
      <w:r w:rsidRPr="00E42AF5">
        <w:rPr>
          <w:rFonts w:ascii="Calibri" w:hAnsi="Calibri" w:cs="Calibri"/>
          <w:i/>
          <w:color w:val="000000"/>
        </w:rPr>
        <w:t>Commonwealth Environment Protection and Biodiversity Conservation Act 1999</w:t>
      </w:r>
      <w:r>
        <w:rPr>
          <w:rFonts w:ascii="Calibri" w:hAnsi="Calibri" w:cs="Calibri"/>
          <w:color w:val="000000"/>
        </w:rPr>
        <w:t xml:space="preserve">.  The final approval for urban development in the west growth corridor was given by the Commonwealth </w:t>
      </w:r>
      <w:r w:rsidR="005D7A24" w:rsidRPr="005D7A24">
        <w:rPr>
          <w:rFonts w:ascii="Calibri" w:hAnsi="Calibri" w:cs="Calibri"/>
          <w:color w:val="000000"/>
        </w:rPr>
        <w:t xml:space="preserve">Minister for Environment, Heritage and Water on 5 September, 2013. The BCS provides strategic direction for the retention and removal of ‘Matters of Environment Significance’ (MNES). A series of documents form part of the BCS objectives and implementation. The documents relevant to the </w:t>
      </w:r>
      <w:r>
        <w:rPr>
          <w:rFonts w:ascii="Calibri" w:hAnsi="Calibri" w:cs="Calibri"/>
          <w:color w:val="000000"/>
        </w:rPr>
        <w:t xml:space="preserve">Plumpton and </w:t>
      </w:r>
      <w:proofErr w:type="spellStart"/>
      <w:r>
        <w:rPr>
          <w:rFonts w:ascii="Calibri" w:hAnsi="Calibri" w:cs="Calibri"/>
          <w:color w:val="000000"/>
        </w:rPr>
        <w:t>Kororoit</w:t>
      </w:r>
      <w:proofErr w:type="spellEnd"/>
      <w:r>
        <w:rPr>
          <w:rFonts w:ascii="Calibri" w:hAnsi="Calibri" w:cs="Calibri"/>
          <w:color w:val="000000"/>
        </w:rPr>
        <w:t xml:space="preserve"> </w:t>
      </w:r>
      <w:r w:rsidR="005D7A24" w:rsidRPr="005D7A24">
        <w:rPr>
          <w:rFonts w:ascii="Calibri" w:hAnsi="Calibri" w:cs="Calibri"/>
          <w:color w:val="000000"/>
        </w:rPr>
        <w:t>precinct</w:t>
      </w:r>
      <w:r>
        <w:rPr>
          <w:rFonts w:ascii="Calibri" w:hAnsi="Calibri" w:cs="Calibri"/>
          <w:color w:val="000000"/>
        </w:rPr>
        <w:t>s</w:t>
      </w:r>
      <w:r w:rsidR="005D7A24" w:rsidRPr="005D7A24">
        <w:rPr>
          <w:rFonts w:ascii="Calibri" w:hAnsi="Calibri" w:cs="Calibri"/>
          <w:color w:val="000000"/>
        </w:rPr>
        <w:t xml:space="preserve"> are: </w:t>
      </w:r>
    </w:p>
    <w:p w14:paraId="76FA82AE" w14:textId="2A0B9357" w:rsidR="00117342" w:rsidRPr="00117342" w:rsidRDefault="005D7A24" w:rsidP="009E33F9">
      <w:pPr>
        <w:pStyle w:val="ListParagraph"/>
        <w:numPr>
          <w:ilvl w:val="0"/>
          <w:numId w:val="12"/>
        </w:numPr>
        <w:rPr>
          <w:b/>
          <w:sz w:val="28"/>
          <w:szCs w:val="28"/>
          <w:u w:val="single"/>
        </w:rPr>
      </w:pPr>
      <w:r w:rsidRPr="00117342">
        <w:rPr>
          <w:rFonts w:ascii="Calibri" w:hAnsi="Calibri" w:cs="Calibri"/>
          <w:i/>
          <w:iCs/>
          <w:color w:val="000000"/>
        </w:rPr>
        <w:t>Sub-regional Species Strategy for the Growling Grass Frog</w:t>
      </w:r>
      <w:r w:rsidR="00650932">
        <w:rPr>
          <w:rFonts w:ascii="Calibri" w:hAnsi="Calibri" w:cs="Calibri"/>
          <w:i/>
          <w:iCs/>
          <w:color w:val="000000"/>
        </w:rPr>
        <w:t xml:space="preserve"> (</w:t>
      </w:r>
      <w:r w:rsidR="00650932" w:rsidRPr="00E42AF5">
        <w:rPr>
          <w:rFonts w:ascii="Calibri" w:hAnsi="Calibri" w:cs="Calibri"/>
          <w:iCs/>
          <w:color w:val="000000"/>
        </w:rPr>
        <w:t>May 2013)</w:t>
      </w:r>
      <w:r w:rsidRPr="00E42AF5">
        <w:rPr>
          <w:rFonts w:ascii="Calibri" w:hAnsi="Calibri" w:cs="Calibri"/>
          <w:iCs/>
          <w:color w:val="000000"/>
        </w:rPr>
        <w:t>;</w:t>
      </w:r>
      <w:r w:rsidRPr="00117342">
        <w:rPr>
          <w:rFonts w:ascii="Calibri" w:hAnsi="Calibri" w:cs="Calibri"/>
          <w:i/>
          <w:iCs/>
          <w:color w:val="000000"/>
        </w:rPr>
        <w:t xml:space="preserve"> </w:t>
      </w:r>
    </w:p>
    <w:p w14:paraId="037439C9" w14:textId="33AEE832" w:rsidR="00117342" w:rsidRPr="00117342" w:rsidRDefault="005D7A24" w:rsidP="009E33F9">
      <w:pPr>
        <w:pStyle w:val="ListParagraph"/>
        <w:numPr>
          <w:ilvl w:val="0"/>
          <w:numId w:val="12"/>
        </w:numPr>
        <w:rPr>
          <w:b/>
          <w:sz w:val="28"/>
          <w:szCs w:val="28"/>
          <w:u w:val="single"/>
        </w:rPr>
      </w:pPr>
      <w:r w:rsidRPr="00117342">
        <w:rPr>
          <w:rFonts w:ascii="Calibri" w:hAnsi="Calibri" w:cs="Calibri"/>
          <w:i/>
          <w:iCs/>
          <w:color w:val="000000"/>
        </w:rPr>
        <w:t>Sub-regional Species Strategy for the Golden Sun Moth</w:t>
      </w:r>
      <w:r w:rsidR="00650932">
        <w:rPr>
          <w:rFonts w:ascii="Calibri" w:hAnsi="Calibri" w:cs="Calibri"/>
          <w:i/>
          <w:iCs/>
          <w:color w:val="000000"/>
        </w:rPr>
        <w:t xml:space="preserve"> </w:t>
      </w:r>
      <w:r w:rsidR="00650932" w:rsidRPr="00E42AF5">
        <w:rPr>
          <w:rFonts w:ascii="Calibri" w:hAnsi="Calibri" w:cs="Calibri"/>
          <w:iCs/>
          <w:color w:val="000000"/>
        </w:rPr>
        <w:t>(May 2013)</w:t>
      </w:r>
      <w:r w:rsidRPr="00E42AF5">
        <w:rPr>
          <w:rFonts w:ascii="Calibri" w:hAnsi="Calibri" w:cs="Calibri"/>
          <w:iCs/>
          <w:color w:val="000000"/>
        </w:rPr>
        <w:t xml:space="preserve">; </w:t>
      </w:r>
    </w:p>
    <w:p w14:paraId="6A237574" w14:textId="4F3046C2" w:rsidR="00650932" w:rsidRPr="00E42AF5" w:rsidRDefault="005D7A24" w:rsidP="009E33F9">
      <w:pPr>
        <w:pStyle w:val="ListParagraph"/>
        <w:numPr>
          <w:ilvl w:val="0"/>
          <w:numId w:val="12"/>
        </w:numPr>
        <w:rPr>
          <w:b/>
          <w:sz w:val="28"/>
          <w:szCs w:val="28"/>
          <w:u w:val="single"/>
        </w:rPr>
      </w:pPr>
      <w:r w:rsidRPr="00117342">
        <w:rPr>
          <w:rFonts w:ascii="Calibri" w:hAnsi="Calibri" w:cs="Calibri"/>
          <w:i/>
          <w:iCs/>
          <w:color w:val="000000"/>
        </w:rPr>
        <w:t>Habitat compensation under the Biodiversity Conservation Strategy</w:t>
      </w:r>
      <w:r w:rsidR="00650932">
        <w:rPr>
          <w:rFonts w:ascii="Calibri" w:hAnsi="Calibri" w:cs="Calibri"/>
          <w:i/>
          <w:iCs/>
          <w:color w:val="000000"/>
        </w:rPr>
        <w:t xml:space="preserve"> (</w:t>
      </w:r>
      <w:r w:rsidR="00EF07F0" w:rsidRPr="00E42AF5">
        <w:rPr>
          <w:rFonts w:ascii="Calibri" w:hAnsi="Calibri" w:cs="Calibri"/>
          <w:iCs/>
          <w:color w:val="000000"/>
        </w:rPr>
        <w:t>August 2013)</w:t>
      </w:r>
      <w:r w:rsidR="00650932" w:rsidRPr="00E42AF5">
        <w:rPr>
          <w:rFonts w:ascii="Calibri" w:hAnsi="Calibri" w:cs="Calibri"/>
          <w:iCs/>
          <w:color w:val="000000"/>
        </w:rPr>
        <w:t xml:space="preserve">; </w:t>
      </w:r>
    </w:p>
    <w:p w14:paraId="6155179E" w14:textId="228B625C" w:rsidR="005D7A24" w:rsidRPr="00E42AF5" w:rsidRDefault="00650932" w:rsidP="009E33F9">
      <w:pPr>
        <w:pStyle w:val="ListParagraph"/>
        <w:numPr>
          <w:ilvl w:val="0"/>
          <w:numId w:val="12"/>
        </w:numPr>
        <w:rPr>
          <w:b/>
          <w:sz w:val="28"/>
          <w:szCs w:val="28"/>
          <w:u w:val="single"/>
        </w:rPr>
      </w:pPr>
      <w:r>
        <w:rPr>
          <w:rFonts w:ascii="Calibri" w:hAnsi="Calibri" w:cs="Calibri"/>
          <w:i/>
          <w:iCs/>
          <w:color w:val="000000"/>
        </w:rPr>
        <w:t xml:space="preserve">Guidance Note: Implementing the Biodiversity Conservation Strategy for Melbourne’s Growth Corridors </w:t>
      </w:r>
      <w:r w:rsidRPr="00E42AF5">
        <w:rPr>
          <w:rFonts w:ascii="Calibri" w:hAnsi="Calibri" w:cs="Calibri"/>
          <w:iCs/>
          <w:color w:val="000000"/>
        </w:rPr>
        <w:t>(working document - 2015)</w:t>
      </w:r>
      <w:r w:rsidR="009B0250">
        <w:rPr>
          <w:rFonts w:ascii="Calibri" w:hAnsi="Calibri" w:cs="Calibri"/>
          <w:i/>
          <w:iCs/>
          <w:color w:val="000000"/>
        </w:rPr>
        <w:t>;</w:t>
      </w:r>
      <w:r w:rsidR="00D11451">
        <w:rPr>
          <w:rFonts w:ascii="Calibri" w:hAnsi="Calibri" w:cs="Calibri"/>
          <w:i/>
          <w:iCs/>
          <w:color w:val="000000"/>
        </w:rPr>
        <w:t xml:space="preserve"> </w:t>
      </w:r>
      <w:r w:rsidR="009B0250">
        <w:rPr>
          <w:rFonts w:ascii="Calibri" w:hAnsi="Calibri" w:cs="Calibri"/>
          <w:i/>
          <w:iCs/>
          <w:color w:val="000000"/>
        </w:rPr>
        <w:t>and</w:t>
      </w:r>
    </w:p>
    <w:p w14:paraId="0C891342" w14:textId="0B47A17D" w:rsidR="006471F9" w:rsidRPr="006471F9" w:rsidRDefault="00AD7EF1" w:rsidP="006471F9">
      <w:pPr>
        <w:pStyle w:val="ListParagraph"/>
        <w:numPr>
          <w:ilvl w:val="0"/>
          <w:numId w:val="12"/>
        </w:numPr>
        <w:rPr>
          <w:b/>
          <w:sz w:val="28"/>
          <w:szCs w:val="28"/>
          <w:u w:val="single"/>
        </w:rPr>
      </w:pPr>
      <w:r w:rsidRPr="001413B7">
        <w:rPr>
          <w:i/>
        </w:rPr>
        <w:t>Land Protection under the Biodiversity Conservation Strategy</w:t>
      </w:r>
      <w:r w:rsidRPr="001413B7">
        <w:t xml:space="preserve"> (May</w:t>
      </w:r>
      <w:r>
        <w:t xml:space="preserve"> 2014)</w:t>
      </w:r>
    </w:p>
    <w:p w14:paraId="45B6BA73" w14:textId="0BEBE9BD" w:rsidR="00C02E24" w:rsidRPr="00C02E24" w:rsidRDefault="00C02E24" w:rsidP="00C02E24">
      <w:pPr>
        <w:pStyle w:val="NormalWeb"/>
        <w:spacing w:before="0" w:beforeAutospacing="0" w:after="309" w:afterAutospacing="0"/>
        <w:rPr>
          <w:rFonts w:ascii="Calibri" w:eastAsiaTheme="minorHAnsi" w:hAnsi="Calibri" w:cs="Calibri"/>
          <w:color w:val="000000"/>
          <w:sz w:val="22"/>
          <w:szCs w:val="22"/>
          <w:lang w:eastAsia="en-US"/>
        </w:rPr>
      </w:pPr>
      <w:r w:rsidRPr="00C02E24">
        <w:rPr>
          <w:rFonts w:ascii="Calibri" w:eastAsiaTheme="minorHAnsi" w:hAnsi="Calibri" w:cs="Calibri"/>
          <w:color w:val="000000"/>
          <w:sz w:val="22"/>
          <w:szCs w:val="22"/>
          <w:lang w:eastAsia="en-US"/>
        </w:rPr>
        <w:t>The time-stamping project captured and "time stamped" native vegetation information to establish a native vegetation dataset and maps showing the type, extent and condition of all native vegetation in Melbourne's growth corridors. This information has been used with information on threatened species habitat from the conservation strategies to calculate habitat compensation obligations for urban development in the growth corridors.</w:t>
      </w:r>
    </w:p>
    <w:p w14:paraId="7CECCB55" w14:textId="3079EFFA" w:rsidR="006471F9" w:rsidRDefault="00BB7BC1" w:rsidP="006471F9">
      <w:pPr>
        <w:rPr>
          <w:b/>
          <w:sz w:val="28"/>
          <w:szCs w:val="28"/>
          <w:u w:val="single"/>
        </w:rPr>
      </w:pPr>
      <w:r w:rsidRPr="006471F9">
        <w:rPr>
          <w:rFonts w:ascii="Calibri" w:hAnsi="Calibri" w:cs="Calibri"/>
          <w:color w:val="000000"/>
        </w:rPr>
        <w:t xml:space="preserve">Following the finalisation of the Program Report (DSE 2009), which outlined the mitigation measures </w:t>
      </w:r>
      <w:r w:rsidR="00A75351">
        <w:rPr>
          <w:rFonts w:ascii="Calibri" w:hAnsi="Calibri" w:cs="Calibri"/>
          <w:color w:val="000000"/>
        </w:rPr>
        <w:t xml:space="preserve">for urban development on matters of national environmental significance, and </w:t>
      </w:r>
      <w:r w:rsidRPr="006471F9">
        <w:rPr>
          <w:rFonts w:ascii="Calibri" w:hAnsi="Calibri" w:cs="Calibri"/>
          <w:color w:val="000000"/>
        </w:rPr>
        <w:t>agreed to by the Victoria and Commonwealth governments, a new ecological community was listed under the EPBC Act</w:t>
      </w:r>
      <w:r w:rsidR="00A75351">
        <w:rPr>
          <w:rFonts w:ascii="Calibri" w:hAnsi="Calibri" w:cs="Calibri"/>
          <w:color w:val="000000"/>
        </w:rPr>
        <w:t>. These are known as</w:t>
      </w:r>
      <w:r w:rsidRPr="006471F9">
        <w:rPr>
          <w:rFonts w:ascii="Calibri" w:hAnsi="Calibri" w:cs="Calibri"/>
          <w:color w:val="000000"/>
        </w:rPr>
        <w:t xml:space="preserve"> Seasonal</w:t>
      </w:r>
      <w:r w:rsidR="006471F9" w:rsidRPr="006471F9">
        <w:rPr>
          <w:rFonts w:ascii="Calibri" w:hAnsi="Calibri" w:cs="Calibri"/>
          <w:color w:val="000000"/>
        </w:rPr>
        <w:t xml:space="preserve"> </w:t>
      </w:r>
      <w:r w:rsidRPr="006471F9">
        <w:rPr>
          <w:rFonts w:ascii="Calibri" w:hAnsi="Calibri" w:cs="Calibri"/>
          <w:color w:val="000000"/>
        </w:rPr>
        <w:t xml:space="preserve">Herbaceous Wetlands (Freshwater) of the Temperate Lowland Plains’ (hereafter SHW, listed in 2012). SHW </w:t>
      </w:r>
      <w:r w:rsidR="00A75351">
        <w:rPr>
          <w:rFonts w:ascii="Calibri" w:hAnsi="Calibri" w:cs="Calibri"/>
          <w:color w:val="000000"/>
        </w:rPr>
        <w:t>had not been</w:t>
      </w:r>
      <w:r w:rsidR="006471F9" w:rsidRPr="006471F9">
        <w:rPr>
          <w:rFonts w:ascii="Calibri" w:hAnsi="Calibri" w:cs="Calibri"/>
          <w:color w:val="000000"/>
        </w:rPr>
        <w:t xml:space="preserve"> </w:t>
      </w:r>
      <w:r w:rsidRPr="006471F9">
        <w:rPr>
          <w:rFonts w:ascii="Calibri" w:hAnsi="Calibri" w:cs="Calibri"/>
          <w:color w:val="000000"/>
        </w:rPr>
        <w:t xml:space="preserve">considered in the </w:t>
      </w:r>
      <w:r w:rsidR="00A75351">
        <w:rPr>
          <w:rFonts w:ascii="Calibri" w:hAnsi="Calibri" w:cs="Calibri"/>
          <w:color w:val="000000"/>
        </w:rPr>
        <w:t>Program Report, nor the MSA</w:t>
      </w:r>
      <w:r w:rsidRPr="006471F9">
        <w:rPr>
          <w:rFonts w:ascii="Calibri" w:hAnsi="Calibri" w:cs="Calibri"/>
          <w:color w:val="000000"/>
        </w:rPr>
        <w:t xml:space="preserve">, </w:t>
      </w:r>
      <w:r w:rsidR="00A75351">
        <w:rPr>
          <w:rFonts w:ascii="Calibri" w:hAnsi="Calibri" w:cs="Calibri"/>
          <w:color w:val="000000"/>
        </w:rPr>
        <w:t>and therefore nor the BCS, so</w:t>
      </w:r>
      <w:r w:rsidRPr="006471F9">
        <w:rPr>
          <w:rFonts w:ascii="Calibri" w:hAnsi="Calibri" w:cs="Calibri"/>
          <w:color w:val="000000"/>
        </w:rPr>
        <w:t xml:space="preserve"> the impact of the UGB expansion on the </w:t>
      </w:r>
      <w:r w:rsidR="00A75351">
        <w:rPr>
          <w:rFonts w:ascii="Calibri" w:hAnsi="Calibri" w:cs="Calibri"/>
          <w:color w:val="000000"/>
        </w:rPr>
        <w:t xml:space="preserve">SHW </w:t>
      </w:r>
      <w:r w:rsidRPr="006471F9">
        <w:rPr>
          <w:rFonts w:ascii="Calibri" w:hAnsi="Calibri" w:cs="Calibri"/>
          <w:color w:val="000000"/>
        </w:rPr>
        <w:t>community ha</w:t>
      </w:r>
      <w:r w:rsidR="00A75351">
        <w:rPr>
          <w:rFonts w:ascii="Calibri" w:hAnsi="Calibri" w:cs="Calibri"/>
          <w:color w:val="000000"/>
        </w:rPr>
        <w:t>d</w:t>
      </w:r>
      <w:r w:rsidRPr="006471F9">
        <w:rPr>
          <w:rFonts w:ascii="Calibri" w:hAnsi="Calibri" w:cs="Calibri"/>
          <w:color w:val="000000"/>
        </w:rPr>
        <w:t xml:space="preserve"> not yet been assessed.</w:t>
      </w:r>
    </w:p>
    <w:p w14:paraId="665DCA80" w14:textId="560ADD33" w:rsidR="00C02E24" w:rsidRDefault="00A75351" w:rsidP="006471F9">
      <w:r>
        <w:rPr>
          <w:rFonts w:ascii="Calibri" w:hAnsi="Calibri" w:cs="Calibri"/>
          <w:color w:val="000000"/>
        </w:rPr>
        <w:t xml:space="preserve">A new report, </w:t>
      </w:r>
      <w:r w:rsidR="00932248">
        <w:rPr>
          <w:rFonts w:ascii="Calibri" w:hAnsi="Calibri" w:cs="Calibri"/>
          <w:color w:val="000000"/>
        </w:rPr>
        <w:t>‘</w:t>
      </w:r>
      <w:r w:rsidR="00BB7BC1" w:rsidRPr="006471F9">
        <w:rPr>
          <w:i/>
        </w:rPr>
        <w:t>The impact of Melbourne’s Growth on ‘seasonal herbaceous wetlands (freshwater) of the temperate lowland plains’</w:t>
      </w:r>
      <w:r w:rsidR="00BB7BC1">
        <w:t xml:space="preserve"> (DEPI May 2013)</w:t>
      </w:r>
      <w:r>
        <w:t xml:space="preserve"> was commissioned. It investigated a number of sites in the Plumpton and Kororoit precincts, including in proposed BCS Conservation Areas 2 and 3, </w:t>
      </w:r>
      <w:r w:rsidR="00C001F5">
        <w:t xml:space="preserve">as well as the Deanside East Wetland and the ‘Plumpton Creek Wetland’ (in the proposed Plumpton </w:t>
      </w:r>
      <w:r w:rsidR="00D11451">
        <w:t xml:space="preserve">Business and Industrial </w:t>
      </w:r>
      <w:r w:rsidR="00C001F5">
        <w:t xml:space="preserve">Precinct). Seasonal herbaceous wetlands within Conservation Areas are to be </w:t>
      </w:r>
      <w:r w:rsidR="00C001F5">
        <w:lastRenderedPageBreak/>
        <w:t xml:space="preserve">protected; SHWs outside Conservation Areas are considered ‘lost and offset’ if they are recorded as native vegetation (of any sort) in time-stamping data; or ‘lost’ altogether if they are unprotected and not covered in the time-stamping data. </w:t>
      </w:r>
    </w:p>
    <w:p w14:paraId="140C2285" w14:textId="6A236C0B" w:rsidR="00BB7BC1" w:rsidRPr="006471F9" w:rsidRDefault="00C001F5" w:rsidP="006471F9">
      <w:pPr>
        <w:rPr>
          <w:b/>
          <w:sz w:val="28"/>
          <w:szCs w:val="28"/>
          <w:u w:val="single"/>
        </w:rPr>
      </w:pPr>
      <w:r>
        <w:t xml:space="preserve">Melbourne Water is </w:t>
      </w:r>
      <w:r w:rsidR="00D11451">
        <w:t>seeking to retain</w:t>
      </w:r>
      <w:r w:rsidR="00CD4005">
        <w:t xml:space="preserve"> </w:t>
      </w:r>
      <w:r>
        <w:t xml:space="preserve">part of the SHW north of Conservation Area 2 for waterway purposes in accordance with the </w:t>
      </w:r>
      <w:r w:rsidRPr="00C001F5">
        <w:rPr>
          <w:i/>
        </w:rPr>
        <w:t>Water Act</w:t>
      </w:r>
      <w:r>
        <w:t xml:space="preserve"> (1989)</w:t>
      </w:r>
      <w:r w:rsidR="00D11451">
        <w:t>.</w:t>
      </w:r>
    </w:p>
    <w:p w14:paraId="1D766E98" w14:textId="7E67E4B5" w:rsidR="00F9032A" w:rsidRPr="00BC6D7F" w:rsidRDefault="00BC6D7F" w:rsidP="00BC6D7F">
      <w:pPr>
        <w:pStyle w:val="Heading2"/>
      </w:pPr>
      <w:r>
        <w:t xml:space="preserve">7.2 </w:t>
      </w:r>
      <w:r w:rsidR="00F9032A" w:rsidRPr="00BC6D7F">
        <w:t>Retention and offset requirements</w:t>
      </w:r>
    </w:p>
    <w:p w14:paraId="637D8F7D" w14:textId="77777777" w:rsidR="00F9032A" w:rsidRDefault="00F9032A" w:rsidP="00F9032A">
      <w:pPr>
        <w:rPr>
          <w:rFonts w:ascii="Calibri" w:hAnsi="Calibri" w:cs="Calibri"/>
          <w:color w:val="000000"/>
        </w:rPr>
      </w:pPr>
      <w:r w:rsidRPr="004D2F2A">
        <w:rPr>
          <w:rFonts w:ascii="Calibri" w:hAnsi="Calibri" w:cs="Calibri"/>
          <w:color w:val="000000"/>
        </w:rPr>
        <w:t xml:space="preserve">The BCS identifies three grassland conservation areas and the Growling Grass Frog corridor conservation area to be retained in the </w:t>
      </w:r>
      <w:proofErr w:type="spellStart"/>
      <w:r w:rsidRPr="004D2F2A">
        <w:rPr>
          <w:rFonts w:ascii="Calibri" w:hAnsi="Calibri" w:cs="Calibri"/>
          <w:color w:val="000000"/>
        </w:rPr>
        <w:t>Kororoit</w:t>
      </w:r>
      <w:proofErr w:type="spellEnd"/>
      <w:r w:rsidRPr="004D2F2A">
        <w:rPr>
          <w:rFonts w:ascii="Calibri" w:hAnsi="Calibri" w:cs="Calibri"/>
          <w:color w:val="000000"/>
        </w:rPr>
        <w:t xml:space="preserve"> PSP</w:t>
      </w:r>
      <w:r>
        <w:rPr>
          <w:rFonts w:ascii="Calibri" w:hAnsi="Calibri" w:cs="Calibri"/>
          <w:color w:val="000000"/>
        </w:rPr>
        <w:t xml:space="preserve">. These have been identified due to their biodiversity values of matters of national environmental significance and state significance. Urban development is to be excluded from conservation areas and each area will be protected and managed in future. All other vegetation may be offset and cleared, other than where required to be retained by Melbourne Water within waterway areas. </w:t>
      </w:r>
    </w:p>
    <w:p w14:paraId="62F6992E" w14:textId="77777777" w:rsidR="00F9032A" w:rsidRDefault="00F9032A" w:rsidP="00F9032A">
      <w:pPr>
        <w:rPr>
          <w:rFonts w:ascii="Calibri" w:hAnsi="Calibri" w:cs="Calibri"/>
          <w:color w:val="000000"/>
        </w:rPr>
      </w:pPr>
      <w:r>
        <w:rPr>
          <w:rFonts w:ascii="Calibri" w:hAnsi="Calibri" w:cs="Calibri"/>
          <w:color w:val="000000"/>
        </w:rPr>
        <w:t>N</w:t>
      </w:r>
      <w:r w:rsidRPr="004D2F2A">
        <w:rPr>
          <w:rFonts w:ascii="Calibri" w:hAnsi="Calibri" w:cs="Calibri"/>
          <w:color w:val="000000"/>
        </w:rPr>
        <w:t xml:space="preserve">o conservation areas </w:t>
      </w:r>
      <w:r>
        <w:rPr>
          <w:rFonts w:ascii="Calibri" w:hAnsi="Calibri" w:cs="Calibri"/>
          <w:color w:val="000000"/>
        </w:rPr>
        <w:t xml:space="preserve">were identified </w:t>
      </w:r>
      <w:r w:rsidRPr="004D2F2A">
        <w:rPr>
          <w:rFonts w:ascii="Calibri" w:hAnsi="Calibri" w:cs="Calibri"/>
          <w:color w:val="000000"/>
        </w:rPr>
        <w:t>within the Plumpton PSP</w:t>
      </w:r>
      <w:r>
        <w:rPr>
          <w:rFonts w:ascii="Calibri" w:hAnsi="Calibri" w:cs="Calibri"/>
          <w:color w:val="000000"/>
        </w:rPr>
        <w:t>, so all vegetation may be offset and cleared in the Plumpton PSP, other than where required to be retained by Melbourne Water within waterway areas.</w:t>
      </w:r>
    </w:p>
    <w:p w14:paraId="3B0B97C1" w14:textId="1DA9DF05" w:rsidR="00AE28A0" w:rsidRPr="004D2F2A" w:rsidRDefault="00F9032A" w:rsidP="00F9032A">
      <w:pPr>
        <w:pStyle w:val="NormalWeb"/>
        <w:spacing w:before="0" w:beforeAutospacing="0" w:after="309" w:afterAutospacing="0"/>
        <w:rPr>
          <w:rFonts w:ascii="Calibri" w:eastAsiaTheme="minorHAnsi" w:hAnsi="Calibri" w:cs="Calibri"/>
          <w:color w:val="000000"/>
          <w:sz w:val="22"/>
          <w:szCs w:val="22"/>
          <w:lang w:eastAsia="en-US"/>
        </w:rPr>
      </w:pPr>
      <w:r w:rsidRPr="004D2F2A">
        <w:rPr>
          <w:rFonts w:ascii="Calibri" w:eastAsiaTheme="minorHAnsi" w:hAnsi="Calibri" w:cs="Calibri"/>
          <w:color w:val="000000"/>
          <w:sz w:val="22"/>
          <w:szCs w:val="22"/>
          <w:lang w:eastAsia="en-US"/>
        </w:rPr>
        <w:t xml:space="preserve">Landowners who remove native vegetation and habitat must pay habitat compensation fees to the Department of Environment, Land, Water &amp; Planning (DELWP). DELWP will use these fees to ensure the commitments for matters of national environmental significance and the habitat compensation requirements of the </w:t>
      </w:r>
      <w:r w:rsidRPr="004D2F2A">
        <w:rPr>
          <w:rFonts w:ascii="Calibri" w:eastAsiaTheme="minorHAnsi" w:hAnsi="Calibri" w:cs="Calibri"/>
          <w:i/>
          <w:color w:val="000000"/>
          <w:sz w:val="22"/>
          <w:szCs w:val="22"/>
          <w:lang w:eastAsia="en-US"/>
        </w:rPr>
        <w:t>Biodiversity Conservation Strategy</w:t>
      </w:r>
      <w:r w:rsidRPr="004D2F2A">
        <w:rPr>
          <w:rFonts w:ascii="Calibri" w:eastAsiaTheme="minorHAnsi" w:hAnsi="Calibri" w:cs="Calibri"/>
          <w:color w:val="000000"/>
          <w:sz w:val="22"/>
          <w:szCs w:val="22"/>
          <w:lang w:eastAsia="en-US"/>
        </w:rPr>
        <w:t xml:space="preserve"> </w:t>
      </w:r>
      <w:r w:rsidR="005E785E">
        <w:rPr>
          <w:rFonts w:ascii="Calibri" w:eastAsiaTheme="minorHAnsi" w:hAnsi="Calibri" w:cs="Calibri"/>
          <w:color w:val="000000"/>
          <w:sz w:val="22"/>
          <w:szCs w:val="22"/>
          <w:lang w:eastAsia="en-US"/>
        </w:rPr>
        <w:t xml:space="preserve">(2013) </w:t>
      </w:r>
      <w:r w:rsidRPr="004D2F2A">
        <w:rPr>
          <w:rFonts w:ascii="Calibri" w:eastAsiaTheme="minorHAnsi" w:hAnsi="Calibri" w:cs="Calibri"/>
          <w:color w:val="000000"/>
          <w:sz w:val="22"/>
          <w:szCs w:val="22"/>
          <w:lang w:eastAsia="en-US"/>
        </w:rPr>
        <w:t>are met.</w:t>
      </w:r>
    </w:p>
    <w:p w14:paraId="5E680367" w14:textId="72BDEA96" w:rsidR="00A409E0" w:rsidRPr="000F1F6D" w:rsidRDefault="00BC6D7F" w:rsidP="00BC6D7F">
      <w:pPr>
        <w:pStyle w:val="Heading2"/>
      </w:pPr>
      <w:r>
        <w:t xml:space="preserve">7.3 </w:t>
      </w:r>
      <w:r w:rsidR="00917A97" w:rsidRPr="000F1F6D">
        <w:t>Conservation Areas Grassland Reserves</w:t>
      </w:r>
    </w:p>
    <w:p w14:paraId="575761FB" w14:textId="0ED37256" w:rsidR="00FD5BFD" w:rsidRDefault="002D2035">
      <w:r>
        <w:t xml:space="preserve">Conservation Areas 1 and 2 have been identified as areas for nature conservation </w:t>
      </w:r>
      <w:r w:rsidR="00F9032A">
        <w:t xml:space="preserve">to protect high quality, </w:t>
      </w:r>
      <w:r>
        <w:t>herb-rich native grasslands that contains a significant population of Spiny Rice-flower</w:t>
      </w:r>
      <w:r w:rsidR="00F9032A">
        <w:t xml:space="preserve"> within a practically manageable area</w:t>
      </w:r>
      <w:r>
        <w:t xml:space="preserve">. </w:t>
      </w:r>
    </w:p>
    <w:p w14:paraId="7F0277F6" w14:textId="6BF4D708" w:rsidR="00512DF0" w:rsidRDefault="00F9032A">
      <w:pPr>
        <w:rPr>
          <w:rFonts w:ascii="Calibri" w:hAnsi="Calibri" w:cs="Calibri"/>
          <w:iCs/>
          <w:color w:val="000000"/>
        </w:rPr>
      </w:pPr>
      <w:r>
        <w:t xml:space="preserve">Conservation </w:t>
      </w:r>
      <w:r w:rsidR="005E785E">
        <w:t xml:space="preserve">Area </w:t>
      </w:r>
      <w:r>
        <w:t xml:space="preserve">Concept Plans have been developed for </w:t>
      </w:r>
      <w:r w:rsidR="005E785E">
        <w:t>Nature Conservation</w:t>
      </w:r>
      <w:r w:rsidR="00CD4005">
        <w:t xml:space="preserve"> -</w:t>
      </w:r>
      <w:r w:rsidR="005E785E">
        <w:t xml:space="preserve"> </w:t>
      </w:r>
      <w:r>
        <w:t xml:space="preserve">Conservation Areas 1 and 2 as part of the PSP process. These seek to ensure protection of the grassland values of the two conservation areas within an urban context, and to meet the requirements of the </w:t>
      </w:r>
      <w:r w:rsidRPr="00F9032A">
        <w:rPr>
          <w:rFonts w:ascii="Calibri" w:hAnsi="Calibri" w:cs="Calibri"/>
          <w:i/>
          <w:iCs/>
          <w:color w:val="000000"/>
        </w:rPr>
        <w:t xml:space="preserve">Guidance Note: Implementing the Biodiversity Conservation Strategy for Melbourne’s Growth Corridors </w:t>
      </w:r>
      <w:r w:rsidRPr="00F9032A">
        <w:rPr>
          <w:rFonts w:ascii="Calibri" w:hAnsi="Calibri" w:cs="Calibri"/>
          <w:iCs/>
          <w:color w:val="000000"/>
        </w:rPr>
        <w:t>(working document - 2015).</w:t>
      </w:r>
      <w:r w:rsidRPr="00E42AF5">
        <w:rPr>
          <w:rFonts w:ascii="Calibri" w:hAnsi="Calibri" w:cs="Calibri"/>
          <w:iCs/>
          <w:color w:val="000000"/>
        </w:rPr>
        <w:t xml:space="preserve"> </w:t>
      </w:r>
      <w:r w:rsidR="00D25DE9">
        <w:rPr>
          <w:rFonts w:ascii="Calibri" w:hAnsi="Calibri" w:cs="Calibri"/>
          <w:iCs/>
          <w:color w:val="000000"/>
        </w:rPr>
        <w:t>A small change to the boundary of Conservation Area 1 was endorsed by the Commonwealth as part of the preparation of Kororoit PSP, to enable landowner access to the western part of their property from Sinclairs Road.</w:t>
      </w:r>
    </w:p>
    <w:p w14:paraId="73688BB4" w14:textId="5838C266" w:rsidR="00512DF0" w:rsidRDefault="00512DF0">
      <w:r>
        <w:t xml:space="preserve">It is important to encourage </w:t>
      </w:r>
      <w:r w:rsidR="00F9032A" w:rsidRPr="00F9032A">
        <w:t>appreciation of these grasslands by the surrounding developing residential</w:t>
      </w:r>
      <w:r w:rsidR="00F9032A">
        <w:t xml:space="preserve"> communities, </w:t>
      </w:r>
      <w:r>
        <w:t xml:space="preserve">to </w:t>
      </w:r>
      <w:r w:rsidR="00F9032A">
        <w:t xml:space="preserve">assist with </w:t>
      </w:r>
      <w:r>
        <w:t>conservation of the grasslands into the future. The</w:t>
      </w:r>
      <w:r w:rsidR="005560CC">
        <w:t>refore</w:t>
      </w:r>
      <w:r w:rsidR="006F4F1A">
        <w:t>,</w:t>
      </w:r>
      <w:r w:rsidR="005560CC">
        <w:t xml:space="preserve"> the</w:t>
      </w:r>
      <w:r>
        <w:t xml:space="preserve"> </w:t>
      </w:r>
      <w:r w:rsidR="00F9032A">
        <w:t>design</w:t>
      </w:r>
      <w:r w:rsidR="005560CC">
        <w:t>s</w:t>
      </w:r>
      <w:r w:rsidR="00F9032A">
        <w:t xml:space="preserve"> of the</w:t>
      </w:r>
      <w:r>
        <w:t xml:space="preserve"> </w:t>
      </w:r>
      <w:r w:rsidR="005560CC">
        <w:t xml:space="preserve">Conservation </w:t>
      </w:r>
      <w:r w:rsidR="005E785E">
        <w:t xml:space="preserve">area </w:t>
      </w:r>
      <w:r w:rsidR="005560CC">
        <w:t>Concept Plans</w:t>
      </w:r>
      <w:r w:rsidR="005E785E">
        <w:t xml:space="preserve"> (CACPs)</w:t>
      </w:r>
      <w:r w:rsidR="005560CC">
        <w:t xml:space="preserve"> </w:t>
      </w:r>
      <w:r w:rsidR="005E785E">
        <w:t xml:space="preserve">have been developed in more detail than is usual practice. The CACPs </w:t>
      </w:r>
      <w:r w:rsidR="005560CC">
        <w:t>place</w:t>
      </w:r>
      <w:r>
        <w:t xml:space="preserve"> importance on attractive edges</w:t>
      </w:r>
      <w:r w:rsidR="005560CC">
        <w:t xml:space="preserve"> (shrubs, grasses, low height fencing)</w:t>
      </w:r>
      <w:r>
        <w:t xml:space="preserve"> to the grasslands; providing defined areas</w:t>
      </w:r>
      <w:r w:rsidR="005560CC">
        <w:t xml:space="preserve"> for pedestrian access</w:t>
      </w:r>
      <w:r>
        <w:t xml:space="preserve">; and </w:t>
      </w:r>
      <w:r w:rsidR="007C10DB">
        <w:t xml:space="preserve">ensuring the conservation areas look well cared for by </w:t>
      </w:r>
      <w:r w:rsidR="00787F57">
        <w:t xml:space="preserve">designing for ease of maintenance. </w:t>
      </w:r>
      <w:r w:rsidR="00E35152">
        <w:t>Street c</w:t>
      </w:r>
      <w:r w:rsidR="00787F57">
        <w:t xml:space="preserve">ross </w:t>
      </w:r>
      <w:r w:rsidR="00E35152">
        <w:t xml:space="preserve">sections for interface areas adjacent to the Conservation Areas </w:t>
      </w:r>
      <w:r w:rsidR="00787F57">
        <w:t xml:space="preserve">have also been developed as part of the PSP, to clarify design and buffer requirements </w:t>
      </w:r>
      <w:r w:rsidR="00E35152">
        <w:t xml:space="preserve">within these </w:t>
      </w:r>
      <w:r w:rsidR="00787F57">
        <w:t>areas.</w:t>
      </w:r>
    </w:p>
    <w:p w14:paraId="0F9F0A23" w14:textId="77777777" w:rsidR="00917A97" w:rsidRDefault="0048373D" w:rsidP="00917A97">
      <w:r>
        <w:rPr>
          <w:rFonts w:ascii="Calibri" w:hAnsi="Calibri" w:cs="Calibri"/>
          <w:iCs/>
          <w:color w:val="000000"/>
        </w:rPr>
        <w:t>Detailed management requirements for conservation areas will be set out in management plans and/or on—title management agreements that will be prepared for each conservation area, once the future land manager is determined and the area is secured for conservation.</w:t>
      </w:r>
    </w:p>
    <w:p w14:paraId="2DDEA472" w14:textId="3DEB774D" w:rsidR="00917A97" w:rsidRDefault="00917A97" w:rsidP="00917A97">
      <w:r>
        <w:lastRenderedPageBreak/>
        <w:t>Information related to the proposed Kororoit Regional Park will be added as part of PSP 1080.2 Kororoit Part 2</w:t>
      </w:r>
    </w:p>
    <w:p w14:paraId="3F1E38D5" w14:textId="7ADD7FFD" w:rsidR="00316A25" w:rsidRPr="000F1F6D" w:rsidRDefault="00BC6D7F" w:rsidP="00BC6D7F">
      <w:pPr>
        <w:pStyle w:val="Heading2"/>
      </w:pPr>
      <w:r>
        <w:t xml:space="preserve">7.4 </w:t>
      </w:r>
      <w:r w:rsidR="00316A25" w:rsidRPr="000C7A6F">
        <w:t>Growling Grass Frog Corridor</w:t>
      </w:r>
    </w:p>
    <w:p w14:paraId="25949064" w14:textId="54D62809" w:rsidR="008246F1" w:rsidRDefault="005441CB">
      <w:pPr>
        <w:rPr>
          <w:i/>
        </w:rPr>
      </w:pPr>
      <w:r>
        <w:t xml:space="preserve">The </w:t>
      </w:r>
      <w:r w:rsidRPr="00E42AF5">
        <w:rPr>
          <w:i/>
        </w:rPr>
        <w:t>Sub-Regional Species Strategy for the Growling Grass Frog</w:t>
      </w:r>
      <w:r w:rsidR="00D25DE9">
        <w:t xml:space="preserve"> (May 2013 </w:t>
      </w:r>
      <w:r w:rsidR="008246F1">
        <w:t>–</w:t>
      </w:r>
      <w:r w:rsidR="00D25DE9">
        <w:t xml:space="preserve"> </w:t>
      </w:r>
      <w:r w:rsidR="008246F1">
        <w:t xml:space="preserve">“the </w:t>
      </w:r>
      <w:r w:rsidR="008246F1" w:rsidRPr="00E42AF5">
        <w:rPr>
          <w:i/>
        </w:rPr>
        <w:t>SRSS”</w:t>
      </w:r>
      <w:r w:rsidR="00D25DE9">
        <w:t xml:space="preserve">) identified ‘Category 1 protection area’ along the </w:t>
      </w:r>
      <w:proofErr w:type="spellStart"/>
      <w:r w:rsidR="00D25DE9">
        <w:t>Kororoit</w:t>
      </w:r>
      <w:proofErr w:type="spellEnd"/>
      <w:r w:rsidR="00D25DE9">
        <w:t xml:space="preserve"> Creek, running east-west through the </w:t>
      </w:r>
      <w:proofErr w:type="spellStart"/>
      <w:r w:rsidR="00D25DE9">
        <w:t>Kororoit</w:t>
      </w:r>
      <w:proofErr w:type="spellEnd"/>
      <w:r w:rsidR="00D25DE9">
        <w:t xml:space="preserve"> PSP area</w:t>
      </w:r>
      <w:r w:rsidR="00E0745E">
        <w:t>, known as ‘Growling Grass Frog Conservation Area 15’ (part)</w:t>
      </w:r>
      <w:r w:rsidR="00D25DE9">
        <w:t>. Category 1 areas will include extensive areas of managed habitat including a large network of frog ponds (construc</w:t>
      </w:r>
      <w:r w:rsidR="008246F1">
        <w:t>ted wetlands). Th</w:t>
      </w:r>
      <w:r w:rsidR="00D25DE9">
        <w:t xml:space="preserve">ese will be planted with indigenous aquatic and amphibious vegetation and will be interspersed with grassed and treed areas, following standards defined in the </w:t>
      </w:r>
      <w:r w:rsidR="008246F1">
        <w:rPr>
          <w:i/>
        </w:rPr>
        <w:t xml:space="preserve">SRSS. </w:t>
      </w:r>
    </w:p>
    <w:p w14:paraId="60882DBB" w14:textId="1DACCB48" w:rsidR="002D2035" w:rsidRPr="00E42AF5" w:rsidRDefault="008246F1">
      <w:r>
        <w:t xml:space="preserve">While some frog ponds will have restricted public access, in </w:t>
      </w:r>
      <w:r w:rsidR="00330E54">
        <w:t xml:space="preserve">many </w:t>
      </w:r>
      <w:r>
        <w:t>situations there will be opportunity to have viewing areas, with sensitively designed</w:t>
      </w:r>
      <w:r w:rsidR="00330E54">
        <w:t xml:space="preserve"> paths, </w:t>
      </w:r>
      <w:r>
        <w:t xml:space="preserve">boardwalks </w:t>
      </w:r>
      <w:r w:rsidR="00330E54">
        <w:t>and passive recreation areas</w:t>
      </w:r>
      <w:r>
        <w:t xml:space="preserve">. Dispersal of </w:t>
      </w:r>
      <w:r w:rsidR="00E0745E">
        <w:t>Growling Grass Frogs (GGF)</w:t>
      </w:r>
      <w:r>
        <w:t xml:space="preserve"> between wetlands will be achieved by including grassed (mown and some unmown areas. Shared paths throughout the network of frog ponds and land areas will be compatible with the overall </w:t>
      </w:r>
      <w:r w:rsidRPr="00E0745E">
        <w:t xml:space="preserve">objectives of the SRSS but need to be sensitively designed and located. </w:t>
      </w:r>
      <w:r w:rsidR="00D25DE9" w:rsidRPr="00E42AF5">
        <w:t xml:space="preserve"> </w:t>
      </w:r>
    </w:p>
    <w:p w14:paraId="78011C14" w14:textId="2D3EE6EC" w:rsidR="008246F1" w:rsidRDefault="008246F1">
      <w:pPr>
        <w:rPr>
          <w:rFonts w:ascii="Calibri" w:hAnsi="Calibri" w:cs="Calibri"/>
          <w:iCs/>
          <w:color w:val="000000"/>
        </w:rPr>
      </w:pPr>
      <w:r w:rsidRPr="00E42AF5">
        <w:t xml:space="preserve">Conservation </w:t>
      </w:r>
      <w:r w:rsidR="00E35152">
        <w:t xml:space="preserve">Area </w:t>
      </w:r>
      <w:r w:rsidRPr="00E42AF5">
        <w:t>Concept Plans</w:t>
      </w:r>
      <w:r w:rsidR="00E0745E">
        <w:t xml:space="preserve"> for</w:t>
      </w:r>
      <w:r w:rsidR="00E35152">
        <w:t xml:space="preserve"> the</w:t>
      </w:r>
      <w:r w:rsidR="00E0745E">
        <w:t xml:space="preserve"> part of GGF Conservation Area 15</w:t>
      </w:r>
      <w:r w:rsidR="0048373D">
        <w:t xml:space="preserve"> </w:t>
      </w:r>
      <w:r w:rsidR="00E35152">
        <w:t xml:space="preserve">within Kororoit PSP </w:t>
      </w:r>
      <w:r w:rsidR="0048373D">
        <w:t xml:space="preserve">have been prepared as part of the Kororoit PSP process. These meet the requirements of the </w:t>
      </w:r>
      <w:r w:rsidR="0048373D" w:rsidRPr="00F9032A">
        <w:rPr>
          <w:rFonts w:ascii="Calibri" w:hAnsi="Calibri" w:cs="Calibri"/>
          <w:i/>
          <w:iCs/>
          <w:color w:val="000000"/>
        </w:rPr>
        <w:t xml:space="preserve">Guidance Note: Implementing the Biodiversity Conservation Strategy for Melbourne’s Growth Corridors </w:t>
      </w:r>
      <w:r w:rsidR="0048373D" w:rsidRPr="00F9032A">
        <w:rPr>
          <w:rFonts w:ascii="Calibri" w:hAnsi="Calibri" w:cs="Calibri"/>
          <w:iCs/>
          <w:color w:val="000000"/>
        </w:rPr>
        <w:t>(working document - 2015)</w:t>
      </w:r>
      <w:r w:rsidR="0048373D">
        <w:rPr>
          <w:rFonts w:ascii="Calibri" w:hAnsi="Calibri" w:cs="Calibri"/>
          <w:iCs/>
          <w:color w:val="000000"/>
        </w:rPr>
        <w:t xml:space="preserve"> and </w:t>
      </w:r>
      <w:r w:rsidR="00E35152">
        <w:rPr>
          <w:rFonts w:ascii="Calibri" w:hAnsi="Calibri" w:cs="Calibri"/>
          <w:iCs/>
          <w:color w:val="000000"/>
        </w:rPr>
        <w:t>set</w:t>
      </w:r>
      <w:r w:rsidR="0048373D">
        <w:rPr>
          <w:rFonts w:ascii="Calibri" w:hAnsi="Calibri" w:cs="Calibri"/>
          <w:iCs/>
          <w:color w:val="000000"/>
        </w:rPr>
        <w:t xml:space="preserve"> out the land uses of the conservation area and adjacent areas; notes specifying any </w:t>
      </w:r>
      <w:r w:rsidR="00330E54">
        <w:rPr>
          <w:rFonts w:ascii="Calibri" w:hAnsi="Calibri" w:cs="Calibri"/>
          <w:iCs/>
          <w:color w:val="000000"/>
        </w:rPr>
        <w:t xml:space="preserve">specific </w:t>
      </w:r>
      <w:r w:rsidR="0048373D">
        <w:rPr>
          <w:rFonts w:ascii="Calibri" w:hAnsi="Calibri" w:cs="Calibri"/>
          <w:iCs/>
          <w:color w:val="000000"/>
        </w:rPr>
        <w:t>conservation requirements</w:t>
      </w:r>
      <w:r w:rsidR="00330E54">
        <w:rPr>
          <w:rFonts w:ascii="Calibri" w:hAnsi="Calibri" w:cs="Calibri"/>
          <w:iCs/>
          <w:color w:val="000000"/>
        </w:rPr>
        <w:t xml:space="preserve">; and are complemented by interface cross sections of adjacent streets and development. </w:t>
      </w:r>
    </w:p>
    <w:p w14:paraId="220DE64C" w14:textId="29DCEA62" w:rsidR="0048373D" w:rsidRDefault="0048373D">
      <w:pPr>
        <w:rPr>
          <w:rFonts w:ascii="Calibri" w:hAnsi="Calibri" w:cs="Calibri"/>
          <w:iCs/>
          <w:color w:val="000000"/>
        </w:rPr>
      </w:pPr>
      <w:r>
        <w:rPr>
          <w:rFonts w:ascii="Calibri" w:hAnsi="Calibri" w:cs="Calibri"/>
          <w:iCs/>
          <w:color w:val="000000"/>
        </w:rPr>
        <w:t>Detailed management requirements for conservation areas will be set out in management plans and/or on—title management agreements that will be prepared for each conservation area, once the future land manager is determined and the area is secured for conservation.</w:t>
      </w:r>
    </w:p>
    <w:p w14:paraId="4AB17817" w14:textId="1E8404B9" w:rsidR="00316A25" w:rsidRPr="000F1F6D" w:rsidRDefault="00BC6D7F" w:rsidP="00BC6D7F">
      <w:pPr>
        <w:pStyle w:val="Heading2"/>
      </w:pPr>
      <w:r>
        <w:t xml:space="preserve">7.5 </w:t>
      </w:r>
      <w:proofErr w:type="spellStart"/>
      <w:r w:rsidR="00316A25" w:rsidRPr="000C7A6F">
        <w:t>Arboricultural</w:t>
      </w:r>
      <w:proofErr w:type="spellEnd"/>
      <w:r w:rsidR="00316A25" w:rsidRPr="000C7A6F">
        <w:t xml:space="preserve"> report</w:t>
      </w:r>
    </w:p>
    <w:p w14:paraId="72C8C403" w14:textId="560C1FF1" w:rsidR="00F80B6D" w:rsidRDefault="00322FD3">
      <w:r>
        <w:t xml:space="preserve">A number of </w:t>
      </w:r>
      <w:r w:rsidR="00535873">
        <w:t xml:space="preserve">indigenous </w:t>
      </w:r>
      <w:r>
        <w:t>‘</w:t>
      </w:r>
      <w:r w:rsidR="002D4334">
        <w:t>scattered trees</w:t>
      </w:r>
      <w:r>
        <w:t>’</w:t>
      </w:r>
      <w:r w:rsidR="002D4334">
        <w:t xml:space="preserve"> </w:t>
      </w:r>
      <w:r>
        <w:t>exist</w:t>
      </w:r>
      <w:r w:rsidR="002D4334">
        <w:t xml:space="preserve"> within the Plumpton and </w:t>
      </w:r>
      <w:proofErr w:type="spellStart"/>
      <w:r w:rsidR="002D4334">
        <w:t>Kororoit</w:t>
      </w:r>
      <w:proofErr w:type="spellEnd"/>
      <w:r w:rsidR="002D4334">
        <w:t xml:space="preserve"> PSP areas</w:t>
      </w:r>
      <w:r>
        <w:t xml:space="preserve"> as identified in Plan 7 of each PSP</w:t>
      </w:r>
      <w:r w:rsidR="002D4334">
        <w:t xml:space="preserve">. </w:t>
      </w:r>
      <w:r w:rsidR="00AA277A">
        <w:t>The MP</w:t>
      </w:r>
      <w:r w:rsidR="00535873">
        <w:t>A engaged Tree Logic to prepare</w:t>
      </w:r>
      <w:r w:rsidR="00624CDF">
        <w:t xml:space="preserve"> </w:t>
      </w:r>
      <w:proofErr w:type="spellStart"/>
      <w:r w:rsidR="00AA277A">
        <w:t>arboricultural</w:t>
      </w:r>
      <w:proofErr w:type="spellEnd"/>
      <w:r w:rsidR="00AA277A">
        <w:t xml:space="preserve"> reports for </w:t>
      </w:r>
      <w:r w:rsidR="00624CDF">
        <w:t xml:space="preserve">each of </w:t>
      </w:r>
      <w:r w:rsidR="00535873">
        <w:t>the two precinct to provide advice as to whether other trees found within the precinct were of conservation and retention value. This would provide the MPA with more certainty when identifying areas of natural amenity to be retained.</w:t>
      </w:r>
      <w:r w:rsidR="00AA277A">
        <w:t xml:space="preserve"> A total of 255 tree </w:t>
      </w:r>
      <w:r w:rsidR="00624CDF">
        <w:t xml:space="preserve">inspections were made in </w:t>
      </w:r>
      <w:r w:rsidR="00AA277A">
        <w:t>Plumpton</w:t>
      </w:r>
      <w:r w:rsidR="00283FB4">
        <w:t xml:space="preserve"> which included 161 individual trees and 94 tree group features comprising approximately </w:t>
      </w:r>
      <w:r w:rsidR="00A54506">
        <w:t>2,698</w:t>
      </w:r>
      <w:r w:rsidR="00283FB4">
        <w:t xml:space="preserve"> additional trees.</w:t>
      </w:r>
    </w:p>
    <w:p w14:paraId="1B148F78" w14:textId="53BC03F5" w:rsidR="00283FB4" w:rsidRDefault="00283FB4" w:rsidP="00283FB4">
      <w:r>
        <w:t xml:space="preserve">A total of 225 tree </w:t>
      </w:r>
      <w:r w:rsidR="0044357A">
        <w:t>inspections were made</w:t>
      </w:r>
      <w:r>
        <w:t xml:space="preserve"> </w:t>
      </w:r>
      <w:r w:rsidR="0044357A">
        <w:t xml:space="preserve">in </w:t>
      </w:r>
      <w:r>
        <w:t>Koror</w:t>
      </w:r>
      <w:r w:rsidR="00624CDF">
        <w:t>o</w:t>
      </w:r>
      <w:r>
        <w:t>it which included 147 individual trees and 78 tree group features comprising approximately 6,700 additional trees.</w:t>
      </w:r>
    </w:p>
    <w:p w14:paraId="7ED0A31D" w14:textId="77777777" w:rsidR="00283FB4" w:rsidRDefault="00283FB4" w:rsidP="00283FB4">
      <w:pPr>
        <w:autoSpaceDE w:val="0"/>
        <w:autoSpaceDN w:val="0"/>
        <w:adjustRightInd w:val="0"/>
        <w:spacing w:after="0" w:line="240" w:lineRule="auto"/>
        <w:rPr>
          <w:rFonts w:ascii="Calibri" w:hAnsi="Calibri" w:cs="Calibri"/>
          <w:color w:val="000000"/>
        </w:rPr>
      </w:pPr>
      <w:r w:rsidRPr="00283FB4">
        <w:rPr>
          <w:rFonts w:ascii="Calibri" w:hAnsi="Calibri" w:cs="Calibri"/>
          <w:color w:val="000000"/>
        </w:rPr>
        <w:t xml:space="preserve">The tree population in the precinct is relatively sparse with most of the trees being concentrated into grouped planting for the purpose of windbreaks, woodlots, revegetation, creek bank stabilisation, shade and ornamental garden plantings. </w:t>
      </w:r>
    </w:p>
    <w:p w14:paraId="250E9C67" w14:textId="77777777" w:rsidR="00283FB4" w:rsidRDefault="00283FB4" w:rsidP="00283FB4">
      <w:pPr>
        <w:autoSpaceDE w:val="0"/>
        <w:autoSpaceDN w:val="0"/>
        <w:adjustRightInd w:val="0"/>
        <w:spacing w:after="0" w:line="240" w:lineRule="auto"/>
        <w:rPr>
          <w:rFonts w:ascii="Calibri" w:hAnsi="Calibri" w:cs="Calibri"/>
          <w:color w:val="000000"/>
        </w:rPr>
      </w:pPr>
    </w:p>
    <w:p w14:paraId="3F555A1B" w14:textId="77777777" w:rsidR="00BC6D7F" w:rsidRDefault="00BC6D7F" w:rsidP="00283FB4">
      <w:pPr>
        <w:autoSpaceDE w:val="0"/>
        <w:autoSpaceDN w:val="0"/>
        <w:adjustRightInd w:val="0"/>
        <w:spacing w:after="0" w:line="240" w:lineRule="auto"/>
        <w:rPr>
          <w:rFonts w:ascii="Calibri" w:hAnsi="Calibri" w:cs="Calibri"/>
          <w:color w:val="000000"/>
        </w:rPr>
      </w:pPr>
    </w:p>
    <w:p w14:paraId="486EA07D" w14:textId="77777777" w:rsidR="00BC6D7F" w:rsidRDefault="00BC6D7F" w:rsidP="00283FB4">
      <w:pPr>
        <w:autoSpaceDE w:val="0"/>
        <w:autoSpaceDN w:val="0"/>
        <w:adjustRightInd w:val="0"/>
        <w:spacing w:after="0" w:line="240" w:lineRule="auto"/>
        <w:rPr>
          <w:rFonts w:ascii="Calibri" w:hAnsi="Calibri" w:cs="Calibri"/>
          <w:color w:val="000000"/>
        </w:rPr>
      </w:pPr>
    </w:p>
    <w:p w14:paraId="570FBDB7" w14:textId="77777777" w:rsidR="00BC6D7F" w:rsidRDefault="00BC6D7F" w:rsidP="00283FB4">
      <w:pPr>
        <w:autoSpaceDE w:val="0"/>
        <w:autoSpaceDN w:val="0"/>
        <w:adjustRightInd w:val="0"/>
        <w:spacing w:after="0" w:line="240" w:lineRule="auto"/>
        <w:rPr>
          <w:rFonts w:ascii="Calibri" w:hAnsi="Calibri" w:cs="Calibri"/>
          <w:color w:val="000000"/>
        </w:rPr>
      </w:pPr>
    </w:p>
    <w:p w14:paraId="11EDFB50" w14:textId="77777777" w:rsidR="00BC6D7F" w:rsidRDefault="00BC6D7F" w:rsidP="00283FB4">
      <w:pPr>
        <w:autoSpaceDE w:val="0"/>
        <w:autoSpaceDN w:val="0"/>
        <w:adjustRightInd w:val="0"/>
        <w:spacing w:after="0" w:line="240" w:lineRule="auto"/>
        <w:rPr>
          <w:rFonts w:ascii="Calibri" w:hAnsi="Calibri" w:cs="Calibri"/>
          <w:color w:val="000000"/>
        </w:rPr>
      </w:pPr>
    </w:p>
    <w:p w14:paraId="71CED9C4" w14:textId="77777777" w:rsidR="00BC6D7F" w:rsidRDefault="00BC6D7F" w:rsidP="00283FB4">
      <w:pPr>
        <w:autoSpaceDE w:val="0"/>
        <w:autoSpaceDN w:val="0"/>
        <w:adjustRightInd w:val="0"/>
        <w:spacing w:after="0" w:line="240" w:lineRule="auto"/>
        <w:rPr>
          <w:rFonts w:ascii="Calibri" w:hAnsi="Calibri" w:cs="Calibri"/>
          <w:color w:val="000000"/>
        </w:rPr>
      </w:pPr>
    </w:p>
    <w:p w14:paraId="3C92E17A" w14:textId="77777777" w:rsidR="00AA277A" w:rsidRDefault="00283FB4" w:rsidP="00283FB4">
      <w:pPr>
        <w:autoSpaceDE w:val="0"/>
        <w:autoSpaceDN w:val="0"/>
        <w:adjustRightInd w:val="0"/>
        <w:spacing w:after="0" w:line="240" w:lineRule="auto"/>
        <w:rPr>
          <w:rFonts w:ascii="Calibri" w:hAnsi="Calibri" w:cs="Calibri"/>
          <w:color w:val="000000"/>
        </w:rPr>
      </w:pPr>
      <w:r w:rsidRPr="00283FB4">
        <w:rPr>
          <w:rFonts w:ascii="Calibri" w:hAnsi="Calibri" w:cs="Calibri"/>
          <w:color w:val="000000"/>
        </w:rPr>
        <w:lastRenderedPageBreak/>
        <w:t xml:space="preserve">The </w:t>
      </w:r>
      <w:proofErr w:type="spellStart"/>
      <w:r w:rsidRPr="00283FB4">
        <w:rPr>
          <w:rFonts w:ascii="Calibri" w:hAnsi="Calibri" w:cs="Calibri"/>
          <w:color w:val="000000"/>
        </w:rPr>
        <w:t>arboricultural</w:t>
      </w:r>
      <w:proofErr w:type="spellEnd"/>
      <w:r w:rsidRPr="00283FB4">
        <w:rPr>
          <w:rFonts w:ascii="Calibri" w:hAnsi="Calibri" w:cs="Calibri"/>
          <w:color w:val="000000"/>
        </w:rPr>
        <w:t xml:space="preserve"> ratings for those trees assessed are shown in </w:t>
      </w:r>
      <w:r>
        <w:rPr>
          <w:rFonts w:ascii="Calibri" w:hAnsi="Calibri" w:cs="Calibri"/>
          <w:color w:val="000000"/>
        </w:rPr>
        <w:t>the table</w:t>
      </w:r>
      <w:r w:rsidRPr="00283FB4">
        <w:rPr>
          <w:rFonts w:ascii="Calibri" w:hAnsi="Calibri" w:cs="Calibri"/>
          <w:color w:val="000000"/>
        </w:rPr>
        <w:t xml:space="preserve"> below.</w:t>
      </w:r>
    </w:p>
    <w:p w14:paraId="3362A7DD" w14:textId="77777777" w:rsidR="002075D9" w:rsidRDefault="002075D9" w:rsidP="00283FB4">
      <w:pPr>
        <w:autoSpaceDE w:val="0"/>
        <w:autoSpaceDN w:val="0"/>
        <w:adjustRightInd w:val="0"/>
        <w:spacing w:after="0" w:line="240" w:lineRule="auto"/>
        <w:rPr>
          <w:rFonts w:ascii="Calibri" w:hAnsi="Calibri" w:cs="Calibri"/>
          <w:color w:val="000000"/>
        </w:rPr>
      </w:pPr>
    </w:p>
    <w:p w14:paraId="69E0D8CA" w14:textId="10DC9C43" w:rsidR="00283FB4" w:rsidRPr="002075D9" w:rsidRDefault="002075D9" w:rsidP="00283FB4">
      <w:pPr>
        <w:autoSpaceDE w:val="0"/>
        <w:autoSpaceDN w:val="0"/>
        <w:adjustRightInd w:val="0"/>
        <w:spacing w:after="0" w:line="240" w:lineRule="auto"/>
        <w:rPr>
          <w:rFonts w:ascii="Calibri" w:hAnsi="Calibri" w:cs="Calibri"/>
          <w:b/>
          <w:color w:val="000000"/>
        </w:rPr>
      </w:pPr>
      <w:r>
        <w:rPr>
          <w:rFonts w:ascii="Calibri" w:hAnsi="Calibri" w:cs="Calibri"/>
          <w:b/>
          <w:color w:val="000000"/>
        </w:rPr>
        <w:t>Tree R</w:t>
      </w:r>
      <w:r w:rsidRPr="002075D9">
        <w:rPr>
          <w:rFonts w:ascii="Calibri" w:hAnsi="Calibri" w:cs="Calibri"/>
          <w:b/>
          <w:color w:val="000000"/>
        </w:rPr>
        <w:t>atings</w:t>
      </w:r>
    </w:p>
    <w:tbl>
      <w:tblPr>
        <w:tblStyle w:val="TableGrid"/>
        <w:tblW w:w="9209" w:type="dxa"/>
        <w:tblLook w:val="04A0" w:firstRow="1" w:lastRow="0" w:firstColumn="1" w:lastColumn="0" w:noHBand="0" w:noVBand="1"/>
      </w:tblPr>
      <w:tblGrid>
        <w:gridCol w:w="1803"/>
        <w:gridCol w:w="1093"/>
        <w:gridCol w:w="956"/>
        <w:gridCol w:w="1093"/>
        <w:gridCol w:w="956"/>
        <w:gridCol w:w="1607"/>
        <w:gridCol w:w="1701"/>
      </w:tblGrid>
      <w:tr w:rsidR="00283FB4" w14:paraId="135672EB" w14:textId="77777777" w:rsidTr="00293849">
        <w:tc>
          <w:tcPr>
            <w:tcW w:w="1803" w:type="dxa"/>
            <w:vMerge w:val="restart"/>
          </w:tcPr>
          <w:p w14:paraId="71E9A48E" w14:textId="77777777" w:rsidR="00283FB4" w:rsidRPr="00283FB4" w:rsidRDefault="00283FB4" w:rsidP="00293849">
            <w:pPr>
              <w:autoSpaceDE w:val="0"/>
              <w:autoSpaceDN w:val="0"/>
              <w:adjustRightInd w:val="0"/>
              <w:jc w:val="center"/>
              <w:rPr>
                <w:rFonts w:ascii="Calibri" w:hAnsi="Calibri" w:cs="Calibri"/>
                <w:b/>
                <w:color w:val="000000"/>
              </w:rPr>
            </w:pPr>
            <w:r w:rsidRPr="00283FB4">
              <w:rPr>
                <w:rFonts w:ascii="Calibri" w:hAnsi="Calibri" w:cs="Calibri"/>
                <w:b/>
                <w:color w:val="000000"/>
              </w:rPr>
              <w:t>Arboricultural rating</w:t>
            </w:r>
          </w:p>
        </w:tc>
        <w:tc>
          <w:tcPr>
            <w:tcW w:w="2049" w:type="dxa"/>
            <w:gridSpan w:val="2"/>
          </w:tcPr>
          <w:p w14:paraId="2B5AE05C" w14:textId="77777777" w:rsidR="00283FB4" w:rsidRPr="00283FB4" w:rsidRDefault="00283FB4" w:rsidP="00293849">
            <w:pPr>
              <w:autoSpaceDE w:val="0"/>
              <w:autoSpaceDN w:val="0"/>
              <w:adjustRightInd w:val="0"/>
              <w:jc w:val="center"/>
              <w:rPr>
                <w:rFonts w:ascii="Calibri" w:hAnsi="Calibri" w:cs="Calibri"/>
                <w:b/>
                <w:color w:val="000000"/>
              </w:rPr>
            </w:pPr>
            <w:r w:rsidRPr="00283FB4">
              <w:rPr>
                <w:rFonts w:ascii="Calibri" w:hAnsi="Calibri" w:cs="Calibri"/>
                <w:b/>
                <w:color w:val="000000"/>
              </w:rPr>
              <w:t>Total trees</w:t>
            </w:r>
          </w:p>
        </w:tc>
        <w:tc>
          <w:tcPr>
            <w:tcW w:w="2049" w:type="dxa"/>
            <w:gridSpan w:val="2"/>
          </w:tcPr>
          <w:p w14:paraId="585DFE2A" w14:textId="77777777" w:rsidR="00283FB4" w:rsidRPr="00283FB4" w:rsidRDefault="00283FB4" w:rsidP="00293849">
            <w:pPr>
              <w:autoSpaceDE w:val="0"/>
              <w:autoSpaceDN w:val="0"/>
              <w:adjustRightInd w:val="0"/>
              <w:jc w:val="center"/>
              <w:rPr>
                <w:rFonts w:ascii="Calibri" w:hAnsi="Calibri" w:cs="Calibri"/>
                <w:b/>
                <w:color w:val="000000"/>
              </w:rPr>
            </w:pPr>
            <w:r w:rsidRPr="00283FB4">
              <w:rPr>
                <w:rFonts w:ascii="Calibri" w:hAnsi="Calibri" w:cs="Calibri"/>
                <w:b/>
                <w:color w:val="000000"/>
              </w:rPr>
              <w:t>Total tree groups</w:t>
            </w:r>
          </w:p>
        </w:tc>
        <w:tc>
          <w:tcPr>
            <w:tcW w:w="3308" w:type="dxa"/>
            <w:gridSpan w:val="2"/>
          </w:tcPr>
          <w:p w14:paraId="28EC7BCF" w14:textId="77777777" w:rsidR="00283FB4" w:rsidRPr="00283FB4" w:rsidRDefault="00283FB4" w:rsidP="00293849">
            <w:pPr>
              <w:autoSpaceDE w:val="0"/>
              <w:autoSpaceDN w:val="0"/>
              <w:adjustRightInd w:val="0"/>
              <w:jc w:val="center"/>
              <w:rPr>
                <w:rFonts w:ascii="Calibri" w:hAnsi="Calibri" w:cs="Calibri"/>
                <w:b/>
                <w:color w:val="000000"/>
              </w:rPr>
            </w:pPr>
            <w:r w:rsidRPr="00283FB4">
              <w:rPr>
                <w:rFonts w:ascii="Calibri" w:hAnsi="Calibri" w:cs="Calibri"/>
                <w:b/>
                <w:color w:val="000000"/>
              </w:rPr>
              <w:t>Trees in tree groups</w:t>
            </w:r>
          </w:p>
        </w:tc>
      </w:tr>
      <w:tr w:rsidR="00283FB4" w14:paraId="0BD5D8CF" w14:textId="77777777" w:rsidTr="00293849">
        <w:tc>
          <w:tcPr>
            <w:tcW w:w="1803" w:type="dxa"/>
            <w:vMerge/>
          </w:tcPr>
          <w:p w14:paraId="7683561E" w14:textId="77777777" w:rsidR="00283FB4" w:rsidRPr="00283FB4" w:rsidRDefault="00283FB4" w:rsidP="00293849">
            <w:pPr>
              <w:autoSpaceDE w:val="0"/>
              <w:autoSpaceDN w:val="0"/>
              <w:adjustRightInd w:val="0"/>
              <w:rPr>
                <w:rFonts w:ascii="Calibri" w:hAnsi="Calibri" w:cs="Calibri"/>
                <w:b/>
                <w:color w:val="000000"/>
              </w:rPr>
            </w:pPr>
          </w:p>
        </w:tc>
        <w:tc>
          <w:tcPr>
            <w:tcW w:w="1093" w:type="dxa"/>
          </w:tcPr>
          <w:p w14:paraId="278BB84F" w14:textId="77777777" w:rsidR="00283FB4" w:rsidRDefault="00283FB4" w:rsidP="00293849">
            <w:pPr>
              <w:autoSpaceDE w:val="0"/>
              <w:autoSpaceDN w:val="0"/>
              <w:adjustRightInd w:val="0"/>
              <w:rPr>
                <w:rFonts w:ascii="Calibri" w:hAnsi="Calibri" w:cs="Calibri"/>
                <w:color w:val="000000"/>
              </w:rPr>
            </w:pPr>
            <w:r>
              <w:rPr>
                <w:rFonts w:ascii="Calibri" w:hAnsi="Calibri" w:cs="Calibri"/>
                <w:color w:val="000000"/>
              </w:rPr>
              <w:t>Plumpton</w:t>
            </w:r>
          </w:p>
        </w:tc>
        <w:tc>
          <w:tcPr>
            <w:tcW w:w="956" w:type="dxa"/>
          </w:tcPr>
          <w:p w14:paraId="362A6878" w14:textId="77777777" w:rsidR="00283FB4" w:rsidRDefault="00283FB4" w:rsidP="00293849">
            <w:pPr>
              <w:autoSpaceDE w:val="0"/>
              <w:autoSpaceDN w:val="0"/>
              <w:adjustRightInd w:val="0"/>
              <w:rPr>
                <w:rFonts w:ascii="Calibri" w:hAnsi="Calibri" w:cs="Calibri"/>
                <w:color w:val="000000"/>
              </w:rPr>
            </w:pPr>
            <w:r>
              <w:rPr>
                <w:rFonts w:ascii="Calibri" w:hAnsi="Calibri" w:cs="Calibri"/>
                <w:color w:val="000000"/>
              </w:rPr>
              <w:t>Kororoit</w:t>
            </w:r>
          </w:p>
        </w:tc>
        <w:tc>
          <w:tcPr>
            <w:tcW w:w="1093" w:type="dxa"/>
          </w:tcPr>
          <w:p w14:paraId="13F69F29" w14:textId="77777777" w:rsidR="00283FB4" w:rsidRDefault="00283FB4" w:rsidP="00293849">
            <w:pPr>
              <w:autoSpaceDE w:val="0"/>
              <w:autoSpaceDN w:val="0"/>
              <w:adjustRightInd w:val="0"/>
              <w:rPr>
                <w:rFonts w:ascii="Calibri" w:hAnsi="Calibri" w:cs="Calibri"/>
                <w:color w:val="000000"/>
              </w:rPr>
            </w:pPr>
            <w:r>
              <w:rPr>
                <w:rFonts w:ascii="Calibri" w:hAnsi="Calibri" w:cs="Calibri"/>
                <w:color w:val="000000"/>
              </w:rPr>
              <w:t>Plumpton</w:t>
            </w:r>
          </w:p>
        </w:tc>
        <w:tc>
          <w:tcPr>
            <w:tcW w:w="956" w:type="dxa"/>
          </w:tcPr>
          <w:p w14:paraId="77449A05" w14:textId="77777777" w:rsidR="00283FB4" w:rsidRDefault="00283FB4" w:rsidP="00293849">
            <w:pPr>
              <w:autoSpaceDE w:val="0"/>
              <w:autoSpaceDN w:val="0"/>
              <w:adjustRightInd w:val="0"/>
              <w:rPr>
                <w:rFonts w:ascii="Calibri" w:hAnsi="Calibri" w:cs="Calibri"/>
                <w:color w:val="000000"/>
              </w:rPr>
            </w:pPr>
            <w:r>
              <w:rPr>
                <w:rFonts w:ascii="Calibri" w:hAnsi="Calibri" w:cs="Calibri"/>
                <w:color w:val="000000"/>
              </w:rPr>
              <w:t>Kororoit</w:t>
            </w:r>
          </w:p>
        </w:tc>
        <w:tc>
          <w:tcPr>
            <w:tcW w:w="1607" w:type="dxa"/>
          </w:tcPr>
          <w:p w14:paraId="1DD59F84" w14:textId="77777777" w:rsidR="00283FB4" w:rsidRDefault="00283FB4" w:rsidP="00293849">
            <w:pPr>
              <w:autoSpaceDE w:val="0"/>
              <w:autoSpaceDN w:val="0"/>
              <w:adjustRightInd w:val="0"/>
              <w:rPr>
                <w:rFonts w:ascii="Calibri" w:hAnsi="Calibri" w:cs="Calibri"/>
                <w:color w:val="000000"/>
              </w:rPr>
            </w:pPr>
            <w:r>
              <w:rPr>
                <w:rFonts w:ascii="Calibri" w:hAnsi="Calibri" w:cs="Calibri"/>
                <w:color w:val="000000"/>
              </w:rPr>
              <w:t>Plumpton</w:t>
            </w:r>
          </w:p>
        </w:tc>
        <w:tc>
          <w:tcPr>
            <w:tcW w:w="1701" w:type="dxa"/>
          </w:tcPr>
          <w:p w14:paraId="27553B6F" w14:textId="77777777" w:rsidR="00283FB4" w:rsidRDefault="00283FB4" w:rsidP="00293849">
            <w:pPr>
              <w:autoSpaceDE w:val="0"/>
              <w:autoSpaceDN w:val="0"/>
              <w:adjustRightInd w:val="0"/>
              <w:rPr>
                <w:rFonts w:ascii="Calibri" w:hAnsi="Calibri" w:cs="Calibri"/>
                <w:color w:val="000000"/>
              </w:rPr>
            </w:pPr>
            <w:r>
              <w:rPr>
                <w:rFonts w:ascii="Calibri" w:hAnsi="Calibri" w:cs="Calibri"/>
                <w:color w:val="000000"/>
              </w:rPr>
              <w:t>Kororoit</w:t>
            </w:r>
          </w:p>
        </w:tc>
      </w:tr>
      <w:tr w:rsidR="00283FB4" w14:paraId="52F79743" w14:textId="77777777" w:rsidTr="00293849">
        <w:tc>
          <w:tcPr>
            <w:tcW w:w="1803" w:type="dxa"/>
          </w:tcPr>
          <w:p w14:paraId="25EB3B9E" w14:textId="77777777" w:rsidR="00283FB4" w:rsidRPr="00283FB4" w:rsidRDefault="00283FB4" w:rsidP="00283FB4">
            <w:pPr>
              <w:autoSpaceDE w:val="0"/>
              <w:autoSpaceDN w:val="0"/>
              <w:adjustRightInd w:val="0"/>
              <w:rPr>
                <w:rFonts w:ascii="Calibri" w:hAnsi="Calibri" w:cs="Calibri"/>
                <w:b/>
                <w:color w:val="000000"/>
              </w:rPr>
            </w:pPr>
            <w:r>
              <w:rPr>
                <w:rFonts w:ascii="Calibri" w:hAnsi="Calibri" w:cs="Calibri"/>
                <w:b/>
                <w:color w:val="000000"/>
              </w:rPr>
              <w:t>Very High</w:t>
            </w:r>
          </w:p>
        </w:tc>
        <w:tc>
          <w:tcPr>
            <w:tcW w:w="1093" w:type="dxa"/>
          </w:tcPr>
          <w:p w14:paraId="4C5ADBA3"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9</w:t>
            </w:r>
          </w:p>
        </w:tc>
        <w:tc>
          <w:tcPr>
            <w:tcW w:w="956" w:type="dxa"/>
          </w:tcPr>
          <w:p w14:paraId="54A8E1BE" w14:textId="77777777" w:rsidR="00283FB4" w:rsidRDefault="00A54506" w:rsidP="00283FB4">
            <w:pPr>
              <w:autoSpaceDE w:val="0"/>
              <w:autoSpaceDN w:val="0"/>
              <w:adjustRightInd w:val="0"/>
              <w:rPr>
                <w:rFonts w:ascii="Calibri" w:hAnsi="Calibri" w:cs="Calibri"/>
                <w:color w:val="000000"/>
              </w:rPr>
            </w:pPr>
            <w:r>
              <w:rPr>
                <w:rFonts w:ascii="Calibri" w:hAnsi="Calibri" w:cs="Calibri"/>
                <w:color w:val="000000"/>
              </w:rPr>
              <w:t>0</w:t>
            </w:r>
          </w:p>
        </w:tc>
        <w:tc>
          <w:tcPr>
            <w:tcW w:w="1093" w:type="dxa"/>
          </w:tcPr>
          <w:p w14:paraId="6DE91495"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94</w:t>
            </w:r>
          </w:p>
        </w:tc>
        <w:tc>
          <w:tcPr>
            <w:tcW w:w="956" w:type="dxa"/>
          </w:tcPr>
          <w:p w14:paraId="21C77AD0" w14:textId="77777777" w:rsidR="00283FB4" w:rsidRDefault="00A54506" w:rsidP="00283FB4">
            <w:pPr>
              <w:autoSpaceDE w:val="0"/>
              <w:autoSpaceDN w:val="0"/>
              <w:adjustRightInd w:val="0"/>
              <w:rPr>
                <w:rFonts w:ascii="Calibri" w:hAnsi="Calibri" w:cs="Calibri"/>
                <w:color w:val="000000"/>
              </w:rPr>
            </w:pPr>
            <w:r>
              <w:rPr>
                <w:rFonts w:ascii="Calibri" w:hAnsi="Calibri" w:cs="Calibri"/>
                <w:color w:val="000000"/>
              </w:rPr>
              <w:t>0</w:t>
            </w:r>
          </w:p>
        </w:tc>
        <w:tc>
          <w:tcPr>
            <w:tcW w:w="1607" w:type="dxa"/>
          </w:tcPr>
          <w:p w14:paraId="7CBF3994" w14:textId="77777777" w:rsidR="00283FB4" w:rsidRPr="00D77E3E" w:rsidRDefault="00A54506" w:rsidP="00283FB4">
            <w:pPr>
              <w:rPr>
                <w:rFonts w:ascii="Calibri" w:hAnsi="Calibri" w:cs="Calibri"/>
                <w:color w:val="000000"/>
              </w:rPr>
            </w:pPr>
            <w:r>
              <w:rPr>
                <w:rFonts w:ascii="Calibri" w:hAnsi="Calibri" w:cs="Calibri"/>
                <w:color w:val="000000"/>
              </w:rPr>
              <w:t>17</w:t>
            </w:r>
          </w:p>
        </w:tc>
        <w:tc>
          <w:tcPr>
            <w:tcW w:w="1701" w:type="dxa"/>
          </w:tcPr>
          <w:p w14:paraId="4F10CF90" w14:textId="77777777" w:rsidR="00283FB4" w:rsidRDefault="00A54506" w:rsidP="00283FB4">
            <w:pPr>
              <w:autoSpaceDE w:val="0"/>
              <w:autoSpaceDN w:val="0"/>
              <w:adjustRightInd w:val="0"/>
              <w:rPr>
                <w:rFonts w:ascii="Calibri" w:hAnsi="Calibri" w:cs="Calibri"/>
                <w:color w:val="000000"/>
              </w:rPr>
            </w:pPr>
            <w:r>
              <w:rPr>
                <w:rFonts w:ascii="Calibri" w:hAnsi="Calibri" w:cs="Calibri"/>
                <w:color w:val="000000"/>
              </w:rPr>
              <w:t>0</w:t>
            </w:r>
          </w:p>
        </w:tc>
      </w:tr>
      <w:tr w:rsidR="00283FB4" w14:paraId="0A6FA2EB" w14:textId="77777777" w:rsidTr="00293849">
        <w:tc>
          <w:tcPr>
            <w:tcW w:w="1803" w:type="dxa"/>
          </w:tcPr>
          <w:p w14:paraId="7F72B7E8" w14:textId="77777777" w:rsidR="00283FB4" w:rsidRPr="00283FB4" w:rsidRDefault="00283FB4" w:rsidP="00283FB4">
            <w:pPr>
              <w:autoSpaceDE w:val="0"/>
              <w:autoSpaceDN w:val="0"/>
              <w:adjustRightInd w:val="0"/>
              <w:rPr>
                <w:rFonts w:ascii="Calibri" w:hAnsi="Calibri" w:cs="Calibri"/>
                <w:b/>
                <w:color w:val="000000"/>
              </w:rPr>
            </w:pPr>
            <w:r w:rsidRPr="00283FB4">
              <w:rPr>
                <w:rFonts w:ascii="Calibri" w:hAnsi="Calibri" w:cs="Calibri"/>
                <w:b/>
                <w:color w:val="000000"/>
              </w:rPr>
              <w:t>High</w:t>
            </w:r>
          </w:p>
        </w:tc>
        <w:tc>
          <w:tcPr>
            <w:tcW w:w="1093" w:type="dxa"/>
          </w:tcPr>
          <w:p w14:paraId="6F0645ED"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44</w:t>
            </w:r>
          </w:p>
        </w:tc>
        <w:tc>
          <w:tcPr>
            <w:tcW w:w="956" w:type="dxa"/>
          </w:tcPr>
          <w:p w14:paraId="5EB57EAC"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46</w:t>
            </w:r>
          </w:p>
        </w:tc>
        <w:tc>
          <w:tcPr>
            <w:tcW w:w="1093" w:type="dxa"/>
          </w:tcPr>
          <w:p w14:paraId="73C963C6"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5</w:t>
            </w:r>
          </w:p>
        </w:tc>
        <w:tc>
          <w:tcPr>
            <w:tcW w:w="956" w:type="dxa"/>
          </w:tcPr>
          <w:p w14:paraId="10059439"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7</w:t>
            </w:r>
          </w:p>
        </w:tc>
        <w:tc>
          <w:tcPr>
            <w:tcW w:w="1607" w:type="dxa"/>
          </w:tcPr>
          <w:p w14:paraId="41141AC2" w14:textId="6EF0A212" w:rsidR="00283FB4" w:rsidRDefault="00283FB4" w:rsidP="00283FB4">
            <w:r w:rsidRPr="00D77E3E">
              <w:rPr>
                <w:rFonts w:ascii="Calibri" w:hAnsi="Calibri" w:cs="Calibri"/>
                <w:color w:val="000000"/>
              </w:rPr>
              <w:t xml:space="preserve">Approx </w:t>
            </w:r>
            <w:r w:rsidR="00C359F5">
              <w:rPr>
                <w:rFonts w:ascii="Calibri" w:hAnsi="Calibri" w:cs="Calibri"/>
                <w:color w:val="000000"/>
              </w:rPr>
              <w:t>–</w:t>
            </w:r>
            <w:r w:rsidRPr="00D77E3E">
              <w:rPr>
                <w:rFonts w:ascii="Calibri" w:hAnsi="Calibri" w:cs="Calibri"/>
                <w:color w:val="000000"/>
              </w:rPr>
              <w:t xml:space="preserve"> </w:t>
            </w:r>
            <w:r w:rsidR="00A54506">
              <w:rPr>
                <w:rFonts w:ascii="Calibri" w:hAnsi="Calibri" w:cs="Calibri"/>
                <w:color w:val="000000"/>
              </w:rPr>
              <w:t>581</w:t>
            </w:r>
          </w:p>
        </w:tc>
        <w:tc>
          <w:tcPr>
            <w:tcW w:w="1701" w:type="dxa"/>
          </w:tcPr>
          <w:p w14:paraId="3B536C54" w14:textId="2086851A" w:rsidR="00283FB4" w:rsidRDefault="00283FB4" w:rsidP="00283FB4">
            <w:pPr>
              <w:autoSpaceDE w:val="0"/>
              <w:autoSpaceDN w:val="0"/>
              <w:adjustRightInd w:val="0"/>
              <w:rPr>
                <w:rFonts w:ascii="Calibri" w:hAnsi="Calibri" w:cs="Calibri"/>
                <w:color w:val="000000"/>
              </w:rPr>
            </w:pPr>
            <w:r>
              <w:rPr>
                <w:rFonts w:ascii="Calibri" w:hAnsi="Calibri" w:cs="Calibri"/>
                <w:color w:val="000000"/>
              </w:rPr>
              <w:t xml:space="preserve">Approx </w:t>
            </w:r>
            <w:r w:rsidR="00C359F5">
              <w:rPr>
                <w:rFonts w:ascii="Calibri" w:hAnsi="Calibri" w:cs="Calibri"/>
                <w:color w:val="000000"/>
              </w:rPr>
              <w:t>–</w:t>
            </w:r>
            <w:r>
              <w:rPr>
                <w:rFonts w:ascii="Calibri" w:hAnsi="Calibri" w:cs="Calibri"/>
                <w:color w:val="000000"/>
              </w:rPr>
              <w:t xml:space="preserve"> 158</w:t>
            </w:r>
          </w:p>
        </w:tc>
      </w:tr>
      <w:tr w:rsidR="00283FB4" w14:paraId="799BBA83" w14:textId="77777777" w:rsidTr="00293849">
        <w:tc>
          <w:tcPr>
            <w:tcW w:w="1803" w:type="dxa"/>
          </w:tcPr>
          <w:p w14:paraId="77C9C106" w14:textId="77777777" w:rsidR="00283FB4" w:rsidRPr="00283FB4" w:rsidRDefault="00283FB4" w:rsidP="00283FB4">
            <w:pPr>
              <w:autoSpaceDE w:val="0"/>
              <w:autoSpaceDN w:val="0"/>
              <w:adjustRightInd w:val="0"/>
              <w:rPr>
                <w:rFonts w:ascii="Calibri" w:hAnsi="Calibri" w:cs="Calibri"/>
                <w:b/>
                <w:color w:val="000000"/>
              </w:rPr>
            </w:pPr>
            <w:r w:rsidRPr="00283FB4">
              <w:rPr>
                <w:rFonts w:ascii="Calibri" w:hAnsi="Calibri" w:cs="Calibri"/>
                <w:b/>
                <w:color w:val="000000"/>
              </w:rPr>
              <w:t>Moderate</w:t>
            </w:r>
          </w:p>
        </w:tc>
        <w:tc>
          <w:tcPr>
            <w:tcW w:w="1093" w:type="dxa"/>
          </w:tcPr>
          <w:p w14:paraId="11FEF11A"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69</w:t>
            </w:r>
          </w:p>
        </w:tc>
        <w:tc>
          <w:tcPr>
            <w:tcW w:w="956" w:type="dxa"/>
          </w:tcPr>
          <w:p w14:paraId="7C7437E7"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86</w:t>
            </w:r>
          </w:p>
        </w:tc>
        <w:tc>
          <w:tcPr>
            <w:tcW w:w="1093" w:type="dxa"/>
          </w:tcPr>
          <w:p w14:paraId="1191815F"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31</w:t>
            </w:r>
          </w:p>
        </w:tc>
        <w:tc>
          <w:tcPr>
            <w:tcW w:w="956" w:type="dxa"/>
          </w:tcPr>
          <w:p w14:paraId="161CD515"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40</w:t>
            </w:r>
          </w:p>
        </w:tc>
        <w:tc>
          <w:tcPr>
            <w:tcW w:w="1607" w:type="dxa"/>
          </w:tcPr>
          <w:p w14:paraId="6B27499D" w14:textId="63ACF3F6" w:rsidR="00283FB4" w:rsidRDefault="00283FB4" w:rsidP="00283FB4">
            <w:r w:rsidRPr="00D77E3E">
              <w:rPr>
                <w:rFonts w:ascii="Calibri" w:hAnsi="Calibri" w:cs="Calibri"/>
                <w:color w:val="000000"/>
              </w:rPr>
              <w:t xml:space="preserve">Approx </w:t>
            </w:r>
            <w:r w:rsidR="00C359F5">
              <w:rPr>
                <w:rFonts w:ascii="Calibri" w:hAnsi="Calibri" w:cs="Calibri"/>
                <w:color w:val="000000"/>
              </w:rPr>
              <w:t>–</w:t>
            </w:r>
            <w:r w:rsidRPr="00D77E3E">
              <w:rPr>
                <w:rFonts w:ascii="Calibri" w:hAnsi="Calibri" w:cs="Calibri"/>
                <w:color w:val="000000"/>
              </w:rPr>
              <w:t xml:space="preserve"> </w:t>
            </w:r>
            <w:r w:rsidR="00A54506">
              <w:rPr>
                <w:rFonts w:ascii="Calibri" w:hAnsi="Calibri" w:cs="Calibri"/>
                <w:color w:val="000000"/>
              </w:rPr>
              <w:t>900</w:t>
            </w:r>
          </w:p>
        </w:tc>
        <w:tc>
          <w:tcPr>
            <w:tcW w:w="1701" w:type="dxa"/>
          </w:tcPr>
          <w:p w14:paraId="5D3FF4B5" w14:textId="77777777" w:rsidR="00283FB4" w:rsidRDefault="00283FB4" w:rsidP="00283FB4">
            <w:r w:rsidRPr="003B5E68">
              <w:rPr>
                <w:rFonts w:ascii="Calibri" w:hAnsi="Calibri" w:cs="Calibri"/>
                <w:color w:val="000000"/>
              </w:rPr>
              <w:t xml:space="preserve">Approx </w:t>
            </w:r>
            <w:r>
              <w:rPr>
                <w:rFonts w:ascii="Calibri" w:hAnsi="Calibri" w:cs="Calibri"/>
                <w:color w:val="000000"/>
              </w:rPr>
              <w:t>–</w:t>
            </w:r>
            <w:r w:rsidRPr="003B5E68">
              <w:rPr>
                <w:rFonts w:ascii="Calibri" w:hAnsi="Calibri" w:cs="Calibri"/>
                <w:color w:val="000000"/>
              </w:rPr>
              <w:t xml:space="preserve"> </w:t>
            </w:r>
            <w:r>
              <w:rPr>
                <w:rFonts w:ascii="Calibri" w:hAnsi="Calibri" w:cs="Calibri"/>
                <w:color w:val="000000"/>
              </w:rPr>
              <w:t>1,275</w:t>
            </w:r>
          </w:p>
        </w:tc>
      </w:tr>
      <w:tr w:rsidR="00283FB4" w14:paraId="23CB9EFB" w14:textId="77777777" w:rsidTr="00293849">
        <w:tc>
          <w:tcPr>
            <w:tcW w:w="1803" w:type="dxa"/>
          </w:tcPr>
          <w:p w14:paraId="664F2FF8" w14:textId="77777777" w:rsidR="00283FB4" w:rsidRPr="00283FB4" w:rsidRDefault="00283FB4" w:rsidP="00283FB4">
            <w:pPr>
              <w:autoSpaceDE w:val="0"/>
              <w:autoSpaceDN w:val="0"/>
              <w:adjustRightInd w:val="0"/>
              <w:rPr>
                <w:rFonts w:ascii="Calibri" w:hAnsi="Calibri" w:cs="Calibri"/>
                <w:b/>
                <w:color w:val="000000"/>
              </w:rPr>
            </w:pPr>
            <w:r w:rsidRPr="00283FB4">
              <w:rPr>
                <w:rFonts w:ascii="Calibri" w:hAnsi="Calibri" w:cs="Calibri"/>
                <w:b/>
                <w:color w:val="000000"/>
              </w:rPr>
              <w:t>Low</w:t>
            </w:r>
          </w:p>
        </w:tc>
        <w:tc>
          <w:tcPr>
            <w:tcW w:w="1093" w:type="dxa"/>
          </w:tcPr>
          <w:p w14:paraId="06F02B04"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39</w:t>
            </w:r>
          </w:p>
        </w:tc>
        <w:tc>
          <w:tcPr>
            <w:tcW w:w="956" w:type="dxa"/>
          </w:tcPr>
          <w:p w14:paraId="46AEFDD6"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15</w:t>
            </w:r>
          </w:p>
        </w:tc>
        <w:tc>
          <w:tcPr>
            <w:tcW w:w="1093" w:type="dxa"/>
          </w:tcPr>
          <w:p w14:paraId="424CDC39"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56</w:t>
            </w:r>
          </w:p>
        </w:tc>
        <w:tc>
          <w:tcPr>
            <w:tcW w:w="956" w:type="dxa"/>
          </w:tcPr>
          <w:p w14:paraId="19A95C9D"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30</w:t>
            </w:r>
          </w:p>
        </w:tc>
        <w:tc>
          <w:tcPr>
            <w:tcW w:w="1607" w:type="dxa"/>
          </w:tcPr>
          <w:p w14:paraId="1152A7B7" w14:textId="77777777" w:rsidR="00283FB4" w:rsidRDefault="00283FB4" w:rsidP="00283FB4">
            <w:r w:rsidRPr="00D77E3E">
              <w:rPr>
                <w:rFonts w:ascii="Calibri" w:hAnsi="Calibri" w:cs="Calibri"/>
                <w:color w:val="000000"/>
              </w:rPr>
              <w:t xml:space="preserve">Approx </w:t>
            </w:r>
            <w:r w:rsidR="00A54506">
              <w:rPr>
                <w:rFonts w:ascii="Calibri" w:hAnsi="Calibri" w:cs="Calibri"/>
                <w:color w:val="000000"/>
              </w:rPr>
              <w:t>–</w:t>
            </w:r>
            <w:r w:rsidRPr="00D77E3E">
              <w:rPr>
                <w:rFonts w:ascii="Calibri" w:hAnsi="Calibri" w:cs="Calibri"/>
                <w:color w:val="000000"/>
              </w:rPr>
              <w:t xml:space="preserve"> </w:t>
            </w:r>
            <w:r w:rsidR="00A54506">
              <w:rPr>
                <w:rFonts w:ascii="Calibri" w:hAnsi="Calibri" w:cs="Calibri"/>
                <w:color w:val="000000"/>
              </w:rPr>
              <w:t>1,466</w:t>
            </w:r>
          </w:p>
        </w:tc>
        <w:tc>
          <w:tcPr>
            <w:tcW w:w="1701" w:type="dxa"/>
          </w:tcPr>
          <w:p w14:paraId="2AF8BF32" w14:textId="77777777" w:rsidR="00283FB4" w:rsidRDefault="00283FB4" w:rsidP="00283FB4">
            <w:r w:rsidRPr="003B5E68">
              <w:rPr>
                <w:rFonts w:ascii="Calibri" w:hAnsi="Calibri" w:cs="Calibri"/>
                <w:color w:val="000000"/>
              </w:rPr>
              <w:t xml:space="preserve">Approx </w:t>
            </w:r>
            <w:r>
              <w:rPr>
                <w:rFonts w:ascii="Calibri" w:hAnsi="Calibri" w:cs="Calibri"/>
                <w:color w:val="000000"/>
              </w:rPr>
              <w:t>–</w:t>
            </w:r>
            <w:r w:rsidRPr="003B5E68">
              <w:rPr>
                <w:rFonts w:ascii="Calibri" w:hAnsi="Calibri" w:cs="Calibri"/>
                <w:color w:val="000000"/>
              </w:rPr>
              <w:t xml:space="preserve"> </w:t>
            </w:r>
            <w:r>
              <w:rPr>
                <w:rFonts w:ascii="Calibri" w:hAnsi="Calibri" w:cs="Calibri"/>
                <w:color w:val="000000"/>
              </w:rPr>
              <w:t>1,229</w:t>
            </w:r>
          </w:p>
        </w:tc>
      </w:tr>
      <w:tr w:rsidR="00283FB4" w14:paraId="61957FAA" w14:textId="77777777" w:rsidTr="00293849">
        <w:tc>
          <w:tcPr>
            <w:tcW w:w="1803" w:type="dxa"/>
          </w:tcPr>
          <w:p w14:paraId="559ED767" w14:textId="77777777" w:rsidR="00283FB4" w:rsidRPr="00283FB4" w:rsidRDefault="00283FB4" w:rsidP="00283FB4">
            <w:pPr>
              <w:autoSpaceDE w:val="0"/>
              <w:autoSpaceDN w:val="0"/>
              <w:adjustRightInd w:val="0"/>
              <w:rPr>
                <w:rFonts w:ascii="Calibri" w:hAnsi="Calibri" w:cs="Calibri"/>
                <w:b/>
                <w:color w:val="000000"/>
              </w:rPr>
            </w:pPr>
            <w:r w:rsidRPr="00283FB4">
              <w:rPr>
                <w:rFonts w:ascii="Calibri" w:hAnsi="Calibri" w:cs="Calibri"/>
                <w:b/>
                <w:color w:val="000000"/>
              </w:rPr>
              <w:t>None</w:t>
            </w:r>
          </w:p>
        </w:tc>
        <w:tc>
          <w:tcPr>
            <w:tcW w:w="1093" w:type="dxa"/>
          </w:tcPr>
          <w:p w14:paraId="49BA6A8D" w14:textId="77777777" w:rsidR="00283FB4" w:rsidRDefault="00A54506" w:rsidP="00283FB4">
            <w:pPr>
              <w:autoSpaceDE w:val="0"/>
              <w:autoSpaceDN w:val="0"/>
              <w:adjustRightInd w:val="0"/>
              <w:rPr>
                <w:rFonts w:ascii="Calibri" w:hAnsi="Calibri" w:cs="Calibri"/>
                <w:color w:val="000000"/>
              </w:rPr>
            </w:pPr>
            <w:r>
              <w:rPr>
                <w:rFonts w:ascii="Calibri" w:hAnsi="Calibri" w:cs="Calibri"/>
                <w:color w:val="000000"/>
              </w:rPr>
              <w:t>0</w:t>
            </w:r>
          </w:p>
        </w:tc>
        <w:tc>
          <w:tcPr>
            <w:tcW w:w="956" w:type="dxa"/>
          </w:tcPr>
          <w:p w14:paraId="0F967ECA" w14:textId="77777777" w:rsidR="00283FB4" w:rsidRDefault="00A54506" w:rsidP="00283FB4">
            <w:pPr>
              <w:autoSpaceDE w:val="0"/>
              <w:autoSpaceDN w:val="0"/>
              <w:adjustRightInd w:val="0"/>
              <w:rPr>
                <w:rFonts w:ascii="Calibri" w:hAnsi="Calibri" w:cs="Calibri"/>
                <w:color w:val="000000"/>
              </w:rPr>
            </w:pPr>
            <w:r>
              <w:rPr>
                <w:rFonts w:ascii="Calibri" w:hAnsi="Calibri" w:cs="Calibri"/>
                <w:color w:val="000000"/>
              </w:rPr>
              <w:t>0</w:t>
            </w:r>
          </w:p>
        </w:tc>
        <w:tc>
          <w:tcPr>
            <w:tcW w:w="1093" w:type="dxa"/>
          </w:tcPr>
          <w:p w14:paraId="1B8ABD83"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1</w:t>
            </w:r>
          </w:p>
        </w:tc>
        <w:tc>
          <w:tcPr>
            <w:tcW w:w="956" w:type="dxa"/>
          </w:tcPr>
          <w:p w14:paraId="349511EC"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1</w:t>
            </w:r>
          </w:p>
        </w:tc>
        <w:tc>
          <w:tcPr>
            <w:tcW w:w="1607" w:type="dxa"/>
          </w:tcPr>
          <w:p w14:paraId="55DD6193" w14:textId="77777777" w:rsidR="00283FB4" w:rsidRDefault="00A54506" w:rsidP="00283FB4">
            <w:r>
              <w:rPr>
                <w:rFonts w:ascii="Calibri" w:hAnsi="Calibri" w:cs="Calibri"/>
                <w:color w:val="000000"/>
              </w:rPr>
              <w:t>26</w:t>
            </w:r>
            <w:r w:rsidR="00283FB4" w:rsidRPr="00D77E3E">
              <w:rPr>
                <w:rFonts w:ascii="Calibri" w:hAnsi="Calibri" w:cs="Calibri"/>
                <w:color w:val="000000"/>
              </w:rPr>
              <w:t xml:space="preserve"> </w:t>
            </w:r>
          </w:p>
        </w:tc>
        <w:tc>
          <w:tcPr>
            <w:tcW w:w="1701" w:type="dxa"/>
          </w:tcPr>
          <w:p w14:paraId="28F53240" w14:textId="77777777" w:rsidR="00283FB4" w:rsidRDefault="00283FB4" w:rsidP="00283FB4">
            <w:r>
              <w:rPr>
                <w:rFonts w:ascii="Calibri" w:hAnsi="Calibri" w:cs="Calibri"/>
                <w:color w:val="000000"/>
              </w:rPr>
              <w:t>36</w:t>
            </w:r>
            <w:r w:rsidRPr="003B5E68">
              <w:rPr>
                <w:rFonts w:ascii="Calibri" w:hAnsi="Calibri" w:cs="Calibri"/>
                <w:color w:val="000000"/>
              </w:rPr>
              <w:t xml:space="preserve"> </w:t>
            </w:r>
          </w:p>
        </w:tc>
      </w:tr>
      <w:tr w:rsidR="00283FB4" w14:paraId="672B2BE2" w14:textId="77777777" w:rsidTr="00293849">
        <w:tc>
          <w:tcPr>
            <w:tcW w:w="1803" w:type="dxa"/>
          </w:tcPr>
          <w:p w14:paraId="3F4F825C" w14:textId="77777777" w:rsidR="00283FB4" w:rsidRPr="00283FB4" w:rsidRDefault="00283FB4" w:rsidP="00283FB4">
            <w:pPr>
              <w:autoSpaceDE w:val="0"/>
              <w:autoSpaceDN w:val="0"/>
              <w:adjustRightInd w:val="0"/>
              <w:rPr>
                <w:rFonts w:ascii="Calibri" w:hAnsi="Calibri" w:cs="Calibri"/>
                <w:b/>
                <w:color w:val="000000"/>
              </w:rPr>
            </w:pPr>
            <w:r w:rsidRPr="00283FB4">
              <w:rPr>
                <w:rFonts w:ascii="Calibri" w:hAnsi="Calibri" w:cs="Calibri"/>
                <w:b/>
                <w:color w:val="000000"/>
              </w:rPr>
              <w:t>Total</w:t>
            </w:r>
          </w:p>
        </w:tc>
        <w:tc>
          <w:tcPr>
            <w:tcW w:w="1093" w:type="dxa"/>
          </w:tcPr>
          <w:p w14:paraId="6848E8F3"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161</w:t>
            </w:r>
          </w:p>
        </w:tc>
        <w:tc>
          <w:tcPr>
            <w:tcW w:w="956" w:type="dxa"/>
          </w:tcPr>
          <w:p w14:paraId="501D90D6"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147</w:t>
            </w:r>
          </w:p>
        </w:tc>
        <w:tc>
          <w:tcPr>
            <w:tcW w:w="1093" w:type="dxa"/>
          </w:tcPr>
          <w:p w14:paraId="194A446D" w14:textId="77777777" w:rsidR="00283FB4" w:rsidRDefault="00A54506" w:rsidP="00283FB4">
            <w:pPr>
              <w:autoSpaceDE w:val="0"/>
              <w:autoSpaceDN w:val="0"/>
              <w:adjustRightInd w:val="0"/>
              <w:rPr>
                <w:rFonts w:ascii="Calibri" w:hAnsi="Calibri" w:cs="Calibri"/>
                <w:color w:val="000000"/>
              </w:rPr>
            </w:pPr>
            <w:r>
              <w:rPr>
                <w:rFonts w:ascii="Calibri" w:hAnsi="Calibri" w:cs="Calibri"/>
                <w:color w:val="000000"/>
              </w:rPr>
              <w:t>94</w:t>
            </w:r>
          </w:p>
        </w:tc>
        <w:tc>
          <w:tcPr>
            <w:tcW w:w="956" w:type="dxa"/>
          </w:tcPr>
          <w:p w14:paraId="512FC58A" w14:textId="77777777" w:rsidR="00283FB4" w:rsidRDefault="00283FB4" w:rsidP="00283FB4">
            <w:pPr>
              <w:autoSpaceDE w:val="0"/>
              <w:autoSpaceDN w:val="0"/>
              <w:adjustRightInd w:val="0"/>
              <w:rPr>
                <w:rFonts w:ascii="Calibri" w:hAnsi="Calibri" w:cs="Calibri"/>
                <w:color w:val="000000"/>
              </w:rPr>
            </w:pPr>
            <w:r>
              <w:rPr>
                <w:rFonts w:ascii="Calibri" w:hAnsi="Calibri" w:cs="Calibri"/>
                <w:color w:val="000000"/>
              </w:rPr>
              <w:t>78</w:t>
            </w:r>
          </w:p>
        </w:tc>
        <w:tc>
          <w:tcPr>
            <w:tcW w:w="1607" w:type="dxa"/>
          </w:tcPr>
          <w:p w14:paraId="30BA24F6" w14:textId="77777777" w:rsidR="00283FB4" w:rsidRDefault="00283FB4" w:rsidP="00283FB4">
            <w:r w:rsidRPr="00D77E3E">
              <w:rPr>
                <w:rFonts w:ascii="Calibri" w:hAnsi="Calibri" w:cs="Calibri"/>
                <w:color w:val="000000"/>
              </w:rPr>
              <w:t xml:space="preserve">Approx </w:t>
            </w:r>
            <w:r w:rsidR="00A54506">
              <w:rPr>
                <w:rFonts w:ascii="Calibri" w:hAnsi="Calibri" w:cs="Calibri"/>
                <w:color w:val="000000"/>
              </w:rPr>
              <w:t>–</w:t>
            </w:r>
            <w:r w:rsidRPr="00D77E3E">
              <w:rPr>
                <w:rFonts w:ascii="Calibri" w:hAnsi="Calibri" w:cs="Calibri"/>
                <w:color w:val="000000"/>
              </w:rPr>
              <w:t xml:space="preserve"> </w:t>
            </w:r>
            <w:r w:rsidR="00A54506">
              <w:rPr>
                <w:rFonts w:ascii="Calibri" w:hAnsi="Calibri" w:cs="Calibri"/>
                <w:color w:val="000000"/>
              </w:rPr>
              <w:t>2,990</w:t>
            </w:r>
          </w:p>
        </w:tc>
        <w:tc>
          <w:tcPr>
            <w:tcW w:w="1701" w:type="dxa"/>
          </w:tcPr>
          <w:p w14:paraId="7028C56F" w14:textId="77777777" w:rsidR="00283FB4" w:rsidRDefault="00283FB4" w:rsidP="00283FB4">
            <w:r w:rsidRPr="003B5E68">
              <w:rPr>
                <w:rFonts w:ascii="Calibri" w:hAnsi="Calibri" w:cs="Calibri"/>
                <w:color w:val="000000"/>
              </w:rPr>
              <w:t xml:space="preserve">Approx </w:t>
            </w:r>
            <w:r>
              <w:rPr>
                <w:rFonts w:ascii="Calibri" w:hAnsi="Calibri" w:cs="Calibri"/>
                <w:color w:val="000000"/>
              </w:rPr>
              <w:t>–</w:t>
            </w:r>
            <w:r w:rsidRPr="003B5E68">
              <w:rPr>
                <w:rFonts w:ascii="Calibri" w:hAnsi="Calibri" w:cs="Calibri"/>
                <w:color w:val="000000"/>
              </w:rPr>
              <w:t xml:space="preserve"> </w:t>
            </w:r>
            <w:r>
              <w:rPr>
                <w:rFonts w:ascii="Calibri" w:hAnsi="Calibri" w:cs="Calibri"/>
                <w:color w:val="000000"/>
              </w:rPr>
              <w:t>2,845</w:t>
            </w:r>
          </w:p>
        </w:tc>
      </w:tr>
    </w:tbl>
    <w:p w14:paraId="7E3F60FA" w14:textId="77777777" w:rsidR="00283FB4" w:rsidRDefault="00283FB4" w:rsidP="00283FB4">
      <w:pPr>
        <w:autoSpaceDE w:val="0"/>
        <w:autoSpaceDN w:val="0"/>
        <w:adjustRightInd w:val="0"/>
        <w:spacing w:after="0" w:line="240" w:lineRule="auto"/>
        <w:rPr>
          <w:rFonts w:ascii="Calibri" w:hAnsi="Calibri" w:cs="Calibri"/>
          <w:color w:val="000000"/>
        </w:rPr>
      </w:pPr>
    </w:p>
    <w:p w14:paraId="046A2A73" w14:textId="741DAED7" w:rsidR="00A54506" w:rsidRDefault="00A54506" w:rsidP="00A54506">
      <w:r w:rsidRPr="00A54506">
        <w:rPr>
          <w:rFonts w:ascii="Calibri" w:hAnsi="Calibri" w:cs="Calibri"/>
          <w:color w:val="000000"/>
        </w:rPr>
        <w:t xml:space="preserve">Tree Logic identified that preference should be given to retaining trees of a ‘very high’ or ‘high’ arboricultural rating on the basis of their arboricultural value and contribution to the amenity of the precinct. </w:t>
      </w:r>
      <w:r w:rsidR="0044357A">
        <w:rPr>
          <w:rFonts w:ascii="Calibri" w:hAnsi="Calibri" w:cs="Calibri"/>
          <w:color w:val="000000"/>
        </w:rPr>
        <w:t xml:space="preserve">These trees have been identified on Plan 2 in each of the PSPs. </w:t>
      </w:r>
      <w:r w:rsidRPr="00A54506">
        <w:rPr>
          <w:rFonts w:ascii="Calibri" w:hAnsi="Calibri" w:cs="Calibri"/>
          <w:color w:val="000000"/>
        </w:rPr>
        <w:t xml:space="preserve">The </w:t>
      </w:r>
      <w:r w:rsidR="0044357A">
        <w:rPr>
          <w:rFonts w:ascii="Calibri" w:hAnsi="Calibri" w:cs="Calibri"/>
          <w:color w:val="000000"/>
        </w:rPr>
        <w:t xml:space="preserve">arboricultural </w:t>
      </w:r>
      <w:r w:rsidRPr="00A54506">
        <w:rPr>
          <w:rFonts w:ascii="Calibri" w:hAnsi="Calibri" w:cs="Calibri"/>
          <w:color w:val="000000"/>
        </w:rPr>
        <w:t>assessment explains that ideally</w:t>
      </w:r>
      <w:r w:rsidR="00AD521D">
        <w:rPr>
          <w:rFonts w:ascii="Calibri" w:hAnsi="Calibri" w:cs="Calibri"/>
          <w:color w:val="000000"/>
        </w:rPr>
        <w:t>,</w:t>
      </w:r>
      <w:r w:rsidRPr="00A54506">
        <w:rPr>
          <w:rFonts w:ascii="Calibri" w:hAnsi="Calibri" w:cs="Calibri"/>
          <w:color w:val="000000"/>
        </w:rPr>
        <w:t xml:space="preserve"> trees should be located in public open space</w:t>
      </w:r>
      <w:r w:rsidR="0044357A">
        <w:rPr>
          <w:rFonts w:ascii="Calibri" w:hAnsi="Calibri" w:cs="Calibri"/>
          <w:color w:val="000000"/>
        </w:rPr>
        <w:t>. Wh</w:t>
      </w:r>
      <w:r w:rsidRPr="00A54506">
        <w:rPr>
          <w:rFonts w:ascii="Calibri" w:hAnsi="Calibri" w:cs="Calibri"/>
          <w:color w:val="000000"/>
        </w:rPr>
        <w:t xml:space="preserve">ere existing trees are to be retained in private subdivisions, lot sizes must be large enough to adequately protect the tree protection zone. </w:t>
      </w:r>
    </w:p>
    <w:p w14:paraId="77EB317A" w14:textId="27528D32" w:rsidR="00283FB4" w:rsidRDefault="00A54506" w:rsidP="007D7FFD">
      <w:pPr>
        <w:rPr>
          <w:rFonts w:ascii="Calibri" w:hAnsi="Calibri" w:cs="Calibri"/>
          <w:color w:val="000000"/>
        </w:rPr>
      </w:pPr>
      <w:r w:rsidRPr="00A54506">
        <w:rPr>
          <w:rFonts w:ascii="Calibri" w:hAnsi="Calibri" w:cs="Calibri"/>
          <w:color w:val="000000"/>
        </w:rPr>
        <w:t xml:space="preserve">The assessment also identifies an opportunity to retain trees of ‘moderate’ and ‘low’ arboricultural value, either as an interim canopy or as longer term landscape elements, where </w:t>
      </w:r>
      <w:r w:rsidR="0044357A">
        <w:rPr>
          <w:rFonts w:ascii="Calibri" w:hAnsi="Calibri" w:cs="Calibri"/>
          <w:color w:val="000000"/>
        </w:rPr>
        <w:t xml:space="preserve">any </w:t>
      </w:r>
      <w:r w:rsidRPr="00A54506">
        <w:rPr>
          <w:rFonts w:ascii="Calibri" w:hAnsi="Calibri" w:cs="Calibri"/>
          <w:color w:val="000000"/>
        </w:rPr>
        <w:t xml:space="preserve">risk associated </w:t>
      </w:r>
      <w:r w:rsidRPr="00266710">
        <w:rPr>
          <w:rFonts w:ascii="Calibri" w:hAnsi="Calibri" w:cs="Calibri"/>
          <w:color w:val="000000"/>
        </w:rPr>
        <w:t>with the retention is acceptable.</w:t>
      </w:r>
    </w:p>
    <w:p w14:paraId="2B323ED7" w14:textId="77777777" w:rsidR="00F33AFA" w:rsidRDefault="00F33AFA">
      <w:pPr>
        <w:rPr>
          <w:b/>
          <w:sz w:val="28"/>
          <w:szCs w:val="28"/>
          <w:u w:val="single"/>
        </w:rPr>
      </w:pPr>
      <w:r>
        <w:rPr>
          <w:b/>
          <w:sz w:val="28"/>
          <w:szCs w:val="28"/>
          <w:u w:val="single"/>
        </w:rPr>
        <w:br w:type="page"/>
      </w:r>
    </w:p>
    <w:p w14:paraId="14D5FBE6" w14:textId="728A4C8D" w:rsidR="00E32A62" w:rsidRPr="00BC6D7F" w:rsidRDefault="0032418A" w:rsidP="00BC6D7F">
      <w:pPr>
        <w:pStyle w:val="Heading1"/>
        <w:numPr>
          <w:ilvl w:val="0"/>
          <w:numId w:val="23"/>
        </w:numPr>
        <w:rPr>
          <w:b/>
        </w:rPr>
      </w:pPr>
      <w:r w:rsidRPr="00BC6D7F">
        <w:rPr>
          <w:b/>
        </w:rPr>
        <w:lastRenderedPageBreak/>
        <w:t>Bushfire</w:t>
      </w:r>
      <w:r w:rsidR="001A0DBF" w:rsidRPr="00BC6D7F">
        <w:rPr>
          <w:b/>
        </w:rPr>
        <w:t xml:space="preserve"> T</w:t>
      </w:r>
      <w:r w:rsidRPr="00BC6D7F">
        <w:rPr>
          <w:b/>
        </w:rPr>
        <w:t xml:space="preserve">hreat and </w:t>
      </w:r>
      <w:r w:rsidR="001A0DBF" w:rsidRPr="00BC6D7F">
        <w:rPr>
          <w:b/>
        </w:rPr>
        <w:t>M</w:t>
      </w:r>
      <w:r w:rsidRPr="00BC6D7F">
        <w:rPr>
          <w:b/>
        </w:rPr>
        <w:t xml:space="preserve">anagement </w:t>
      </w:r>
      <w:r w:rsidR="001A0DBF" w:rsidRPr="00BC6D7F">
        <w:rPr>
          <w:b/>
        </w:rPr>
        <w:t>Ac</w:t>
      </w:r>
      <w:r w:rsidRPr="00BC6D7F">
        <w:rPr>
          <w:b/>
        </w:rPr>
        <w:t>tions</w:t>
      </w:r>
    </w:p>
    <w:p w14:paraId="692DBA36" w14:textId="55BA4E72" w:rsidR="00266710" w:rsidRPr="00935393" w:rsidRDefault="00266710" w:rsidP="00E32A62">
      <w:pPr>
        <w:rPr>
          <w:rFonts w:ascii="Calibri" w:hAnsi="Calibri" w:cs="Calibri"/>
        </w:rPr>
      </w:pPr>
      <w:r w:rsidRPr="00935393">
        <w:rPr>
          <w:rFonts w:ascii="Calibri" w:hAnsi="Calibri" w:cs="Calibri"/>
        </w:rPr>
        <w:t>All of</w:t>
      </w:r>
      <w:r w:rsidR="00E32A62" w:rsidRPr="00935393">
        <w:rPr>
          <w:rFonts w:ascii="Calibri" w:hAnsi="Calibri" w:cs="Calibri"/>
        </w:rPr>
        <w:t xml:space="preserve"> Plumpton and Kororoit PSP area</w:t>
      </w:r>
      <w:r w:rsidRPr="00935393">
        <w:rPr>
          <w:rFonts w:ascii="Calibri" w:hAnsi="Calibri" w:cs="Calibri"/>
        </w:rPr>
        <w:t>s are</w:t>
      </w:r>
      <w:r w:rsidR="00085DB9" w:rsidRPr="00935393">
        <w:rPr>
          <w:rFonts w:ascii="Calibri" w:hAnsi="Calibri" w:cs="Calibri"/>
        </w:rPr>
        <w:t xml:space="preserve"> currently</w:t>
      </w:r>
      <w:r w:rsidRPr="00935393">
        <w:rPr>
          <w:rFonts w:ascii="Calibri" w:hAnsi="Calibri" w:cs="Calibri"/>
        </w:rPr>
        <w:t xml:space="preserve"> ‘designated bushfire prone areas’</w:t>
      </w:r>
      <w:r w:rsidR="008C3BC5" w:rsidRPr="00935393">
        <w:rPr>
          <w:rFonts w:ascii="Calibri" w:hAnsi="Calibri" w:cs="Calibri"/>
        </w:rPr>
        <w:t>, but this can be managed with appropriate building controls. The bushfire risk does not present a significant obstacle to development</w:t>
      </w:r>
      <w:r w:rsidRPr="00935393">
        <w:rPr>
          <w:rFonts w:ascii="Calibri" w:hAnsi="Calibri" w:cs="Calibri"/>
        </w:rPr>
        <w:t>. Specific bushfire construction standards apply in designated bushfire prone areas, as outlined in the building control system. More i</w:t>
      </w:r>
      <w:r w:rsidR="00085DB9" w:rsidRPr="00935393">
        <w:rPr>
          <w:rFonts w:ascii="Calibri" w:hAnsi="Calibri" w:cs="Calibri"/>
        </w:rPr>
        <w:t>nformation about building in a bushfire prone a</w:t>
      </w:r>
      <w:r w:rsidRPr="00935393">
        <w:rPr>
          <w:rFonts w:ascii="Calibri" w:hAnsi="Calibri" w:cs="Calibri"/>
        </w:rPr>
        <w:t xml:space="preserve">rea can be found from the Victorian Building Authority. </w:t>
      </w:r>
      <w:hyperlink r:id="rId9" w:history="1">
        <w:r w:rsidRPr="00935393">
          <w:rPr>
            <w:rStyle w:val="Hyperlink"/>
            <w:rFonts w:ascii="Calibri" w:hAnsi="Calibri" w:cs="Calibri"/>
            <w:color w:val="auto"/>
          </w:rPr>
          <w:t>http://www.vba.vic.gov.au/</w:t>
        </w:r>
      </w:hyperlink>
    </w:p>
    <w:p w14:paraId="0AF19BC4" w14:textId="485FA9A4" w:rsidR="00E32A62" w:rsidRPr="00935393" w:rsidRDefault="00E32A62" w:rsidP="00E32A62">
      <w:pPr>
        <w:rPr>
          <w:rFonts w:ascii="Calibri" w:hAnsi="Calibri" w:cs="Calibri"/>
        </w:rPr>
      </w:pPr>
      <w:r w:rsidRPr="00935393">
        <w:rPr>
          <w:rFonts w:ascii="Calibri" w:hAnsi="Calibri" w:cs="Calibri"/>
        </w:rPr>
        <w:t>Country Fire Authority (CFA) Fire Station</w:t>
      </w:r>
      <w:r w:rsidR="00085DB9" w:rsidRPr="00935393">
        <w:rPr>
          <w:rFonts w:ascii="Calibri" w:hAnsi="Calibri" w:cs="Calibri"/>
        </w:rPr>
        <w:t>s are currently located at</w:t>
      </w:r>
      <w:r w:rsidRPr="00935393">
        <w:rPr>
          <w:rFonts w:ascii="Calibri" w:hAnsi="Calibri" w:cs="Calibri"/>
        </w:rPr>
        <w:t xml:space="preserve"> </w:t>
      </w:r>
      <w:r w:rsidR="00085DB9" w:rsidRPr="00935393">
        <w:rPr>
          <w:rFonts w:ascii="Calibri" w:hAnsi="Calibri" w:cs="Calibri"/>
        </w:rPr>
        <w:t>Hillside and in Caroline Springs</w:t>
      </w:r>
      <w:r w:rsidRPr="00935393">
        <w:rPr>
          <w:rFonts w:ascii="Calibri" w:hAnsi="Calibri" w:cs="Calibri"/>
        </w:rPr>
        <w:t>. Development within the PSP area will increase the population being serviced by the CFA and contribute to the requirements for additional infrastructure (upgraded appliances), increased demands on members, including training to meet this increased risk. A new site with capacity to accommodate the expanded service needs may be required within the PSP areas</w:t>
      </w:r>
      <w:r w:rsidR="00085DB9" w:rsidRPr="00935393">
        <w:rPr>
          <w:rFonts w:ascii="Calibri" w:hAnsi="Calibri" w:cs="Calibri"/>
        </w:rPr>
        <w:t>, but it was not possible to identify this at this early stage. It may be appropriate to collocate CFA facilities with other community facilities in future.</w:t>
      </w:r>
    </w:p>
    <w:p w14:paraId="752DAAAF" w14:textId="77777777" w:rsidR="00C7664B" w:rsidRDefault="00C7664B">
      <w:pPr>
        <w:rPr>
          <w:b/>
          <w:sz w:val="28"/>
          <w:szCs w:val="28"/>
          <w:u w:val="single"/>
        </w:rPr>
      </w:pPr>
      <w:r>
        <w:rPr>
          <w:b/>
          <w:sz w:val="28"/>
          <w:szCs w:val="28"/>
          <w:u w:val="single"/>
        </w:rPr>
        <w:br w:type="page"/>
      </w:r>
    </w:p>
    <w:p w14:paraId="7783907C" w14:textId="3F946463" w:rsidR="0032418A" w:rsidRPr="00BC6D7F" w:rsidRDefault="0032418A" w:rsidP="00BC6D7F">
      <w:pPr>
        <w:pStyle w:val="Heading1"/>
        <w:numPr>
          <w:ilvl w:val="0"/>
          <w:numId w:val="23"/>
        </w:numPr>
        <w:rPr>
          <w:b/>
        </w:rPr>
      </w:pPr>
      <w:r w:rsidRPr="00BC6D7F">
        <w:rPr>
          <w:b/>
        </w:rPr>
        <w:lastRenderedPageBreak/>
        <w:t xml:space="preserve">Town </w:t>
      </w:r>
      <w:r w:rsidR="001A0DBF" w:rsidRPr="00BC6D7F">
        <w:rPr>
          <w:b/>
        </w:rPr>
        <w:t>C</w:t>
      </w:r>
      <w:r w:rsidRPr="00BC6D7F">
        <w:rPr>
          <w:b/>
        </w:rPr>
        <w:t xml:space="preserve">entres, </w:t>
      </w:r>
      <w:r w:rsidR="00463A3B" w:rsidRPr="00BC6D7F">
        <w:rPr>
          <w:b/>
        </w:rPr>
        <w:t>I</w:t>
      </w:r>
      <w:r w:rsidR="003D6D33" w:rsidRPr="00BC6D7F">
        <w:rPr>
          <w:b/>
        </w:rPr>
        <w:t xml:space="preserve">ndustrial </w:t>
      </w:r>
      <w:r w:rsidR="00463A3B" w:rsidRPr="00BC6D7F">
        <w:rPr>
          <w:b/>
        </w:rPr>
        <w:t xml:space="preserve">Precinct </w:t>
      </w:r>
      <w:r w:rsidR="003D6D33" w:rsidRPr="00BC6D7F">
        <w:rPr>
          <w:b/>
        </w:rPr>
        <w:t>and</w:t>
      </w:r>
      <w:r w:rsidRPr="00BC6D7F">
        <w:rPr>
          <w:b/>
        </w:rPr>
        <w:t xml:space="preserve"> </w:t>
      </w:r>
      <w:r w:rsidR="00463A3B" w:rsidRPr="00BC6D7F">
        <w:rPr>
          <w:b/>
        </w:rPr>
        <w:t>R</w:t>
      </w:r>
      <w:r w:rsidRPr="00BC6D7F">
        <w:rPr>
          <w:b/>
        </w:rPr>
        <w:t>etail</w:t>
      </w:r>
    </w:p>
    <w:p w14:paraId="5CC968E9" w14:textId="233FDEB3" w:rsidR="001A32AA" w:rsidRDefault="001A32AA" w:rsidP="001A32AA">
      <w:r>
        <w:rPr>
          <w:rFonts w:cs="Arial"/>
        </w:rPr>
        <w:t>The</w:t>
      </w:r>
      <w:r w:rsidRPr="0006148F">
        <w:rPr>
          <w:rFonts w:cs="Arial"/>
        </w:rPr>
        <w:t xml:space="preserve"> </w:t>
      </w:r>
      <w:r>
        <w:rPr>
          <w:rFonts w:cs="Arial"/>
        </w:rPr>
        <w:t xml:space="preserve">Plumpton </w:t>
      </w:r>
      <w:r w:rsidR="009B141A" w:rsidRPr="0006148F">
        <w:rPr>
          <w:rFonts w:cs="Arial"/>
        </w:rPr>
        <w:t xml:space="preserve">Future Urban Structure plan (FUS) identifies the location and land take for an area of </w:t>
      </w:r>
      <w:r>
        <w:rPr>
          <w:rFonts w:cs="Arial"/>
        </w:rPr>
        <w:t>b</w:t>
      </w:r>
      <w:r w:rsidR="009B141A" w:rsidRPr="0006148F">
        <w:rPr>
          <w:rFonts w:cs="Arial"/>
        </w:rPr>
        <w:t xml:space="preserve">usiness and </w:t>
      </w:r>
      <w:r>
        <w:rPr>
          <w:rFonts w:cs="Arial"/>
        </w:rPr>
        <w:t>i</w:t>
      </w:r>
      <w:r w:rsidR="009B141A" w:rsidRPr="0006148F">
        <w:rPr>
          <w:rFonts w:cs="Arial"/>
        </w:rPr>
        <w:t xml:space="preserve">ndustrial </w:t>
      </w:r>
      <w:r>
        <w:rPr>
          <w:rFonts w:cs="Arial"/>
        </w:rPr>
        <w:t>l</w:t>
      </w:r>
      <w:r w:rsidR="009B141A" w:rsidRPr="0006148F">
        <w:rPr>
          <w:rFonts w:cs="Arial"/>
        </w:rPr>
        <w:t xml:space="preserve">and (formerly identified as </w:t>
      </w:r>
      <w:r>
        <w:rPr>
          <w:rFonts w:cs="Arial"/>
        </w:rPr>
        <w:t>i</w:t>
      </w:r>
      <w:r w:rsidR="009B141A" w:rsidRPr="0006148F">
        <w:rPr>
          <w:rFonts w:cs="Arial"/>
        </w:rPr>
        <w:t xml:space="preserve">ndustrial within the </w:t>
      </w:r>
      <w:r w:rsidR="009B141A" w:rsidRPr="00E42AF5">
        <w:rPr>
          <w:rFonts w:cs="Arial"/>
          <w:i/>
        </w:rPr>
        <w:t>West Growth Corridor Plan</w:t>
      </w:r>
      <w:r w:rsidR="0034601C">
        <w:rPr>
          <w:rFonts w:cs="Arial"/>
        </w:rPr>
        <w:t xml:space="preserve"> </w:t>
      </w:r>
      <w:r w:rsidR="0034601C" w:rsidRPr="00694DD3">
        <w:rPr>
          <w:rFonts w:cs="Arial"/>
          <w:i/>
        </w:rPr>
        <w:t>(WGCP)</w:t>
      </w:r>
      <w:r w:rsidR="009B141A" w:rsidRPr="00694DD3">
        <w:rPr>
          <w:rFonts w:cs="Arial"/>
          <w:i/>
        </w:rPr>
        <w:t>.</w:t>
      </w:r>
      <w:r w:rsidR="009B141A" w:rsidRPr="0006148F">
        <w:rPr>
          <w:rFonts w:cs="Arial"/>
        </w:rPr>
        <w:t xml:space="preserve"> The FUS also shows the location and land take for a Major Town Centre</w:t>
      </w:r>
      <w:r>
        <w:rPr>
          <w:rFonts w:cs="Arial"/>
        </w:rPr>
        <w:t xml:space="preserve"> (MTC)</w:t>
      </w:r>
      <w:r w:rsidR="009B141A" w:rsidRPr="0006148F">
        <w:rPr>
          <w:rFonts w:cs="Arial"/>
        </w:rPr>
        <w:t xml:space="preserve"> </w:t>
      </w:r>
      <w:r>
        <w:t>at the intersection of the extended Hopkins Road and the existing Beattys Road</w:t>
      </w:r>
      <w:r w:rsidRPr="0006148F">
        <w:rPr>
          <w:rFonts w:cs="Arial"/>
        </w:rPr>
        <w:t xml:space="preserve"> </w:t>
      </w:r>
      <w:r w:rsidR="009B141A" w:rsidRPr="0006148F">
        <w:rPr>
          <w:rFonts w:cs="Arial"/>
        </w:rPr>
        <w:t xml:space="preserve">which was guided by the </w:t>
      </w:r>
      <w:r w:rsidR="009B141A" w:rsidRPr="00E42AF5">
        <w:rPr>
          <w:rFonts w:cs="Arial"/>
          <w:i/>
        </w:rPr>
        <w:t>West Growth Corridor Plan</w:t>
      </w:r>
      <w:r>
        <w:rPr>
          <w:rFonts w:cs="Arial"/>
          <w:i/>
        </w:rPr>
        <w:t>.</w:t>
      </w:r>
      <w:r w:rsidR="009B141A" w:rsidRPr="0006148F">
        <w:rPr>
          <w:rFonts w:cs="Arial"/>
        </w:rPr>
        <w:t xml:space="preserve"> </w:t>
      </w:r>
      <w:r>
        <w:t xml:space="preserve">The WGCP proposed the MTC on the south east side of the intersection of Hopkins Road and Tarleton Road, but further design work undertaken as part of the PSP, and consideration of improved integration with the future </w:t>
      </w:r>
      <w:r w:rsidR="00E43988">
        <w:t xml:space="preserve">business and </w:t>
      </w:r>
      <w:r>
        <w:t>industrial precinct, has relocated the MTC to the north east intersection.</w:t>
      </w:r>
    </w:p>
    <w:p w14:paraId="0D4AE7BA" w14:textId="646E5DC7" w:rsidR="0081152B" w:rsidRDefault="001A32AA" w:rsidP="0081152B">
      <w:pPr>
        <w:rPr>
          <w:rFonts w:cs="Arial"/>
        </w:rPr>
      </w:pPr>
      <w:r>
        <w:rPr>
          <w:rFonts w:cs="Arial"/>
        </w:rPr>
        <w:t>T</w:t>
      </w:r>
      <w:r w:rsidRPr="0006148F">
        <w:rPr>
          <w:rFonts w:cs="Arial"/>
        </w:rPr>
        <w:t xml:space="preserve">he size and </w:t>
      </w:r>
      <w:r>
        <w:rPr>
          <w:rFonts w:cs="Arial"/>
        </w:rPr>
        <w:t xml:space="preserve">approximate </w:t>
      </w:r>
      <w:r w:rsidRPr="0006148F">
        <w:rPr>
          <w:rFonts w:cs="Arial"/>
        </w:rPr>
        <w:t xml:space="preserve">location of Local Town Centres </w:t>
      </w:r>
      <w:r>
        <w:rPr>
          <w:rFonts w:cs="Arial"/>
        </w:rPr>
        <w:t>was initially</w:t>
      </w:r>
      <w:r w:rsidRPr="0006148F">
        <w:rPr>
          <w:rFonts w:cs="Arial"/>
        </w:rPr>
        <w:t xml:space="preserve"> identified in the </w:t>
      </w:r>
      <w:r w:rsidRPr="0006148F">
        <w:rPr>
          <w:rFonts w:cs="Arial"/>
          <w:i/>
        </w:rPr>
        <w:t>Melton Retail and Activity Centres Strategy</w:t>
      </w:r>
      <w:r w:rsidRPr="0006148F">
        <w:rPr>
          <w:rFonts w:cs="Arial"/>
        </w:rPr>
        <w:t xml:space="preserve"> (2014</w:t>
      </w:r>
      <w:r>
        <w:rPr>
          <w:rFonts w:cs="Arial"/>
        </w:rPr>
        <w:t xml:space="preserve">), and confirmed through further work </w:t>
      </w:r>
      <w:r w:rsidR="00FD5CE1">
        <w:rPr>
          <w:rFonts w:cs="Arial"/>
        </w:rPr>
        <w:t>by HillPDA commissioned by MPA (outlined below).</w:t>
      </w:r>
    </w:p>
    <w:p w14:paraId="0DA875A8" w14:textId="77777777" w:rsidR="0081152B" w:rsidRDefault="0081152B" w:rsidP="0081152B">
      <w:pPr>
        <w:rPr>
          <w:rFonts w:cs="Arial"/>
        </w:rPr>
      </w:pPr>
      <w:r w:rsidRPr="0081152B">
        <w:rPr>
          <w:rFonts w:ascii="Calibri" w:hAnsi="Calibri" w:cs="Calibri"/>
          <w:color w:val="000000"/>
        </w:rPr>
        <w:t xml:space="preserve">The land use provisions nominated in the Growth Corridor Plan were in part based on economic research shown in </w:t>
      </w:r>
      <w:r w:rsidRPr="00E42AF5">
        <w:rPr>
          <w:rFonts w:ascii="Calibri" w:hAnsi="Calibri" w:cs="Calibri"/>
          <w:i/>
          <w:color w:val="000000"/>
        </w:rPr>
        <w:t xml:space="preserve">Planning for Employment and Industry in Melbourne’s Growth </w:t>
      </w:r>
      <w:r w:rsidR="00950F7C" w:rsidRPr="00E42AF5">
        <w:rPr>
          <w:rFonts w:ascii="Calibri" w:hAnsi="Calibri" w:cs="Calibri"/>
          <w:i/>
          <w:color w:val="000000"/>
        </w:rPr>
        <w:t>Areas</w:t>
      </w:r>
      <w:r w:rsidRPr="0081152B">
        <w:rPr>
          <w:rFonts w:ascii="Calibri" w:hAnsi="Calibri" w:cs="Calibri"/>
          <w:color w:val="000000"/>
        </w:rPr>
        <w:t xml:space="preserve">. That work is based on observed and projected ratios of development capacity and employment, and as such provides a guide to future conditions for the purposes of long term strategic planning. </w:t>
      </w:r>
    </w:p>
    <w:p w14:paraId="7C540C8A" w14:textId="75CAE4F1" w:rsidR="009B141A" w:rsidRDefault="0081152B">
      <w:r w:rsidRPr="0081152B">
        <w:rPr>
          <w:rFonts w:ascii="Calibri" w:hAnsi="Calibri" w:cs="Calibri"/>
          <w:color w:val="000000"/>
        </w:rPr>
        <w:t xml:space="preserve">The work does not however provide local area analysis or details on expected development timing and take up rates to inform more detailed development planning. </w:t>
      </w:r>
      <w:r w:rsidR="003D6D33">
        <w:t xml:space="preserve">HillPDA was engaged by the MPA to provide guidance to the future retail and employment </w:t>
      </w:r>
      <w:r w:rsidR="00950F7C">
        <w:t>opportunities</w:t>
      </w:r>
      <w:r w:rsidR="003D6D33">
        <w:t xml:space="preserve"> in Plumpton and Kororoit, including a</w:t>
      </w:r>
      <w:r w:rsidR="007A6290">
        <w:t xml:space="preserve"> </w:t>
      </w:r>
      <w:r w:rsidR="00FA305B">
        <w:t>forecast</w:t>
      </w:r>
      <w:r w:rsidR="007A6290">
        <w:t xml:space="preserve"> </w:t>
      </w:r>
      <w:r w:rsidR="00841DFB">
        <w:t xml:space="preserve">of </w:t>
      </w:r>
      <w:r w:rsidR="007A6290">
        <w:t xml:space="preserve">demand for </w:t>
      </w:r>
      <w:r w:rsidR="00FA305B">
        <w:t>commercial</w:t>
      </w:r>
      <w:r w:rsidR="00886CD3">
        <w:t xml:space="preserve"> (retail, office and other uses) and industrial land and associated employment numbers in the Plumpton and Kororoit PSP areas</w:t>
      </w:r>
      <w:r w:rsidR="00841DFB">
        <w:t>,</w:t>
      </w:r>
      <w:r w:rsidR="00886CD3">
        <w:t xml:space="preserve"> within the context of the </w:t>
      </w:r>
      <w:r w:rsidR="00841DFB">
        <w:t>WGCP</w:t>
      </w:r>
      <w:r w:rsidR="00886CD3">
        <w:t xml:space="preserve">. </w:t>
      </w:r>
    </w:p>
    <w:p w14:paraId="4A543098" w14:textId="1ED1E456" w:rsidR="00BA450D" w:rsidRPr="00BC6D7F" w:rsidRDefault="00BC6D7F" w:rsidP="00BC6D7F">
      <w:pPr>
        <w:pStyle w:val="Heading2"/>
      </w:pPr>
      <w:r>
        <w:t xml:space="preserve">9.1 </w:t>
      </w:r>
      <w:r w:rsidR="007D652D" w:rsidRPr="00BC6D7F">
        <w:t xml:space="preserve">Plumpton Business and </w:t>
      </w:r>
      <w:r w:rsidR="00BA450D" w:rsidRPr="00BC6D7F">
        <w:t xml:space="preserve">Industrial </w:t>
      </w:r>
      <w:r w:rsidR="007D652D" w:rsidRPr="00BC6D7F">
        <w:t>P</w:t>
      </w:r>
      <w:r w:rsidR="00BA450D" w:rsidRPr="00BC6D7F">
        <w:t xml:space="preserve">recinct </w:t>
      </w:r>
    </w:p>
    <w:p w14:paraId="1AD9061F" w14:textId="65610FB4" w:rsidR="00950F7C" w:rsidRDefault="00841DFB">
      <w:pPr>
        <w:rPr>
          <w:rFonts w:cs="Arial"/>
        </w:rPr>
      </w:pPr>
      <w:r>
        <w:t>The City of Melton's industrial land profile is currently dominated by light industry and small and medium sized lots. This profile is likely to diversify as the Western State Significant Industrial Precinct expands into the south-eastern sector of the municipality, with a focus on large lot industry. However, this role is not expected to be focused on the Plumpto</w:t>
      </w:r>
      <w:r w:rsidR="001209DF">
        <w:t>n business and industrial area (the ‘</w:t>
      </w:r>
      <w:r w:rsidR="007D652D">
        <w:t>Business and Industrial</w:t>
      </w:r>
      <w:r w:rsidR="001209DF">
        <w:t xml:space="preserve"> Precinct’) </w:t>
      </w:r>
      <w:r>
        <w:t xml:space="preserve">which is likely to attract local level industrial (or light industry) demand. </w:t>
      </w:r>
      <w:r w:rsidR="00205D6D">
        <w:rPr>
          <w:rFonts w:cs="Arial"/>
        </w:rPr>
        <w:t xml:space="preserve">The area comprises </w:t>
      </w:r>
      <w:r>
        <w:rPr>
          <w:rFonts w:cs="Arial"/>
        </w:rPr>
        <w:t xml:space="preserve">approximately 100 </w:t>
      </w:r>
      <w:r w:rsidR="00205D6D">
        <w:rPr>
          <w:rFonts w:cs="Arial"/>
        </w:rPr>
        <w:t xml:space="preserve">hectares of future supply. </w:t>
      </w:r>
    </w:p>
    <w:p w14:paraId="642C8073" w14:textId="34568F79" w:rsidR="007D652D" w:rsidRDefault="00205D6D" w:rsidP="00E42AF5">
      <w:pPr>
        <w:rPr>
          <w:rFonts w:cs="Arial"/>
        </w:rPr>
      </w:pPr>
      <w:r>
        <w:rPr>
          <w:rFonts w:cs="Arial"/>
        </w:rPr>
        <w:t xml:space="preserve">The construction of the OMR could </w:t>
      </w:r>
      <w:r w:rsidR="001035E6">
        <w:rPr>
          <w:rFonts w:cs="Arial"/>
        </w:rPr>
        <w:t>possibly</w:t>
      </w:r>
      <w:r>
        <w:rPr>
          <w:rFonts w:cs="Arial"/>
        </w:rPr>
        <w:t xml:space="preserve"> attract </w:t>
      </w:r>
      <w:r w:rsidR="001035E6">
        <w:rPr>
          <w:rFonts w:cs="Arial"/>
        </w:rPr>
        <w:t>larger lot industr</w:t>
      </w:r>
      <w:r w:rsidR="001209DF">
        <w:rPr>
          <w:rFonts w:cs="Arial"/>
        </w:rPr>
        <w:t>ial development</w:t>
      </w:r>
      <w:r w:rsidR="001035E6">
        <w:rPr>
          <w:rFonts w:cs="Arial"/>
        </w:rPr>
        <w:t xml:space="preserve"> (mainly export-oriented manufacturing and logistics activity)</w:t>
      </w:r>
      <w:r w:rsidR="001209DF">
        <w:rPr>
          <w:rFonts w:cs="Arial"/>
        </w:rPr>
        <w:t xml:space="preserve"> of around 5,000 square</w:t>
      </w:r>
      <w:r w:rsidR="007D652D">
        <w:rPr>
          <w:rFonts w:cs="Arial"/>
        </w:rPr>
        <w:t xml:space="preserve"> metres in size</w:t>
      </w:r>
      <w:r w:rsidR="001209DF">
        <w:rPr>
          <w:rFonts w:cs="Arial"/>
        </w:rPr>
        <w:t>. However</w:t>
      </w:r>
      <w:r w:rsidR="006B7389">
        <w:rPr>
          <w:rFonts w:cs="Arial"/>
        </w:rPr>
        <w:t>,</w:t>
      </w:r>
      <w:r w:rsidR="001209DF">
        <w:rPr>
          <w:rFonts w:cs="Arial"/>
        </w:rPr>
        <w:t xml:space="preserve"> timing of commencement of the OMR is not confirmed, and land </w:t>
      </w:r>
      <w:r w:rsidR="007D652D">
        <w:rPr>
          <w:rFonts w:cs="Arial"/>
        </w:rPr>
        <w:t xml:space="preserve">is likely to </w:t>
      </w:r>
      <w:r w:rsidR="001209DF">
        <w:rPr>
          <w:rFonts w:cs="Arial"/>
        </w:rPr>
        <w:t xml:space="preserve">develop in the </w:t>
      </w:r>
      <w:r w:rsidR="007D652D">
        <w:rPr>
          <w:rFonts w:cs="Arial"/>
        </w:rPr>
        <w:t>Business and Industrial</w:t>
      </w:r>
      <w:r w:rsidR="001209DF">
        <w:rPr>
          <w:rFonts w:cs="Arial"/>
        </w:rPr>
        <w:t xml:space="preserve"> Precinct </w:t>
      </w:r>
      <w:r w:rsidR="007D652D">
        <w:rPr>
          <w:rFonts w:cs="Arial"/>
        </w:rPr>
        <w:t>prior to commencement of the OMR</w:t>
      </w:r>
      <w:r w:rsidR="001209DF">
        <w:rPr>
          <w:rFonts w:cs="Arial"/>
        </w:rPr>
        <w:t>.</w:t>
      </w:r>
      <w:r w:rsidR="001035E6">
        <w:rPr>
          <w:rFonts w:cs="Arial"/>
        </w:rPr>
        <w:t xml:space="preserve"> </w:t>
      </w:r>
    </w:p>
    <w:p w14:paraId="40D38367" w14:textId="52CADB7B" w:rsidR="001209DF" w:rsidRDefault="001209DF" w:rsidP="00E42AF5">
      <w:pPr>
        <w:rPr>
          <w:rFonts w:cs="Arial"/>
        </w:rPr>
      </w:pPr>
      <w:r>
        <w:t xml:space="preserve">The size of lots </w:t>
      </w:r>
      <w:r w:rsidR="007D652D">
        <w:t xml:space="preserve">will </w:t>
      </w:r>
      <w:r>
        <w:t>be determined by market demand but the median lot size may be around 1,200 sqm with some higher density and office warehouses uses potentially being suitable for integration within the</w:t>
      </w:r>
      <w:r w:rsidR="007D652D">
        <w:t xml:space="preserve"> business</w:t>
      </w:r>
      <w:r>
        <w:t xml:space="preserve"> interface area adjacent to the planned Major Town Centre. </w:t>
      </w:r>
      <w:r w:rsidR="001035E6">
        <w:rPr>
          <w:rFonts w:cs="Arial"/>
        </w:rPr>
        <w:t xml:space="preserve">HillPDA’s job </w:t>
      </w:r>
      <w:r w:rsidR="00160BB2">
        <w:rPr>
          <w:rFonts w:cs="Arial"/>
        </w:rPr>
        <w:t>density</w:t>
      </w:r>
      <w:r w:rsidR="001035E6">
        <w:rPr>
          <w:rFonts w:cs="Arial"/>
        </w:rPr>
        <w:t xml:space="preserve"> assumptions </w:t>
      </w:r>
      <w:r w:rsidR="00160BB2">
        <w:rPr>
          <w:rFonts w:cs="Arial"/>
        </w:rPr>
        <w:t xml:space="preserve">indicated that the </w:t>
      </w:r>
      <w:r w:rsidR="007D652D">
        <w:rPr>
          <w:rFonts w:cs="Arial"/>
        </w:rPr>
        <w:t>Business and Industrial Precinct</w:t>
      </w:r>
      <w:r w:rsidR="00160BB2">
        <w:rPr>
          <w:rFonts w:cs="Arial"/>
        </w:rPr>
        <w:t xml:space="preserve"> has the potential to accommodate approximately 6,370 jobs.</w:t>
      </w:r>
    </w:p>
    <w:p w14:paraId="3C9B5D71" w14:textId="7B81AB77" w:rsidR="00535873" w:rsidRPr="00535873" w:rsidRDefault="00535873" w:rsidP="00E42AF5">
      <w:r>
        <w:t xml:space="preserve">The precinct will encourage a finer grain of employment uses </w:t>
      </w:r>
      <w:r w:rsidR="007D652D">
        <w:t xml:space="preserve">on slightly sloping sites with higher amenity around the waterway, and closer to the Plumpton Major Town Centre. These are likely to focus on </w:t>
      </w:r>
      <w:r>
        <w:t>office uses, small scale warehouse and showroom spaces</w:t>
      </w:r>
      <w:r w:rsidR="007D652D">
        <w:t>, studios and services.</w:t>
      </w:r>
      <w:r>
        <w:t xml:space="preserve"> </w:t>
      </w:r>
    </w:p>
    <w:p w14:paraId="4CE3A09D" w14:textId="75318085" w:rsidR="00BA450D" w:rsidRPr="00BC6D7F" w:rsidRDefault="00BC6D7F" w:rsidP="00BC6D7F">
      <w:pPr>
        <w:pStyle w:val="Heading2"/>
      </w:pPr>
      <w:r>
        <w:lastRenderedPageBreak/>
        <w:t xml:space="preserve">9.2 </w:t>
      </w:r>
      <w:r w:rsidR="00535873" w:rsidRPr="00BC6D7F">
        <w:t>Plumpton Major Town Centre</w:t>
      </w:r>
    </w:p>
    <w:p w14:paraId="53958B4A" w14:textId="7D68DCF1" w:rsidR="00DC3C8B" w:rsidRDefault="00BA450D" w:rsidP="00BC6D7F">
      <w:r>
        <w:t>The primary trade area for the MTC</w:t>
      </w:r>
      <w:r w:rsidR="001209DF">
        <w:t xml:space="preserve">, assessed by </w:t>
      </w:r>
      <w:proofErr w:type="spellStart"/>
      <w:r w:rsidR="001209DF">
        <w:t>HillPDA</w:t>
      </w:r>
      <w:proofErr w:type="spellEnd"/>
      <w:r w:rsidR="001209DF">
        <w:t>,</w:t>
      </w:r>
      <w:r>
        <w:t xml:space="preserve"> is expected to accommodate </w:t>
      </w:r>
      <w:r w:rsidR="001209DF">
        <w:t>around 50,000</w:t>
      </w:r>
      <w:r>
        <w:t xml:space="preserve"> people at full development. The primary trade area is established by the centre’s location of existing and planning town centres, road networks and barriers to movement. </w:t>
      </w:r>
    </w:p>
    <w:p w14:paraId="2B0D7112" w14:textId="77777777" w:rsidR="00DC3C8B" w:rsidRPr="00DC3C8B" w:rsidRDefault="00DC3C8B" w:rsidP="00BC6D7F">
      <w:r>
        <w:rPr>
          <w:rFonts w:ascii="Calibri" w:hAnsi="Calibri" w:cs="Calibri"/>
          <w:color w:val="000000"/>
        </w:rPr>
        <w:t>HillPDA’s model</w:t>
      </w:r>
      <w:r w:rsidRPr="00DC3C8B">
        <w:rPr>
          <w:rFonts w:ascii="Calibri" w:hAnsi="Calibri" w:cs="Calibri"/>
          <w:color w:val="000000"/>
        </w:rPr>
        <w:t xml:space="preserve"> suggests that the ultimate centre size at Plumpton MTC could be in the order of 77,800 sqm retail. This would include (at full development): </w:t>
      </w:r>
    </w:p>
    <w:p w14:paraId="3DB79B8D" w14:textId="77777777" w:rsidR="00DC3C8B" w:rsidRPr="00BC6D7F" w:rsidRDefault="00DC3C8B" w:rsidP="00BC6D7F">
      <w:pPr>
        <w:pStyle w:val="ListParagraph"/>
        <w:numPr>
          <w:ilvl w:val="0"/>
          <w:numId w:val="31"/>
        </w:numPr>
        <w:rPr>
          <w:rFonts w:ascii="Calibri" w:hAnsi="Calibri" w:cs="Calibri"/>
          <w:color w:val="000000"/>
        </w:rPr>
      </w:pPr>
      <w:r w:rsidRPr="00BC6D7F">
        <w:rPr>
          <w:rFonts w:ascii="Calibri" w:hAnsi="Calibri" w:cs="Calibri"/>
          <w:color w:val="000000"/>
        </w:rPr>
        <w:t xml:space="preserve">1 x discount department store (nominally 8,600 sqm); </w:t>
      </w:r>
    </w:p>
    <w:p w14:paraId="47D74C29" w14:textId="77777777" w:rsidR="00DC3C8B" w:rsidRPr="00BC6D7F" w:rsidRDefault="00DC3C8B" w:rsidP="00BC6D7F">
      <w:pPr>
        <w:pStyle w:val="ListParagraph"/>
        <w:numPr>
          <w:ilvl w:val="0"/>
          <w:numId w:val="31"/>
        </w:numPr>
        <w:rPr>
          <w:rFonts w:ascii="Calibri" w:hAnsi="Calibri" w:cs="Calibri"/>
          <w:color w:val="000000"/>
        </w:rPr>
      </w:pPr>
      <w:r w:rsidRPr="00BC6D7F">
        <w:rPr>
          <w:rFonts w:ascii="Calibri" w:hAnsi="Calibri" w:cs="Calibri"/>
          <w:color w:val="000000"/>
        </w:rPr>
        <w:t xml:space="preserve">3 to 3.5 x supermarkets (nominally two or three full-line supermarkets at 3,500 sqm plus smaller supermarkets at around 1,500 sqm); </w:t>
      </w:r>
    </w:p>
    <w:p w14:paraId="299195DD" w14:textId="77777777" w:rsidR="00DC3C8B" w:rsidRPr="00BC6D7F" w:rsidRDefault="00DC3C8B" w:rsidP="00BC6D7F">
      <w:pPr>
        <w:pStyle w:val="ListParagraph"/>
        <w:numPr>
          <w:ilvl w:val="0"/>
          <w:numId w:val="31"/>
        </w:numPr>
        <w:rPr>
          <w:rFonts w:ascii="Calibri" w:hAnsi="Calibri" w:cs="Calibri"/>
          <w:color w:val="000000"/>
        </w:rPr>
      </w:pPr>
      <w:r w:rsidRPr="00BC6D7F">
        <w:rPr>
          <w:rFonts w:ascii="Calibri" w:hAnsi="Calibri" w:cs="Calibri"/>
          <w:color w:val="000000"/>
        </w:rPr>
        <w:t xml:space="preserve">Approximately 22,900 sqm bulky goods space (assuming 60% of such demand is accommodated elsewhere); and </w:t>
      </w:r>
    </w:p>
    <w:p w14:paraId="512F1860" w14:textId="1B501173" w:rsidR="00DC3C8B" w:rsidRPr="00BC6D7F" w:rsidRDefault="00DC3C8B" w:rsidP="00BC6D7F">
      <w:pPr>
        <w:pStyle w:val="ListParagraph"/>
        <w:numPr>
          <w:ilvl w:val="0"/>
          <w:numId w:val="31"/>
        </w:numPr>
        <w:rPr>
          <w:rFonts w:ascii="Calibri" w:hAnsi="Calibri" w:cs="Calibri"/>
          <w:color w:val="000000"/>
        </w:rPr>
      </w:pPr>
      <w:r w:rsidRPr="00BC6D7F">
        <w:rPr>
          <w:rFonts w:ascii="Calibri" w:hAnsi="Calibri" w:cs="Calibri"/>
          <w:color w:val="000000"/>
        </w:rPr>
        <w:t>The balance (33,900 sqm) in a range of specialty store types</w:t>
      </w:r>
      <w:r w:rsidR="005C6435" w:rsidRPr="00BC6D7F">
        <w:rPr>
          <w:rFonts w:ascii="Calibri" w:hAnsi="Calibri" w:cs="Calibri"/>
          <w:color w:val="000000"/>
        </w:rPr>
        <w:t>.</w:t>
      </w:r>
      <w:r w:rsidRPr="00BC6D7F">
        <w:rPr>
          <w:rFonts w:ascii="Calibri" w:hAnsi="Calibri" w:cs="Calibri"/>
          <w:color w:val="000000"/>
        </w:rPr>
        <w:t xml:space="preserve"> </w:t>
      </w:r>
    </w:p>
    <w:p w14:paraId="09777217" w14:textId="53E522E1" w:rsidR="00A87514" w:rsidRPr="00BC6D7F" w:rsidRDefault="00A87514" w:rsidP="00BC6D7F">
      <w:pPr>
        <w:pStyle w:val="ListParagraph"/>
        <w:numPr>
          <w:ilvl w:val="0"/>
          <w:numId w:val="31"/>
        </w:numPr>
        <w:rPr>
          <w:rFonts w:ascii="Calibri" w:hAnsi="Calibri" w:cs="Calibri"/>
          <w:color w:val="000000"/>
        </w:rPr>
      </w:pPr>
      <w:r w:rsidRPr="00BC6D7F">
        <w:rPr>
          <w:rFonts w:ascii="Calibri" w:hAnsi="Calibri" w:cs="Calibri"/>
          <w:color w:val="000000"/>
        </w:rPr>
        <w:t>Of this, the total ‘shop’ (as defined in the planning scheme) floorspace is approximately 68,000sqm. Compared to ‘retail’, this excludes the categories of fast food stores, restaurants, hotels and clubs. If restricted retail (bulky goods) is excluded this would result in around 45,100 sqm of ‘shop’ floorspace in the Plumpton MTC.</w:t>
      </w:r>
    </w:p>
    <w:p w14:paraId="16C6F398" w14:textId="77777777" w:rsidR="00DC3C8B" w:rsidRDefault="00DC3C8B" w:rsidP="00BC6D7F">
      <w:r>
        <w:t>In addition to the retail space, local office and community service space would also be provided over time. Based on past research and applied ratios, the MTC will see:</w:t>
      </w:r>
    </w:p>
    <w:p w14:paraId="697BC417" w14:textId="77777777" w:rsidR="00DC3C8B" w:rsidRPr="00DC3C8B" w:rsidRDefault="00DC3C8B" w:rsidP="00BC6D7F">
      <w:pPr>
        <w:pStyle w:val="ListParagraph"/>
        <w:numPr>
          <w:ilvl w:val="0"/>
          <w:numId w:val="32"/>
        </w:numPr>
      </w:pPr>
      <w:r w:rsidRPr="00BC6D7F">
        <w:rPr>
          <w:rFonts w:ascii="Calibri" w:hAnsi="Calibri" w:cs="Calibri"/>
          <w:color w:val="000000"/>
        </w:rPr>
        <w:t xml:space="preserve">39,000 sqm of office space, half of which may be in a few large holdings for public sector utility and service providers and the balance in small tenancies such as in sub 1,500 sqm suites; and </w:t>
      </w:r>
    </w:p>
    <w:p w14:paraId="4C1E9732" w14:textId="77777777" w:rsidR="00BA450D" w:rsidRDefault="00DC3C8B" w:rsidP="00BC6D7F">
      <w:pPr>
        <w:pStyle w:val="ListParagraph"/>
        <w:numPr>
          <w:ilvl w:val="0"/>
          <w:numId w:val="32"/>
        </w:numPr>
      </w:pPr>
      <w:r w:rsidRPr="00BC6D7F">
        <w:rPr>
          <w:rFonts w:ascii="Calibri" w:hAnsi="Calibri" w:cs="Calibri"/>
          <w:color w:val="000000"/>
        </w:rPr>
        <w:t xml:space="preserve">19,500 sqm of community service space, providing a range of local, state and federal provided or supported services </w:t>
      </w:r>
      <w:r>
        <w:t>including libraries, government services, community meetings spaces and medical facilities.</w:t>
      </w:r>
    </w:p>
    <w:p w14:paraId="4C9B4822" w14:textId="76C42874" w:rsidR="00DC3C8B" w:rsidRDefault="00DC3C8B" w:rsidP="00BC6D7F">
      <w:r>
        <w:t>The analysis suggests that the Plumpton MTC would support around 4,900 jobs at full development. About 2,600 jobs would be in retail, around 1,900 jobs in office based activities and a further 400 jobs in community services.</w:t>
      </w:r>
      <w:r w:rsidR="00990357">
        <w:t xml:space="preserve"> </w:t>
      </w:r>
      <w:r>
        <w:t xml:space="preserve">Overall, the MTC has potential to accommodate nearly 136,000 sqm of </w:t>
      </w:r>
      <w:r w:rsidR="007B1F72">
        <w:t>floor space</w:t>
      </w:r>
      <w:r>
        <w:t xml:space="preserve"> across retail, office and community service sectors.</w:t>
      </w:r>
    </w:p>
    <w:p w14:paraId="7C2B1A90" w14:textId="7498E698" w:rsidR="00A9766C" w:rsidRPr="00A9766C" w:rsidRDefault="00A9766C" w:rsidP="00BC6D7F">
      <w:pPr>
        <w:rPr>
          <w:rFonts w:ascii="Calibri" w:hAnsi="Calibri" w:cs="Calibri"/>
          <w:color w:val="000000"/>
        </w:rPr>
      </w:pPr>
      <w:r w:rsidRPr="00A9766C">
        <w:rPr>
          <w:rFonts w:ascii="Calibri" w:hAnsi="Calibri" w:cs="Calibri"/>
          <w:color w:val="000000"/>
        </w:rPr>
        <w:t xml:space="preserve">Some of the </w:t>
      </w:r>
      <w:r w:rsidR="00A87514">
        <w:rPr>
          <w:rFonts w:ascii="Calibri" w:hAnsi="Calibri" w:cs="Calibri"/>
          <w:color w:val="000000"/>
        </w:rPr>
        <w:t>jobs assumed by HillPDA</w:t>
      </w:r>
      <w:r w:rsidR="00A87514" w:rsidRPr="00A9766C">
        <w:rPr>
          <w:rFonts w:ascii="Calibri" w:hAnsi="Calibri" w:cs="Calibri"/>
          <w:color w:val="000000"/>
        </w:rPr>
        <w:t xml:space="preserve"> </w:t>
      </w:r>
      <w:r w:rsidR="00A87514">
        <w:rPr>
          <w:rFonts w:ascii="Calibri" w:hAnsi="Calibri" w:cs="Calibri"/>
          <w:color w:val="000000"/>
        </w:rPr>
        <w:t xml:space="preserve">for the MTC would also be </w:t>
      </w:r>
      <w:r w:rsidRPr="00A9766C">
        <w:rPr>
          <w:rFonts w:ascii="Calibri" w:hAnsi="Calibri" w:cs="Calibri"/>
          <w:color w:val="000000"/>
        </w:rPr>
        <w:t xml:space="preserve">suitable for the </w:t>
      </w:r>
      <w:r w:rsidR="00331283">
        <w:rPr>
          <w:rFonts w:ascii="Calibri" w:hAnsi="Calibri" w:cs="Calibri"/>
          <w:color w:val="000000"/>
        </w:rPr>
        <w:t>land shown as ‘</w:t>
      </w:r>
      <w:r w:rsidRPr="00A9766C">
        <w:rPr>
          <w:rFonts w:ascii="Calibri" w:hAnsi="Calibri" w:cs="Calibri"/>
          <w:color w:val="000000"/>
        </w:rPr>
        <w:t>business</w:t>
      </w:r>
      <w:r w:rsidR="00331283">
        <w:rPr>
          <w:rFonts w:ascii="Calibri" w:hAnsi="Calibri" w:cs="Calibri"/>
          <w:color w:val="000000"/>
        </w:rPr>
        <w:t>’</w:t>
      </w:r>
      <w:r w:rsidR="00A87514">
        <w:rPr>
          <w:rFonts w:ascii="Calibri" w:hAnsi="Calibri" w:cs="Calibri"/>
          <w:color w:val="000000"/>
        </w:rPr>
        <w:t xml:space="preserve"> or ‘mixed use’</w:t>
      </w:r>
      <w:r w:rsidR="00331283">
        <w:rPr>
          <w:rFonts w:ascii="Calibri" w:hAnsi="Calibri" w:cs="Calibri"/>
          <w:color w:val="000000"/>
        </w:rPr>
        <w:t xml:space="preserve"> in the Future Urban Structure plan, </w:t>
      </w:r>
      <w:r w:rsidRPr="00A9766C">
        <w:rPr>
          <w:rFonts w:ascii="Calibri" w:hAnsi="Calibri" w:cs="Calibri"/>
          <w:color w:val="000000"/>
        </w:rPr>
        <w:t xml:space="preserve">on the west side of the </w:t>
      </w:r>
      <w:r w:rsidR="00A87514">
        <w:rPr>
          <w:rFonts w:ascii="Calibri" w:hAnsi="Calibri" w:cs="Calibri"/>
          <w:color w:val="000000"/>
        </w:rPr>
        <w:t xml:space="preserve">Major </w:t>
      </w:r>
      <w:r w:rsidRPr="00A9766C">
        <w:rPr>
          <w:rFonts w:ascii="Calibri" w:hAnsi="Calibri" w:cs="Calibri"/>
          <w:color w:val="000000"/>
        </w:rPr>
        <w:t xml:space="preserve">Town Centre. Suitable uses </w:t>
      </w:r>
      <w:r w:rsidR="008B461E" w:rsidRPr="008B461E">
        <w:rPr>
          <w:rFonts w:ascii="Calibri" w:hAnsi="Calibri" w:cs="Calibri"/>
          <w:color w:val="000000"/>
        </w:rPr>
        <w:t>are bulky goods, a</w:t>
      </w:r>
      <w:r w:rsidRPr="00A9766C">
        <w:rPr>
          <w:rFonts w:ascii="Calibri" w:hAnsi="Calibri" w:cs="Calibri"/>
          <w:color w:val="000000"/>
        </w:rPr>
        <w:t xml:space="preserve"> share of the office space nominat</w:t>
      </w:r>
      <w:r w:rsidR="008B461E" w:rsidRPr="008B461E">
        <w:rPr>
          <w:rFonts w:ascii="Calibri" w:hAnsi="Calibri" w:cs="Calibri"/>
          <w:color w:val="000000"/>
        </w:rPr>
        <w:t>ed for the Town Centre area (approx</w:t>
      </w:r>
      <w:r w:rsidRPr="00A9766C">
        <w:rPr>
          <w:rFonts w:ascii="Calibri" w:hAnsi="Calibri" w:cs="Calibri"/>
          <w:color w:val="000000"/>
        </w:rPr>
        <w:t xml:space="preserve"> 19,500 sqm</w:t>
      </w:r>
      <w:r w:rsidR="008B461E" w:rsidRPr="008B461E">
        <w:rPr>
          <w:rFonts w:ascii="Calibri" w:hAnsi="Calibri" w:cs="Calibri"/>
          <w:color w:val="000000"/>
        </w:rPr>
        <w:t>), s</w:t>
      </w:r>
      <w:r w:rsidRPr="00A9766C">
        <w:rPr>
          <w:rFonts w:ascii="Calibri" w:hAnsi="Calibri" w:cs="Calibri"/>
          <w:color w:val="000000"/>
        </w:rPr>
        <w:t>ervice uses that</w:t>
      </w:r>
      <w:r w:rsidR="00BE06D8">
        <w:rPr>
          <w:rFonts w:ascii="Calibri" w:hAnsi="Calibri" w:cs="Calibri"/>
          <w:color w:val="000000"/>
        </w:rPr>
        <w:t xml:space="preserve"> are</w:t>
      </w:r>
      <w:r w:rsidRPr="00A9766C">
        <w:rPr>
          <w:rFonts w:ascii="Calibri" w:hAnsi="Calibri" w:cs="Calibri"/>
          <w:color w:val="000000"/>
        </w:rPr>
        <w:t xml:space="preserve"> typically located on i</w:t>
      </w:r>
      <w:r w:rsidR="008B461E" w:rsidRPr="008B461E">
        <w:rPr>
          <w:rFonts w:ascii="Calibri" w:hAnsi="Calibri" w:cs="Calibri"/>
          <w:color w:val="000000"/>
        </w:rPr>
        <w:t>ndustrial land (4,800 sqm) and l</w:t>
      </w:r>
      <w:r w:rsidRPr="00A9766C">
        <w:rPr>
          <w:rFonts w:ascii="Calibri" w:hAnsi="Calibri" w:cs="Calibri"/>
          <w:color w:val="000000"/>
        </w:rPr>
        <w:t xml:space="preserve">ight industrial uses that can be integrated with large format retail and office uses (9,800 sqm). </w:t>
      </w:r>
      <w:r w:rsidR="00A87514">
        <w:rPr>
          <w:rFonts w:ascii="Calibri" w:hAnsi="Calibri" w:cs="Calibri"/>
          <w:color w:val="000000"/>
        </w:rPr>
        <w:t>Along Hopkins Road itself, finer grain uses with an attractive frontage to the MTC would be more appropriate.</w:t>
      </w:r>
    </w:p>
    <w:p w14:paraId="4CF15BE0" w14:textId="77777777" w:rsidR="00DC3C8B" w:rsidRDefault="00A9766C" w:rsidP="00BC6D7F">
      <w:r w:rsidRPr="008B461E">
        <w:rPr>
          <w:rFonts w:ascii="Calibri" w:hAnsi="Calibri" w:cs="Calibri"/>
          <w:color w:val="000000"/>
        </w:rPr>
        <w:t xml:space="preserve">The interface area could cover about 12 ha of land and accommodate about 2,000 jobs (which includes 1,831 jobs counted in the MTC </w:t>
      </w:r>
      <w:r w:rsidRPr="008B461E">
        <w:t>estimate above and 162 jobs counted in the employment and industrial area analysis section of this report).</w:t>
      </w:r>
    </w:p>
    <w:p w14:paraId="5F523D85" w14:textId="77777777" w:rsidR="00BC6D7F" w:rsidRDefault="00BC6D7F" w:rsidP="00BC6D7F">
      <w:pPr>
        <w:pStyle w:val="Heading2"/>
      </w:pPr>
    </w:p>
    <w:p w14:paraId="39E845FE" w14:textId="77777777" w:rsidR="00BC6D7F" w:rsidRDefault="00BC6D7F">
      <w:pPr>
        <w:rPr>
          <w:rFonts w:eastAsia="Times New Roman" w:cs="Times New Roman"/>
          <w:b/>
          <w:bCs/>
          <w:iCs/>
          <w:sz w:val="28"/>
          <w:szCs w:val="24"/>
        </w:rPr>
      </w:pPr>
      <w:r>
        <w:br w:type="page"/>
      </w:r>
    </w:p>
    <w:p w14:paraId="5730462E" w14:textId="071C60E3" w:rsidR="00535873" w:rsidRPr="000F1F6D" w:rsidRDefault="00BC6D7F" w:rsidP="00BC6D7F">
      <w:pPr>
        <w:pStyle w:val="Heading2"/>
        <w:rPr>
          <w:sz w:val="24"/>
        </w:rPr>
      </w:pPr>
      <w:r>
        <w:lastRenderedPageBreak/>
        <w:t xml:space="preserve">9.3 </w:t>
      </w:r>
      <w:r w:rsidR="00535873" w:rsidRPr="000F1F6D">
        <w:t>Local Town Centres</w:t>
      </w:r>
    </w:p>
    <w:p w14:paraId="5F6546EA" w14:textId="41198F10" w:rsidR="0046721C" w:rsidRDefault="0046721C" w:rsidP="00A9766C">
      <w:r>
        <w:t xml:space="preserve">Two Local Town Centres were identified for </w:t>
      </w:r>
      <w:proofErr w:type="spellStart"/>
      <w:r>
        <w:t>Kororoit</w:t>
      </w:r>
      <w:proofErr w:type="spellEnd"/>
      <w:r>
        <w:t xml:space="preserve">, and one Local Town Centre for Plumpton, along with potential for Local Convenience Centres in areas beyond the LTC ‘convenience’ catchment. LTCs provide for day-to-day and weekly needs, with a supermarket and supporting retail, commercial and community uses. LTCs create a focus for social interaction within the developing communities. </w:t>
      </w:r>
      <w:r w:rsidR="00B55F03">
        <w:t xml:space="preserve">There is also growing recognition of the need to provide for small local enterprises in or adjacent to Town </w:t>
      </w:r>
      <w:r w:rsidR="00B55F03" w:rsidRPr="00A2524C">
        <w:t xml:space="preserve">Centres. These should provide lower rent space </w:t>
      </w:r>
      <w:r w:rsidR="00A2524C">
        <w:t xml:space="preserve">in a range of lot sizes </w:t>
      </w:r>
      <w:r w:rsidR="00B55F03" w:rsidRPr="00A2524C">
        <w:t xml:space="preserve">for </w:t>
      </w:r>
      <w:r w:rsidR="00A2524C" w:rsidRPr="00E42AF5">
        <w:t xml:space="preserve">service and ancillary uses </w:t>
      </w:r>
      <w:r w:rsidR="00B55F03" w:rsidRPr="00A2524C">
        <w:t xml:space="preserve">businesses </w:t>
      </w:r>
      <w:r w:rsidR="00A2524C">
        <w:t>such as</w:t>
      </w:r>
      <w:r w:rsidR="00A2524C" w:rsidRPr="00A2524C">
        <w:t xml:space="preserve"> </w:t>
      </w:r>
      <w:r w:rsidR="00A87514">
        <w:t>equipment services and repairs;</w:t>
      </w:r>
      <w:r w:rsidR="00A87514" w:rsidRPr="00A2524C">
        <w:t xml:space="preserve"> </w:t>
      </w:r>
      <w:r w:rsidR="00A2524C" w:rsidRPr="00A2524C">
        <w:t>gyms and martial arts studios; printers, reception centres, plant nurseries</w:t>
      </w:r>
      <w:r w:rsidR="00A2524C">
        <w:t xml:space="preserve">; </w:t>
      </w:r>
      <w:r w:rsidR="00A87514">
        <w:t>and</w:t>
      </w:r>
      <w:r w:rsidR="00A87514" w:rsidRPr="00A2524C">
        <w:t xml:space="preserve"> </w:t>
      </w:r>
      <w:r w:rsidR="00A2524C" w:rsidRPr="00A2524C">
        <w:t>workshops</w:t>
      </w:r>
      <w:r w:rsidR="00A87514">
        <w:t xml:space="preserve"> and</w:t>
      </w:r>
      <w:r w:rsidR="00A2524C" w:rsidRPr="00A2524C">
        <w:t xml:space="preserve"> v</w:t>
      </w:r>
      <w:r w:rsidR="00A2524C">
        <w:t>eterinary clinics. ‘Business’ land has been identified in/ adjacent to the LTCs and MTC to encourage location of these varied businesses</w:t>
      </w:r>
      <w:r w:rsidR="00A87514">
        <w:t>. A further ‘business’ area has been identified  along the Western Freeway to encourage local service uses outlined above, once the future Freeway access arrangements have been constructed.</w:t>
      </w:r>
    </w:p>
    <w:p w14:paraId="7E06668B" w14:textId="77777777" w:rsidR="00917A97" w:rsidRDefault="00917A97">
      <w:pPr>
        <w:rPr>
          <w:rFonts w:cs="Calibri"/>
          <w:b/>
          <w:sz w:val="32"/>
          <w:highlight w:val="lightGray"/>
        </w:rPr>
      </w:pPr>
      <w:r>
        <w:rPr>
          <w:rFonts w:cs="Calibri"/>
          <w:b/>
          <w:sz w:val="32"/>
          <w:highlight w:val="lightGray"/>
        </w:rPr>
        <w:br w:type="page"/>
      </w:r>
    </w:p>
    <w:p w14:paraId="46C11803" w14:textId="5988F7BE" w:rsidR="001E5A81" w:rsidRPr="00BC6D7F" w:rsidRDefault="001A0DBF" w:rsidP="00BC6D7F">
      <w:pPr>
        <w:pStyle w:val="Heading1"/>
        <w:numPr>
          <w:ilvl w:val="0"/>
          <w:numId w:val="23"/>
        </w:numPr>
        <w:rPr>
          <w:b/>
        </w:rPr>
      </w:pPr>
      <w:r w:rsidRPr="00BC6D7F">
        <w:rPr>
          <w:b/>
        </w:rPr>
        <w:lastRenderedPageBreak/>
        <w:t>Community F</w:t>
      </w:r>
      <w:r w:rsidR="0032418A" w:rsidRPr="00BC6D7F">
        <w:rPr>
          <w:b/>
        </w:rPr>
        <w:t>acilities</w:t>
      </w:r>
      <w:r w:rsidR="00B8208D" w:rsidRPr="00BC6D7F">
        <w:rPr>
          <w:b/>
        </w:rPr>
        <w:t xml:space="preserve"> </w:t>
      </w:r>
    </w:p>
    <w:p w14:paraId="78C30813" w14:textId="6A3BCD4E" w:rsidR="00B8208D" w:rsidRPr="001E5A81" w:rsidRDefault="00AA1731" w:rsidP="00BC6D7F">
      <w:r w:rsidRPr="000E4BA5">
        <w:t>The MPA engaged</w:t>
      </w:r>
      <w:r w:rsidR="002C4934" w:rsidRPr="000E4BA5">
        <w:t xml:space="preserve"> </w:t>
      </w:r>
      <w:r w:rsidR="00B47FF3" w:rsidRPr="000E4BA5">
        <w:t xml:space="preserve">Capire to undertake </w:t>
      </w:r>
      <w:r w:rsidR="00B47FF3" w:rsidRPr="00694DD3">
        <w:t>an</w:t>
      </w:r>
      <w:r w:rsidR="00B47FF3" w:rsidRPr="00E42AF5">
        <w:rPr>
          <w:i/>
        </w:rPr>
        <w:t xml:space="preserve"> Open Space and Community Infrastruc</w:t>
      </w:r>
      <w:r w:rsidR="000E4BA5" w:rsidRPr="00E42AF5">
        <w:rPr>
          <w:i/>
        </w:rPr>
        <w:t xml:space="preserve">tures Needs Assessment </w:t>
      </w:r>
      <w:r w:rsidR="000E4BA5" w:rsidRPr="000E4BA5">
        <w:t xml:space="preserve">to quantify the demand for and recommend the provision amount of community infrastructure and open space to support the future population of Plumpton and Kororoit. </w:t>
      </w:r>
      <w:r w:rsidR="000E4BA5" w:rsidRPr="000E4BA5">
        <w:rPr>
          <w:rFonts w:cs="Arial"/>
          <w:color w:val="231F20"/>
        </w:rPr>
        <w:t xml:space="preserve">The assessment </w:t>
      </w:r>
      <w:r w:rsidR="004F510A" w:rsidRPr="000E4BA5">
        <w:rPr>
          <w:rFonts w:cs="Arial"/>
          <w:color w:val="231F20"/>
        </w:rPr>
        <w:t>peer</w:t>
      </w:r>
      <w:r w:rsidR="004F510A">
        <w:rPr>
          <w:rFonts w:cs="Arial"/>
          <w:color w:val="231F20"/>
        </w:rPr>
        <w:t>-r</w:t>
      </w:r>
      <w:r w:rsidR="000E4BA5" w:rsidRPr="000E4BA5">
        <w:rPr>
          <w:rFonts w:cs="Arial"/>
          <w:color w:val="231F20"/>
        </w:rPr>
        <w:t xml:space="preserve">eviewed infrastructure provision ratios currently applied by Melton City Council, the MPA and service providers such as Department of Education and </w:t>
      </w:r>
      <w:r w:rsidR="00B8208D">
        <w:rPr>
          <w:rFonts w:cs="Arial"/>
          <w:color w:val="231F20"/>
        </w:rPr>
        <w:t>Training (DET).</w:t>
      </w:r>
    </w:p>
    <w:p w14:paraId="6D19AAB3" w14:textId="77777777" w:rsidR="00B8208D" w:rsidRDefault="00B8208D" w:rsidP="00BC6D7F">
      <w:pPr>
        <w:rPr>
          <w:rFonts w:cs="Arial"/>
          <w:color w:val="231F20"/>
        </w:rPr>
      </w:pPr>
      <w:r w:rsidRPr="00B8208D">
        <w:rPr>
          <w:rFonts w:cs="Arial"/>
          <w:color w:val="231F20"/>
        </w:rPr>
        <w:t>The configuration and locations of centres within the precinct areas take into account the local topography and the barriers to movement or acce</w:t>
      </w:r>
      <w:r>
        <w:rPr>
          <w:rFonts w:cs="Arial"/>
          <w:color w:val="231F20"/>
        </w:rPr>
        <w:t>ss to community infrastructure.</w:t>
      </w:r>
    </w:p>
    <w:p w14:paraId="0CB68127" w14:textId="77777777" w:rsidR="00B8208D" w:rsidRDefault="00B8208D" w:rsidP="00BC6D7F">
      <w:pPr>
        <w:rPr>
          <w:rFonts w:cs="Arial"/>
          <w:color w:val="231F20"/>
        </w:rPr>
      </w:pPr>
      <w:r w:rsidRPr="00B8208D">
        <w:rPr>
          <w:rFonts w:cs="Arial"/>
          <w:color w:val="231F20"/>
        </w:rPr>
        <w:t>In addition to natural topographical boundaries such as the Kororoit Creek corridor, a number of physical infrastructure and public utility easements traverse the precincts and impose some constraints on the location of community</w:t>
      </w:r>
      <w:r>
        <w:rPr>
          <w:rFonts w:cs="Arial"/>
          <w:color w:val="231F20"/>
        </w:rPr>
        <w:t xml:space="preserve"> infrastructure and open space.</w:t>
      </w:r>
    </w:p>
    <w:p w14:paraId="50856CD7" w14:textId="77777777" w:rsidR="00B8208D" w:rsidRDefault="00B8208D" w:rsidP="00BC6D7F">
      <w:pPr>
        <w:rPr>
          <w:rFonts w:cs="Arial"/>
          <w:color w:val="231F20"/>
        </w:rPr>
      </w:pPr>
      <w:r>
        <w:rPr>
          <w:rFonts w:cs="Arial"/>
          <w:color w:val="231F20"/>
        </w:rPr>
        <w:t>These barriers are:</w:t>
      </w:r>
    </w:p>
    <w:p w14:paraId="29AD4C5F" w14:textId="134007E6" w:rsidR="00B8208D" w:rsidRPr="00BC6D7F" w:rsidRDefault="00B8208D" w:rsidP="00BC6D7F">
      <w:pPr>
        <w:pStyle w:val="ListParagraph"/>
        <w:numPr>
          <w:ilvl w:val="0"/>
          <w:numId w:val="33"/>
        </w:numPr>
        <w:rPr>
          <w:rFonts w:cs="Arial"/>
          <w:color w:val="231F20"/>
        </w:rPr>
      </w:pPr>
      <w:r w:rsidRPr="00BC6D7F">
        <w:rPr>
          <w:rFonts w:cs="Arial"/>
          <w:color w:val="231F20"/>
        </w:rPr>
        <w:t xml:space="preserve">Outer </w:t>
      </w:r>
      <w:r w:rsidR="004F510A" w:rsidRPr="00BC6D7F">
        <w:rPr>
          <w:rFonts w:cs="Arial"/>
          <w:color w:val="231F20"/>
        </w:rPr>
        <w:t>Metro Ring road (future)</w:t>
      </w:r>
    </w:p>
    <w:p w14:paraId="7857B14C" w14:textId="1A7BCA57" w:rsidR="00B8208D" w:rsidRPr="00BC6D7F" w:rsidRDefault="00B8208D" w:rsidP="00BC6D7F">
      <w:pPr>
        <w:pStyle w:val="ListParagraph"/>
        <w:numPr>
          <w:ilvl w:val="0"/>
          <w:numId w:val="33"/>
        </w:numPr>
        <w:rPr>
          <w:rFonts w:cs="Arial"/>
          <w:color w:val="231F20"/>
        </w:rPr>
      </w:pPr>
      <w:r w:rsidRPr="00BC6D7F">
        <w:rPr>
          <w:rFonts w:cs="Arial"/>
          <w:color w:val="231F20"/>
        </w:rPr>
        <w:t>High voltage</w:t>
      </w:r>
      <w:r w:rsidR="004F510A" w:rsidRPr="00BC6D7F">
        <w:rPr>
          <w:rFonts w:cs="Arial"/>
          <w:color w:val="231F20"/>
        </w:rPr>
        <w:t xml:space="preserve"> powerlines</w:t>
      </w:r>
      <w:r w:rsidRPr="00BC6D7F">
        <w:rPr>
          <w:rFonts w:cs="Arial"/>
          <w:color w:val="231F20"/>
        </w:rPr>
        <w:t xml:space="preserve"> easement</w:t>
      </w:r>
    </w:p>
    <w:p w14:paraId="5739BA2D" w14:textId="77777777" w:rsidR="00B8208D" w:rsidRPr="00BC6D7F" w:rsidRDefault="00B8208D" w:rsidP="00BC6D7F">
      <w:pPr>
        <w:pStyle w:val="ListParagraph"/>
        <w:numPr>
          <w:ilvl w:val="0"/>
          <w:numId w:val="33"/>
        </w:numPr>
        <w:rPr>
          <w:rFonts w:cs="Arial"/>
          <w:color w:val="231F20"/>
        </w:rPr>
      </w:pPr>
      <w:r w:rsidRPr="00BC6D7F">
        <w:rPr>
          <w:rFonts w:cs="Arial"/>
          <w:color w:val="231F20"/>
        </w:rPr>
        <w:t>High pressure gas pipeline easement</w:t>
      </w:r>
    </w:p>
    <w:p w14:paraId="5CA83D11" w14:textId="3775EA35" w:rsidR="00B8208D" w:rsidRPr="00BC6D7F" w:rsidRDefault="000236F7" w:rsidP="00BC6D7F">
      <w:pPr>
        <w:pStyle w:val="ListParagraph"/>
        <w:numPr>
          <w:ilvl w:val="0"/>
          <w:numId w:val="33"/>
        </w:numPr>
        <w:rPr>
          <w:rFonts w:cs="Arial"/>
          <w:color w:val="231F20"/>
        </w:rPr>
      </w:pPr>
      <w:r w:rsidRPr="00BC6D7F">
        <w:rPr>
          <w:rFonts w:cs="Arial"/>
          <w:color w:val="231F20"/>
        </w:rPr>
        <w:t xml:space="preserve">Proposed </w:t>
      </w:r>
      <w:r w:rsidR="00B8208D" w:rsidRPr="00BC6D7F">
        <w:rPr>
          <w:rFonts w:cs="Arial"/>
          <w:color w:val="231F20"/>
        </w:rPr>
        <w:t>Kororoit Creek Regional Park</w:t>
      </w:r>
    </w:p>
    <w:p w14:paraId="3D3BA485" w14:textId="3A928F95" w:rsidR="00B8208D" w:rsidRPr="00BC6D7F" w:rsidRDefault="000236F7" w:rsidP="00BC6D7F">
      <w:pPr>
        <w:pStyle w:val="ListParagraph"/>
        <w:numPr>
          <w:ilvl w:val="0"/>
          <w:numId w:val="33"/>
        </w:numPr>
        <w:rPr>
          <w:rFonts w:cs="Arial"/>
          <w:color w:val="231F20"/>
        </w:rPr>
      </w:pPr>
      <w:r w:rsidRPr="00BC6D7F">
        <w:rPr>
          <w:rFonts w:cs="Arial"/>
          <w:color w:val="231F20"/>
        </w:rPr>
        <w:t>Natur</w:t>
      </w:r>
      <w:r w:rsidR="00CD4005" w:rsidRPr="00BC6D7F">
        <w:rPr>
          <w:rFonts w:cs="Arial"/>
          <w:color w:val="231F20"/>
        </w:rPr>
        <w:t xml:space="preserve">e Conservation - </w:t>
      </w:r>
      <w:r w:rsidR="00B8208D" w:rsidRPr="00BC6D7F">
        <w:rPr>
          <w:rFonts w:cs="Arial"/>
          <w:color w:val="231F20"/>
        </w:rPr>
        <w:t xml:space="preserve">Conservation </w:t>
      </w:r>
      <w:r w:rsidR="00CD4005" w:rsidRPr="00BC6D7F">
        <w:rPr>
          <w:rFonts w:cs="Arial"/>
          <w:color w:val="231F20"/>
        </w:rPr>
        <w:t>A</w:t>
      </w:r>
      <w:r w:rsidR="00B8208D" w:rsidRPr="00BC6D7F">
        <w:rPr>
          <w:rFonts w:cs="Arial"/>
          <w:color w:val="231F20"/>
        </w:rPr>
        <w:t xml:space="preserve">reas 1 and 2 and Growling Grass Frog </w:t>
      </w:r>
      <w:r w:rsidR="004F510A" w:rsidRPr="00BC6D7F">
        <w:rPr>
          <w:rFonts w:cs="Arial"/>
          <w:color w:val="231F20"/>
        </w:rPr>
        <w:t>C</w:t>
      </w:r>
      <w:r w:rsidR="00B8208D" w:rsidRPr="00BC6D7F">
        <w:rPr>
          <w:rFonts w:cs="Arial"/>
          <w:color w:val="231F20"/>
        </w:rPr>
        <w:t xml:space="preserve">onservation </w:t>
      </w:r>
      <w:r w:rsidR="004F510A" w:rsidRPr="00BC6D7F">
        <w:rPr>
          <w:rFonts w:cs="Arial"/>
          <w:color w:val="231F20"/>
        </w:rPr>
        <w:t>A</w:t>
      </w:r>
      <w:r w:rsidR="00B8208D" w:rsidRPr="00BC6D7F">
        <w:rPr>
          <w:rFonts w:cs="Arial"/>
          <w:color w:val="231F20"/>
        </w:rPr>
        <w:t>rea</w:t>
      </w:r>
    </w:p>
    <w:p w14:paraId="34235902" w14:textId="77777777" w:rsidR="00B8208D" w:rsidRPr="00B8208D" w:rsidRDefault="00B8208D" w:rsidP="00BC6D7F">
      <w:pPr>
        <w:rPr>
          <w:rFonts w:cs="Arial"/>
          <w:color w:val="231F20"/>
        </w:rPr>
      </w:pPr>
      <w:r w:rsidRPr="00B8208D">
        <w:rPr>
          <w:rFonts w:cs="Arial"/>
          <w:color w:val="231F20"/>
        </w:rPr>
        <w:t>Environmental and topographical constraints generated by creek corridors and biodiversity conservation areas are most prominent in the Kororoit precinct.</w:t>
      </w:r>
    </w:p>
    <w:p w14:paraId="4B1A81A2" w14:textId="02EDB8E4" w:rsidR="002C4934" w:rsidRDefault="00AA1731" w:rsidP="00BC6D7F">
      <w:r w:rsidRPr="00AA1731">
        <w:t xml:space="preserve">The </w:t>
      </w:r>
      <w:r>
        <w:t>Plumpton and Kororoit</w:t>
      </w:r>
      <w:r w:rsidR="000E4BA5">
        <w:t xml:space="preserve"> area will have a significant</w:t>
      </w:r>
      <w:r w:rsidRPr="00AA1731">
        <w:t xml:space="preserve"> population to warrant a considerable quantity and </w:t>
      </w:r>
      <w:r w:rsidR="000E4BA5">
        <w:t>range</w:t>
      </w:r>
      <w:r w:rsidRPr="00AA1731">
        <w:t xml:space="preserve"> of community infr</w:t>
      </w:r>
      <w:r>
        <w:t>astructure</w:t>
      </w:r>
      <w:r w:rsidR="000E4BA5">
        <w:t xml:space="preserve"> from public and private, state, council and non-council </w:t>
      </w:r>
      <w:r w:rsidR="00951FEE">
        <w:t>facilities</w:t>
      </w:r>
      <w:r w:rsidR="000E4BA5">
        <w:t xml:space="preserve"> that will support services and programs for future residents</w:t>
      </w:r>
      <w:r>
        <w:t xml:space="preserve">. This infrastructure </w:t>
      </w:r>
      <w:r w:rsidRPr="00AA1731">
        <w:t xml:space="preserve">will include schools, </w:t>
      </w:r>
      <w:r w:rsidR="000E4BA5">
        <w:t xml:space="preserve">multi-purpose </w:t>
      </w:r>
      <w:r w:rsidRPr="00AA1731">
        <w:t>community centres,</w:t>
      </w:r>
      <w:r w:rsidR="000E4BA5">
        <w:t xml:space="preserve"> an indoor recreation facility</w:t>
      </w:r>
      <w:r w:rsidRPr="00AA1731">
        <w:t xml:space="preserve">, </w:t>
      </w:r>
      <w:r w:rsidR="000E4BA5">
        <w:t>an aquatics centre and a library</w:t>
      </w:r>
      <w:r w:rsidRPr="00AA1731">
        <w:t xml:space="preserve"> and may include</w:t>
      </w:r>
      <w:r w:rsidR="002C4934">
        <w:t xml:space="preserve"> </w:t>
      </w:r>
      <w:r w:rsidR="000E4BA5">
        <w:t>emergency services</w:t>
      </w:r>
      <w:r w:rsidRPr="00AA1731">
        <w:t xml:space="preserve"> and residential aged care services. Most of this</w:t>
      </w:r>
      <w:r w:rsidR="002C4934">
        <w:t xml:space="preserve"> infrastructure will be located </w:t>
      </w:r>
      <w:r w:rsidRPr="00AA1731">
        <w:t>wit</w:t>
      </w:r>
      <w:r w:rsidR="000E4BA5">
        <w:t xml:space="preserve">hin six </w:t>
      </w:r>
      <w:r w:rsidRPr="00AA1731">
        <w:t xml:space="preserve">main community hubs based around the proposed </w:t>
      </w:r>
      <w:r w:rsidR="002C4934">
        <w:t xml:space="preserve">town centres </w:t>
      </w:r>
      <w:r w:rsidR="004F510A">
        <w:t>and</w:t>
      </w:r>
      <w:r w:rsidR="000E4BA5">
        <w:t xml:space="preserve"> convenience centres</w:t>
      </w:r>
      <w:r w:rsidRPr="00AA1731">
        <w:t xml:space="preserve">. </w:t>
      </w:r>
    </w:p>
    <w:p w14:paraId="52EC10DF" w14:textId="028E42AC" w:rsidR="00B8208D" w:rsidRDefault="00B8208D" w:rsidP="00BC6D7F">
      <w:r>
        <w:t xml:space="preserve">Plumpton has </w:t>
      </w:r>
      <w:r w:rsidR="004F510A">
        <w:t xml:space="preserve">a project future need </w:t>
      </w:r>
      <w:r>
        <w:t>for three government primary schools and one secondary school. DET has advised that a P-12 school is could be better located within the Plumpton Major Town Centre community hub. DET has indicated the need for three government primary schools in Kororoit and one secondary</w:t>
      </w:r>
      <w:r w:rsidR="004F510A">
        <w:t xml:space="preserve"> school</w:t>
      </w:r>
      <w:r>
        <w:t xml:space="preserve">. </w:t>
      </w:r>
    </w:p>
    <w:p w14:paraId="45501FDD" w14:textId="5E50D7AF" w:rsidR="00F80B6D" w:rsidRDefault="00B8208D" w:rsidP="00BC6D7F">
      <w:r>
        <w:t xml:space="preserve">The Catholic Education Office of Melbourne (CEOM) </w:t>
      </w:r>
      <w:r w:rsidR="004F510A">
        <w:t>is likely to require</w:t>
      </w:r>
      <w:r w:rsidR="00F80B6D">
        <w:t xml:space="preserve"> two</w:t>
      </w:r>
      <w:r>
        <w:t xml:space="preserve"> primary school</w:t>
      </w:r>
      <w:r w:rsidR="00F80B6D">
        <w:t>s</w:t>
      </w:r>
      <w:r>
        <w:t xml:space="preserve"> and one second</w:t>
      </w:r>
      <w:r w:rsidR="00F80B6D">
        <w:t>ary</w:t>
      </w:r>
      <w:r>
        <w:t xml:space="preserve"> </w:t>
      </w:r>
      <w:r w:rsidR="00F80B6D">
        <w:t>school</w:t>
      </w:r>
      <w:r>
        <w:t xml:space="preserve">. The </w:t>
      </w:r>
      <w:r w:rsidR="00AA1731" w:rsidRPr="00AA1731">
        <w:t>strategic location of the school site</w:t>
      </w:r>
      <w:r w:rsidR="004F510A">
        <w:t>s</w:t>
      </w:r>
      <w:r w:rsidR="00AA1731" w:rsidRPr="00AA1731">
        <w:t xml:space="preserve"> is part of their wider future schools mapping</w:t>
      </w:r>
      <w:r w:rsidR="00DB1A52">
        <w:rPr>
          <w:b/>
          <w:sz w:val="28"/>
          <w:szCs w:val="28"/>
        </w:rPr>
        <w:t xml:space="preserve"> </w:t>
      </w:r>
      <w:r w:rsidR="00AA1731" w:rsidRPr="00AA1731">
        <w:t xml:space="preserve">for the western growth areas. The </w:t>
      </w:r>
      <w:r w:rsidR="00AA1731" w:rsidRPr="00AA1731">
        <w:rPr>
          <w:rFonts w:cs="Calibri,Italic"/>
          <w:i/>
          <w:iCs/>
        </w:rPr>
        <w:t xml:space="preserve">Catholic Schools in Context </w:t>
      </w:r>
      <w:r w:rsidR="00AA1731" w:rsidRPr="00AA1731">
        <w:t>brochure (July 2013) illustrates the strategic</w:t>
      </w:r>
      <w:r w:rsidR="002C4934" w:rsidRPr="00694DD3">
        <w:rPr>
          <w:b/>
          <w:sz w:val="28"/>
          <w:szCs w:val="28"/>
        </w:rPr>
        <w:t xml:space="preserve"> </w:t>
      </w:r>
      <w:r w:rsidR="00AA1731" w:rsidRPr="00AA1731">
        <w:t>justification for providing a Catholic secondary school in the area. The need for future Catholic schools is</w:t>
      </w:r>
      <w:r w:rsidR="004F510A" w:rsidRPr="00694DD3">
        <w:rPr>
          <w:b/>
          <w:sz w:val="28"/>
          <w:szCs w:val="28"/>
        </w:rPr>
        <w:t xml:space="preserve"> </w:t>
      </w:r>
      <w:r w:rsidR="00AA1731" w:rsidRPr="00AA1731">
        <w:t xml:space="preserve">established </w:t>
      </w:r>
      <w:r w:rsidR="004F510A">
        <w:t>through</w:t>
      </w:r>
      <w:r w:rsidR="00AA1731" w:rsidRPr="00AA1731">
        <w:t xml:space="preserve"> forecast</w:t>
      </w:r>
      <w:r w:rsidR="004F510A">
        <w:t>s of</w:t>
      </w:r>
      <w:r w:rsidR="00AA1731" w:rsidRPr="00AA1731">
        <w:t xml:space="preserve"> future enrolments utilising sources such as Australian Bureau </w:t>
      </w:r>
      <w:r w:rsidR="00AA1731" w:rsidRPr="00F80B6D">
        <w:t>of</w:t>
      </w:r>
      <w:r w:rsidR="00F80B6D" w:rsidRPr="00F80B6D">
        <w:rPr>
          <w:b/>
          <w:sz w:val="28"/>
          <w:szCs w:val="28"/>
        </w:rPr>
        <w:t xml:space="preserve"> </w:t>
      </w:r>
      <w:r w:rsidR="00AA1731" w:rsidRPr="00F80B6D">
        <w:t>Statistics</w:t>
      </w:r>
      <w:r w:rsidR="00AA1731" w:rsidRPr="00AA1731">
        <w:t xml:space="preserve"> census data. </w:t>
      </w:r>
      <w:r w:rsidR="004F510A">
        <w:t xml:space="preserve">CEOM preference is for </w:t>
      </w:r>
      <w:r w:rsidR="00AA1731" w:rsidRPr="00AA1731">
        <w:t>school</w:t>
      </w:r>
      <w:r w:rsidR="004F510A">
        <w:t>s</w:t>
      </w:r>
      <w:r w:rsidR="00AA1731" w:rsidRPr="00AA1731">
        <w:t xml:space="preserve"> to be located within close proximity to </w:t>
      </w:r>
      <w:r>
        <w:t>community centres and sports reserves.</w:t>
      </w:r>
    </w:p>
    <w:p w14:paraId="5D55ECF7" w14:textId="0BF00A83" w:rsidR="004E18F3" w:rsidRDefault="004E18F3" w:rsidP="00BC6D7F">
      <w:r>
        <w:t>The future population also triggered the need for a non-government primary school above the provision of the Catholic Education Office. Consultation was undertaking with other non-government providers however no commitment has been made at this point in time.</w:t>
      </w:r>
    </w:p>
    <w:p w14:paraId="2DE34DDC" w14:textId="14619F55" w:rsidR="00830FA0" w:rsidRDefault="004F510A" w:rsidP="00BC6D7F">
      <w:r>
        <w:lastRenderedPageBreak/>
        <w:t xml:space="preserve">The Capire report identified </w:t>
      </w:r>
      <w:r w:rsidR="00062779">
        <w:t>the need for six multi-pur</w:t>
      </w:r>
      <w:r w:rsidR="00D800BE">
        <w:t>po</w:t>
      </w:r>
      <w:r w:rsidR="00062779">
        <w:t>se community centres</w:t>
      </w:r>
      <w:r w:rsidR="00D800BE">
        <w:t>, ranging</w:t>
      </w:r>
      <w:r w:rsidR="00062779">
        <w:t xml:space="preserve"> from Level 1 to Level 2 </w:t>
      </w:r>
      <w:r w:rsidR="00951FEE">
        <w:t>facilities</w:t>
      </w:r>
      <w:r w:rsidR="00D800BE">
        <w:t>,</w:t>
      </w:r>
      <w:r w:rsidR="00062779">
        <w:t xml:space="preserve"> to meed the future needs of the community. </w:t>
      </w:r>
      <w:r w:rsidR="00D800BE">
        <w:t>Higher order Council facilities</w:t>
      </w:r>
      <w:r w:rsidR="00125868">
        <w:t xml:space="preserve"> including a</w:t>
      </w:r>
      <w:r w:rsidR="00D800BE">
        <w:t xml:space="preserve"> </w:t>
      </w:r>
      <w:r w:rsidR="00D800BE" w:rsidRPr="00D936F3">
        <w:t>library</w:t>
      </w:r>
      <w:r w:rsidR="00125868">
        <w:t xml:space="preserve"> and a </w:t>
      </w:r>
      <w:r w:rsidR="00A84CAF">
        <w:t xml:space="preserve">youth/senior facility are planned for within the </w:t>
      </w:r>
      <w:r>
        <w:t>M</w:t>
      </w:r>
      <w:r w:rsidR="00A84CAF">
        <w:t xml:space="preserve">ajor </w:t>
      </w:r>
      <w:r>
        <w:t>T</w:t>
      </w:r>
      <w:r w:rsidR="00A84CAF">
        <w:t xml:space="preserve">own </w:t>
      </w:r>
      <w:r>
        <w:t>C</w:t>
      </w:r>
      <w:r w:rsidR="00A84CAF">
        <w:t>entre</w:t>
      </w:r>
      <w:r w:rsidR="00C7664B">
        <w:t>, which</w:t>
      </w:r>
      <w:r w:rsidR="00A84CAF">
        <w:t xml:space="preserve"> will compl</w:t>
      </w:r>
      <w:r>
        <w:t>e</w:t>
      </w:r>
      <w:r w:rsidR="00A84CAF">
        <w:t xml:space="preserve">ment </w:t>
      </w:r>
      <w:r w:rsidR="00125868" w:rsidRPr="00D936F3">
        <w:t>the retail and comm</w:t>
      </w:r>
      <w:r w:rsidR="00517112">
        <w:t>ercial uses within</w:t>
      </w:r>
      <w:r w:rsidR="00125868" w:rsidRPr="00D936F3">
        <w:t xml:space="preserve"> the </w:t>
      </w:r>
      <w:r>
        <w:t>Major Town Centre</w:t>
      </w:r>
      <w:r w:rsidR="00D25B20">
        <w:t>.</w:t>
      </w:r>
      <w:r w:rsidR="003F17A2">
        <w:t xml:space="preserve"> </w:t>
      </w:r>
    </w:p>
    <w:p w14:paraId="694843E5" w14:textId="77E3FE66" w:rsidR="003F17A2" w:rsidRDefault="003F17A2" w:rsidP="00BC6D7F">
      <w:r>
        <w:t xml:space="preserve">The residential areas of Plumpton and Kororoit will be zoned Residential Growth Zone. This zone encourages greater residential densities. The two plans also identify areas for medium and high residential densities which has increased both the population and lot yields for the two precincts. As a result the revised population projections require the provision of an additional Level 1 community centre. This community centre has been located within the Plumpton North Community Hub adjacent to the six hectare sports reserves and nearby the proposed Catholic Secondary School. </w:t>
      </w:r>
    </w:p>
    <w:p w14:paraId="64DD3C4D" w14:textId="19A91AB9" w:rsidR="00917A97" w:rsidRDefault="00787863" w:rsidP="00BC6D7F">
      <w:r>
        <w:t>A</w:t>
      </w:r>
      <w:r w:rsidR="00951FEE">
        <w:t xml:space="preserve"> </w:t>
      </w:r>
      <w:r w:rsidR="005F768E">
        <w:t xml:space="preserve">future </w:t>
      </w:r>
      <w:r w:rsidR="00951FEE">
        <w:t>district size</w:t>
      </w:r>
      <w:r w:rsidR="00062779">
        <w:t xml:space="preserve"> aquatics centre </w:t>
      </w:r>
      <w:r w:rsidR="00183A0E">
        <w:t>in Plumpton</w:t>
      </w:r>
      <w:r w:rsidR="00951FEE">
        <w:t xml:space="preserve"> </w:t>
      </w:r>
      <w:r>
        <w:t xml:space="preserve">is required, </w:t>
      </w:r>
      <w:r w:rsidR="00951FEE">
        <w:t xml:space="preserve">based on the population </w:t>
      </w:r>
      <w:r w:rsidR="00D800BE">
        <w:t>projections for th</w:t>
      </w:r>
      <w:r w:rsidR="00951FEE">
        <w:t>e two precincts. Th</w:t>
      </w:r>
      <w:r w:rsidR="00183A0E">
        <w:t xml:space="preserve">e proposed location on Beattys Road, near the MTC and </w:t>
      </w:r>
      <w:r w:rsidR="001E52CE">
        <w:t xml:space="preserve">as part of </w:t>
      </w:r>
      <w:r w:rsidR="00183A0E">
        <w:t>the Plumpton MTC community hub,</w:t>
      </w:r>
      <w:r w:rsidR="00951FEE">
        <w:t xml:space="preserve"> will </w:t>
      </w:r>
      <w:r w:rsidR="001E52CE">
        <w:t xml:space="preserve">encourage visitation and </w:t>
      </w:r>
      <w:r w:rsidR="00951FEE">
        <w:t xml:space="preserve">ensure high </w:t>
      </w:r>
      <w:r w:rsidR="005F768E">
        <w:t>visibility</w:t>
      </w:r>
      <w:r w:rsidR="001E52CE">
        <w:t xml:space="preserve"> along the Beattys Road linear reserve, good </w:t>
      </w:r>
      <w:r w:rsidR="00951FEE">
        <w:t>access to public transport</w:t>
      </w:r>
      <w:r w:rsidR="001E52CE">
        <w:t xml:space="preserve"> along two connector streets, and </w:t>
      </w:r>
      <w:r w:rsidR="005F768E">
        <w:t>capacity</w:t>
      </w:r>
      <w:r w:rsidR="00951FEE">
        <w:t xml:space="preserve"> for future expansion</w:t>
      </w:r>
      <w:r w:rsidR="001E52CE">
        <w:t xml:space="preserve">. The location has a sizeable immediate residential catchment, offers opportunities </w:t>
      </w:r>
      <w:r w:rsidR="005F768E">
        <w:t xml:space="preserve">to </w:t>
      </w:r>
      <w:r w:rsidR="00D800BE">
        <w:t>collocate with other sporting and recreation facilities</w:t>
      </w:r>
      <w:r w:rsidR="001E52CE">
        <w:t xml:space="preserve"> and is</w:t>
      </w:r>
      <w:r w:rsidR="00D800BE">
        <w:t xml:space="preserve"> </w:t>
      </w:r>
      <w:r w:rsidR="001E52CE">
        <w:t>close</w:t>
      </w:r>
      <w:r w:rsidR="00D800BE">
        <w:t xml:space="preserve"> to a planned </w:t>
      </w:r>
      <w:r w:rsidR="001E52CE">
        <w:t xml:space="preserve">P-12 </w:t>
      </w:r>
      <w:r w:rsidR="00D800BE">
        <w:t xml:space="preserve">school </w:t>
      </w:r>
      <w:r w:rsidR="001E52CE">
        <w:t xml:space="preserve">as well as a </w:t>
      </w:r>
      <w:r w:rsidR="00D800BE">
        <w:t>community facility</w:t>
      </w:r>
      <w:r w:rsidR="001E52CE">
        <w:t xml:space="preserve">. </w:t>
      </w:r>
    </w:p>
    <w:p w14:paraId="1DE11232" w14:textId="77777777" w:rsidR="00917A97" w:rsidRDefault="00917A97">
      <w:pPr>
        <w:rPr>
          <w:rFonts w:cs="Calibri"/>
        </w:rPr>
      </w:pPr>
      <w:r>
        <w:rPr>
          <w:rFonts w:cs="Calibri"/>
        </w:rPr>
        <w:br w:type="page"/>
      </w:r>
    </w:p>
    <w:p w14:paraId="25CCCE0D" w14:textId="32DCC590" w:rsidR="008C3BC5" w:rsidRPr="00BC6D7F" w:rsidRDefault="008C3BC5" w:rsidP="00BC6D7F">
      <w:pPr>
        <w:pStyle w:val="Heading1"/>
        <w:numPr>
          <w:ilvl w:val="0"/>
          <w:numId w:val="23"/>
        </w:numPr>
        <w:rPr>
          <w:b/>
        </w:rPr>
      </w:pPr>
      <w:r w:rsidRPr="00BC6D7F">
        <w:rPr>
          <w:b/>
        </w:rPr>
        <w:lastRenderedPageBreak/>
        <w:t>Emergency Services</w:t>
      </w:r>
    </w:p>
    <w:p w14:paraId="66E11357" w14:textId="76ECC1F9" w:rsidR="00D727F6" w:rsidRDefault="008C3BC5" w:rsidP="00D727F6">
      <w:pPr>
        <w:jc w:val="both"/>
        <w:rPr>
          <w:lang w:val="en-US"/>
        </w:rPr>
      </w:pPr>
      <w:r w:rsidRPr="00E42AF5">
        <w:rPr>
          <w:i/>
          <w:lang w:val="en-US"/>
        </w:rPr>
        <w:t xml:space="preserve">Planning for Community Infrastructure in Growth Area Communities </w:t>
      </w:r>
      <w:r w:rsidRPr="00E42AF5">
        <w:rPr>
          <w:lang w:val="en-US"/>
        </w:rPr>
        <w:t xml:space="preserve">makes a series of recommendations regarding the recommended service facility model, land area and building footprint requirements for </w:t>
      </w:r>
      <w:r w:rsidR="00D202D2">
        <w:rPr>
          <w:lang w:val="en-US"/>
        </w:rPr>
        <w:t xml:space="preserve">emergency services facilities in </w:t>
      </w:r>
      <w:r w:rsidRPr="00E42AF5">
        <w:rPr>
          <w:lang w:val="en-US"/>
        </w:rPr>
        <w:t>growth areas, and key design issues / criteria, as follows (p115):</w:t>
      </w:r>
    </w:p>
    <w:p w14:paraId="30A021D4" w14:textId="19F30AF5" w:rsidR="00D727F6" w:rsidRDefault="008C3BC5" w:rsidP="00D727F6">
      <w:pPr>
        <w:jc w:val="both"/>
        <w:rPr>
          <w:lang w:val="en-US"/>
        </w:rPr>
      </w:pPr>
      <w:r w:rsidRPr="00D727F6">
        <w:rPr>
          <w:lang w:val="en-US"/>
        </w:rPr>
        <w:t xml:space="preserve">Recommended service </w:t>
      </w:r>
      <w:r w:rsidR="00D727F6">
        <w:rPr>
          <w:lang w:val="en-US"/>
        </w:rPr>
        <w:t>facility model for growth areas:</w:t>
      </w:r>
    </w:p>
    <w:p w14:paraId="6EF2AF51" w14:textId="77777777" w:rsidR="00D727F6" w:rsidRDefault="008C3BC5" w:rsidP="00187D4E">
      <w:pPr>
        <w:pStyle w:val="ListParagraph"/>
        <w:numPr>
          <w:ilvl w:val="0"/>
          <w:numId w:val="16"/>
        </w:numPr>
        <w:jc w:val="both"/>
        <w:rPr>
          <w:lang w:val="en-US"/>
        </w:rPr>
      </w:pPr>
      <w:r w:rsidRPr="00D727F6">
        <w:rPr>
          <w:lang w:val="en-US"/>
        </w:rPr>
        <w:t>Additional population growth in Melbourne’s growth areas will generate the need for additional emergency services facilities.</w:t>
      </w:r>
    </w:p>
    <w:p w14:paraId="2A9DD673" w14:textId="41A6CED1" w:rsidR="00D727F6" w:rsidRDefault="008C3BC5" w:rsidP="00187D4E">
      <w:pPr>
        <w:pStyle w:val="ListParagraph"/>
        <w:numPr>
          <w:ilvl w:val="0"/>
          <w:numId w:val="16"/>
        </w:numPr>
        <w:jc w:val="both"/>
        <w:rPr>
          <w:lang w:val="en-US"/>
        </w:rPr>
      </w:pPr>
      <w:r w:rsidRPr="00D727F6">
        <w:rPr>
          <w:lang w:val="en-US"/>
        </w:rPr>
        <w:t>The number and type of facilities, timing of development and location will be determined by planning process undertaken by the relevant services.</w:t>
      </w:r>
    </w:p>
    <w:p w14:paraId="18455007" w14:textId="3759006B" w:rsidR="00D727F6" w:rsidRDefault="008C3BC5" w:rsidP="00187D4E">
      <w:pPr>
        <w:pStyle w:val="ListParagraph"/>
        <w:numPr>
          <w:ilvl w:val="0"/>
          <w:numId w:val="16"/>
        </w:numPr>
        <w:jc w:val="both"/>
        <w:rPr>
          <w:lang w:val="en-US"/>
        </w:rPr>
      </w:pPr>
      <w:r w:rsidRPr="00D727F6">
        <w:rPr>
          <w:lang w:val="en-US"/>
        </w:rPr>
        <w:t xml:space="preserve">The preferred facility model is </w:t>
      </w:r>
      <w:r w:rsidR="00D202D2">
        <w:rPr>
          <w:lang w:val="en-US"/>
        </w:rPr>
        <w:t>often an</w:t>
      </w:r>
      <w:r w:rsidR="00D202D2" w:rsidRPr="00D727F6">
        <w:rPr>
          <w:lang w:val="en-US"/>
        </w:rPr>
        <w:t xml:space="preserve"> </w:t>
      </w:r>
      <w:r w:rsidRPr="00D727F6">
        <w:rPr>
          <w:lang w:val="en-US"/>
        </w:rPr>
        <w:t>integrated emergency services precinct comprising a police station, ambulance station, SES unit and/or fire station.</w:t>
      </w:r>
    </w:p>
    <w:p w14:paraId="7699E603" w14:textId="1BF8188C" w:rsidR="00D727F6" w:rsidRDefault="008C3BC5" w:rsidP="00D727F6">
      <w:pPr>
        <w:jc w:val="both"/>
        <w:rPr>
          <w:lang w:val="en-US"/>
        </w:rPr>
      </w:pPr>
      <w:r w:rsidRPr="00D727F6">
        <w:rPr>
          <w:lang w:val="en-US"/>
        </w:rPr>
        <w:t>Land area and building footprint requirements for growth areas</w:t>
      </w:r>
      <w:r w:rsidR="00D727F6">
        <w:rPr>
          <w:lang w:val="en-US"/>
        </w:rPr>
        <w:t>:</w:t>
      </w:r>
    </w:p>
    <w:p w14:paraId="679D1826" w14:textId="5E6F43FE" w:rsidR="00D727F6" w:rsidRDefault="008C3BC5" w:rsidP="00187D4E">
      <w:pPr>
        <w:pStyle w:val="ListParagraph"/>
        <w:numPr>
          <w:ilvl w:val="0"/>
          <w:numId w:val="17"/>
        </w:numPr>
        <w:jc w:val="both"/>
        <w:rPr>
          <w:lang w:val="en-US"/>
        </w:rPr>
      </w:pPr>
      <w:r w:rsidRPr="00D727F6">
        <w:rPr>
          <w:lang w:val="en-US"/>
        </w:rPr>
        <w:t>P</w:t>
      </w:r>
      <w:r w:rsidR="00D727F6" w:rsidRPr="00D727F6">
        <w:rPr>
          <w:lang w:val="en-US"/>
        </w:rPr>
        <w:t>olice</w:t>
      </w:r>
      <w:r w:rsidR="003D0A8D">
        <w:rPr>
          <w:lang w:val="en-US"/>
        </w:rPr>
        <w:t xml:space="preserve"> –</w:t>
      </w:r>
      <w:r w:rsidR="00D727F6" w:rsidRPr="00D727F6">
        <w:rPr>
          <w:lang w:val="en-US"/>
        </w:rPr>
        <w:t xml:space="preserve"> 0.4 ha to 0.6 ha</w:t>
      </w:r>
    </w:p>
    <w:p w14:paraId="1700F1B4" w14:textId="77777777" w:rsidR="00D727F6" w:rsidRDefault="008C3BC5" w:rsidP="00187D4E">
      <w:pPr>
        <w:pStyle w:val="ListParagraph"/>
        <w:numPr>
          <w:ilvl w:val="0"/>
          <w:numId w:val="17"/>
        </w:numPr>
        <w:jc w:val="both"/>
        <w:rPr>
          <w:lang w:val="en-US"/>
        </w:rPr>
      </w:pPr>
      <w:r w:rsidRPr="00D727F6">
        <w:rPr>
          <w:lang w:val="en-US"/>
        </w:rPr>
        <w:t>Fire and SES – 0.4 ha</w:t>
      </w:r>
    </w:p>
    <w:p w14:paraId="1B043D68" w14:textId="77777777" w:rsidR="00D727F6" w:rsidRDefault="008C3BC5" w:rsidP="00187D4E">
      <w:pPr>
        <w:pStyle w:val="ListParagraph"/>
        <w:numPr>
          <w:ilvl w:val="0"/>
          <w:numId w:val="17"/>
        </w:numPr>
        <w:jc w:val="both"/>
        <w:rPr>
          <w:lang w:val="en-US"/>
        </w:rPr>
      </w:pPr>
      <w:r w:rsidRPr="00D727F6">
        <w:rPr>
          <w:lang w:val="en-US"/>
        </w:rPr>
        <w:t>Ambulance – 0.4 ha</w:t>
      </w:r>
    </w:p>
    <w:p w14:paraId="5AA25B71" w14:textId="77777777" w:rsidR="00D727F6" w:rsidRDefault="008C3BC5" w:rsidP="00187D4E">
      <w:pPr>
        <w:pStyle w:val="ListParagraph"/>
        <w:numPr>
          <w:ilvl w:val="0"/>
          <w:numId w:val="17"/>
        </w:numPr>
        <w:jc w:val="both"/>
        <w:rPr>
          <w:lang w:val="en-US"/>
        </w:rPr>
      </w:pPr>
      <w:r w:rsidRPr="00D727F6">
        <w:rPr>
          <w:lang w:val="en-US"/>
        </w:rPr>
        <w:t>SES Unit – 0.35 ha</w:t>
      </w:r>
    </w:p>
    <w:p w14:paraId="3E81F7D7" w14:textId="17D26789" w:rsidR="008C3BC5" w:rsidRPr="00D727F6" w:rsidRDefault="008C3BC5" w:rsidP="00D727F6">
      <w:pPr>
        <w:jc w:val="both"/>
        <w:rPr>
          <w:lang w:val="en-US"/>
        </w:rPr>
      </w:pPr>
      <w:r w:rsidRPr="00D727F6">
        <w:rPr>
          <w:lang w:val="en-US"/>
        </w:rPr>
        <w:t>Key design issues / criteria</w:t>
      </w:r>
      <w:r w:rsidR="00D727F6">
        <w:rPr>
          <w:lang w:val="en-US"/>
        </w:rPr>
        <w:t>:</w:t>
      </w:r>
    </w:p>
    <w:p w14:paraId="6462C299" w14:textId="77777777" w:rsidR="00D727F6" w:rsidRDefault="008C3BC5" w:rsidP="00187D4E">
      <w:pPr>
        <w:numPr>
          <w:ilvl w:val="0"/>
          <w:numId w:val="15"/>
        </w:numPr>
        <w:tabs>
          <w:tab w:val="left" w:pos="567"/>
        </w:tabs>
        <w:spacing w:after="0" w:line="240" w:lineRule="auto"/>
        <w:ind w:left="567" w:right="558" w:hanging="284"/>
        <w:jc w:val="both"/>
        <w:rPr>
          <w:lang w:val="en-US"/>
        </w:rPr>
      </w:pPr>
      <w:r w:rsidRPr="00E42AF5">
        <w:rPr>
          <w:lang w:val="en-US"/>
        </w:rPr>
        <w:t>The integrated emergency services precinct should have main road frontage, be easily accessible and be located so that it can achieve good emergency response times.</w:t>
      </w:r>
    </w:p>
    <w:p w14:paraId="41A0E46E" w14:textId="77777777" w:rsidR="00D727F6" w:rsidRDefault="00D727F6" w:rsidP="00D727F6">
      <w:pPr>
        <w:tabs>
          <w:tab w:val="left" w:pos="567"/>
        </w:tabs>
        <w:spacing w:after="0" w:line="240" w:lineRule="auto"/>
        <w:ind w:right="558"/>
        <w:jc w:val="both"/>
        <w:rPr>
          <w:lang w:val="en-US"/>
        </w:rPr>
      </w:pPr>
    </w:p>
    <w:p w14:paraId="43C3D3D5" w14:textId="2B169402" w:rsidR="00917A97" w:rsidRDefault="003E0A9C" w:rsidP="00935393">
      <w:pPr>
        <w:tabs>
          <w:tab w:val="left" w:pos="567"/>
        </w:tabs>
        <w:spacing w:after="0" w:line="240" w:lineRule="auto"/>
        <w:ind w:right="558"/>
        <w:jc w:val="both"/>
        <w:rPr>
          <w:rFonts w:cs="Calibri"/>
        </w:rPr>
      </w:pPr>
      <w:r w:rsidRPr="00D727F6">
        <w:rPr>
          <w:rFonts w:cs="Calibri"/>
        </w:rPr>
        <w:t>No particular facilities have been identified by the emergency services consulted during the PSP process, but these are likely to be identified as the areas start to develop.</w:t>
      </w:r>
    </w:p>
    <w:p w14:paraId="1C38DFC8" w14:textId="77777777" w:rsidR="00917A97" w:rsidRDefault="00917A97">
      <w:pPr>
        <w:rPr>
          <w:rFonts w:cs="Calibri"/>
        </w:rPr>
      </w:pPr>
      <w:r>
        <w:rPr>
          <w:rFonts w:cs="Calibri"/>
        </w:rPr>
        <w:br w:type="page"/>
      </w:r>
    </w:p>
    <w:p w14:paraId="70B3C612" w14:textId="18305DD2" w:rsidR="00292FF2" w:rsidRPr="00312833" w:rsidRDefault="0032418A" w:rsidP="00312833">
      <w:pPr>
        <w:pStyle w:val="Heading1"/>
        <w:numPr>
          <w:ilvl w:val="0"/>
          <w:numId w:val="23"/>
        </w:numPr>
        <w:rPr>
          <w:rFonts w:cs="Calibri"/>
          <w:b/>
          <w:sz w:val="24"/>
        </w:rPr>
      </w:pPr>
      <w:r w:rsidRPr="00312833">
        <w:rPr>
          <w:b/>
        </w:rPr>
        <w:lastRenderedPageBreak/>
        <w:t xml:space="preserve">Open </w:t>
      </w:r>
      <w:r w:rsidR="001A0DBF" w:rsidRPr="00312833">
        <w:rPr>
          <w:b/>
        </w:rPr>
        <w:t>S</w:t>
      </w:r>
      <w:r w:rsidRPr="00312833">
        <w:rPr>
          <w:b/>
        </w:rPr>
        <w:t>pace</w:t>
      </w:r>
      <w:r w:rsidR="00312833">
        <w:rPr>
          <w:b/>
        </w:rPr>
        <w:t xml:space="preserve"> </w:t>
      </w:r>
    </w:p>
    <w:p w14:paraId="3BC2883E" w14:textId="38E6B74C" w:rsidR="00F80B6D" w:rsidRPr="00312833" w:rsidRDefault="00312833" w:rsidP="00312833">
      <w:pPr>
        <w:pStyle w:val="Heading2"/>
        <w:numPr>
          <w:ilvl w:val="1"/>
          <w:numId w:val="35"/>
        </w:numPr>
      </w:pPr>
      <w:r>
        <w:t xml:space="preserve"> </w:t>
      </w:r>
      <w:r w:rsidR="00A409E0" w:rsidRPr="00312833">
        <w:t>Sports Reserves</w:t>
      </w:r>
    </w:p>
    <w:p w14:paraId="6A8A5CA3" w14:textId="2214726B" w:rsidR="00A409E0" w:rsidRPr="00935393" w:rsidRDefault="00AA1731" w:rsidP="00AA1731">
      <w:pPr>
        <w:rPr>
          <w:rFonts w:ascii="Calibri" w:hAnsi="Calibri" w:cs="Calibri"/>
        </w:rPr>
      </w:pPr>
      <w:r w:rsidRPr="00F80B6D">
        <w:rPr>
          <w:rFonts w:ascii="Calibri" w:hAnsi="Calibri" w:cs="Calibri"/>
        </w:rPr>
        <w:t xml:space="preserve">All proposed </w:t>
      </w:r>
      <w:r w:rsidR="007143C3" w:rsidRPr="00F80B6D">
        <w:rPr>
          <w:rFonts w:ascii="Calibri" w:hAnsi="Calibri" w:cs="Calibri"/>
        </w:rPr>
        <w:t>sport</w:t>
      </w:r>
      <w:r w:rsidR="007143C3">
        <w:rPr>
          <w:rFonts w:ascii="Calibri" w:hAnsi="Calibri" w:cs="Calibri"/>
        </w:rPr>
        <w:t>s</w:t>
      </w:r>
      <w:r w:rsidR="007143C3" w:rsidRPr="00F80B6D">
        <w:rPr>
          <w:rFonts w:ascii="Calibri" w:hAnsi="Calibri" w:cs="Calibri"/>
        </w:rPr>
        <w:t xml:space="preserve"> </w:t>
      </w:r>
      <w:r w:rsidRPr="00F80B6D">
        <w:rPr>
          <w:rFonts w:ascii="Calibri" w:hAnsi="Calibri" w:cs="Calibri"/>
        </w:rPr>
        <w:t>reserves are to be provided adjacent to the government educatio</w:t>
      </w:r>
      <w:r w:rsidR="00F80B6D" w:rsidRPr="00F80B6D">
        <w:rPr>
          <w:rFonts w:ascii="Calibri" w:hAnsi="Calibri" w:cs="Calibri"/>
        </w:rPr>
        <w:t>n facilities</w:t>
      </w:r>
      <w:r w:rsidR="007143C3">
        <w:rPr>
          <w:rFonts w:ascii="Calibri" w:hAnsi="Calibri" w:cs="Calibri"/>
        </w:rPr>
        <w:t>, to protect the option for joint use of these sports reserves</w:t>
      </w:r>
      <w:r w:rsidR="00B07A25">
        <w:rPr>
          <w:rFonts w:ascii="Calibri" w:hAnsi="Calibri" w:cs="Calibri"/>
        </w:rPr>
        <w:t xml:space="preserve"> in future</w:t>
      </w:r>
      <w:r w:rsidRPr="00F80B6D">
        <w:rPr>
          <w:rFonts w:ascii="Calibri" w:hAnsi="Calibri" w:cs="Calibri"/>
        </w:rPr>
        <w:t xml:space="preserve">. The sports reserves </w:t>
      </w:r>
      <w:r w:rsidR="00B07A25">
        <w:rPr>
          <w:rFonts w:ascii="Calibri" w:hAnsi="Calibri" w:cs="Calibri"/>
        </w:rPr>
        <w:t xml:space="preserve">will include grassed and hard courts and </w:t>
      </w:r>
      <w:r w:rsidRPr="00F80B6D">
        <w:rPr>
          <w:rFonts w:ascii="Calibri" w:hAnsi="Calibri" w:cs="Calibri"/>
        </w:rPr>
        <w:t xml:space="preserve">will take various configurations to cater for sports </w:t>
      </w:r>
      <w:r w:rsidR="00B07A25">
        <w:rPr>
          <w:rFonts w:ascii="Calibri" w:hAnsi="Calibri" w:cs="Calibri"/>
        </w:rPr>
        <w:t xml:space="preserve">which currently have high participation rates </w:t>
      </w:r>
      <w:r w:rsidRPr="00F80B6D">
        <w:rPr>
          <w:rFonts w:ascii="Calibri" w:hAnsi="Calibri" w:cs="Calibri"/>
        </w:rPr>
        <w:t>such as</w:t>
      </w:r>
      <w:r w:rsidR="00F80B6D" w:rsidRPr="00F80B6D">
        <w:rPr>
          <w:b/>
        </w:rPr>
        <w:t xml:space="preserve"> </w:t>
      </w:r>
      <w:r w:rsidRPr="00F80B6D">
        <w:rPr>
          <w:rFonts w:ascii="Calibri" w:hAnsi="Calibri" w:cs="Calibri"/>
        </w:rPr>
        <w:t>Australian Rules football, soccer</w:t>
      </w:r>
      <w:r w:rsidR="00B07A25">
        <w:rPr>
          <w:rFonts w:ascii="Calibri" w:hAnsi="Calibri" w:cs="Calibri"/>
        </w:rPr>
        <w:t xml:space="preserve">, </w:t>
      </w:r>
      <w:r w:rsidRPr="00F80B6D">
        <w:rPr>
          <w:rFonts w:ascii="Calibri" w:hAnsi="Calibri" w:cs="Calibri"/>
        </w:rPr>
        <w:t>cricket</w:t>
      </w:r>
      <w:r w:rsidR="00B07A25">
        <w:rPr>
          <w:rFonts w:ascii="Calibri" w:hAnsi="Calibri" w:cs="Calibri"/>
        </w:rPr>
        <w:t xml:space="preserve">, </w:t>
      </w:r>
      <w:r w:rsidR="00A2524C">
        <w:rPr>
          <w:rFonts w:ascii="Calibri" w:hAnsi="Calibri" w:cs="Calibri"/>
        </w:rPr>
        <w:t>netball and basketball.</w:t>
      </w:r>
      <w:r w:rsidR="00B07A25">
        <w:rPr>
          <w:rFonts w:ascii="Calibri" w:hAnsi="Calibri" w:cs="Calibri"/>
        </w:rPr>
        <w:t xml:space="preserve"> However, they will be flexible enough to cater for a range of sports which may become more popular in future.</w:t>
      </w:r>
      <w:r w:rsidR="00A2524C">
        <w:rPr>
          <w:rFonts w:ascii="Calibri" w:hAnsi="Calibri" w:cs="Calibri"/>
        </w:rPr>
        <w:t xml:space="preserve"> T</w:t>
      </w:r>
      <w:r w:rsidRPr="00F80B6D">
        <w:rPr>
          <w:rFonts w:ascii="Calibri" w:hAnsi="Calibri" w:cs="Calibri"/>
        </w:rPr>
        <w:t>ennis</w:t>
      </w:r>
      <w:r w:rsidR="00A2524C">
        <w:rPr>
          <w:rFonts w:ascii="Calibri" w:hAnsi="Calibri" w:cs="Calibri"/>
        </w:rPr>
        <w:t xml:space="preserve"> facilities will </w:t>
      </w:r>
      <w:r w:rsidR="00B07A25" w:rsidRPr="00B07A25">
        <w:rPr>
          <w:rFonts w:ascii="Calibri" w:hAnsi="Calibri" w:cs="Calibri"/>
        </w:rPr>
        <w:t xml:space="preserve">also </w:t>
      </w:r>
      <w:r w:rsidR="00A2524C" w:rsidRPr="00B07A25">
        <w:rPr>
          <w:rFonts w:ascii="Calibri" w:hAnsi="Calibri" w:cs="Calibri"/>
        </w:rPr>
        <w:t>be provided as part of designated sports reserves</w:t>
      </w:r>
      <w:r w:rsidR="00B07A25" w:rsidRPr="00B07A25">
        <w:rPr>
          <w:rFonts w:ascii="Calibri" w:hAnsi="Calibri" w:cs="Calibri"/>
        </w:rPr>
        <w:t>. The specific type of</w:t>
      </w:r>
      <w:r w:rsidR="00B07A25">
        <w:rPr>
          <w:rFonts w:ascii="Calibri" w:hAnsi="Calibri" w:cs="Calibri"/>
        </w:rPr>
        <w:t xml:space="preserve"> </w:t>
      </w:r>
      <w:r w:rsidR="002A142D" w:rsidRPr="00917A97">
        <w:rPr>
          <w:rFonts w:ascii="Calibri" w:hAnsi="Calibri" w:cs="Calibri"/>
        </w:rPr>
        <w:t xml:space="preserve">sports facilities </w:t>
      </w:r>
      <w:r w:rsidR="00B07A25" w:rsidRPr="00917A97">
        <w:rPr>
          <w:rFonts w:ascii="Calibri" w:hAnsi="Calibri" w:cs="Calibri"/>
        </w:rPr>
        <w:t xml:space="preserve">will be </w:t>
      </w:r>
      <w:r w:rsidR="002A142D" w:rsidRPr="00917A97">
        <w:rPr>
          <w:rFonts w:ascii="Calibri" w:hAnsi="Calibri" w:cs="Calibri"/>
        </w:rPr>
        <w:t xml:space="preserve">determined by future population </w:t>
      </w:r>
      <w:r w:rsidR="00B07A25">
        <w:rPr>
          <w:rFonts w:ascii="Calibri" w:hAnsi="Calibri" w:cs="Calibri"/>
        </w:rPr>
        <w:t>n</w:t>
      </w:r>
      <w:r w:rsidR="00B07A25" w:rsidRPr="00B07A25">
        <w:rPr>
          <w:rFonts w:ascii="Calibri" w:hAnsi="Calibri" w:cs="Calibri"/>
        </w:rPr>
        <w:t>eeds.</w:t>
      </w:r>
    </w:p>
    <w:p w14:paraId="3A21C5CF" w14:textId="31A598E1" w:rsidR="00F80B6D" w:rsidRPr="000F1F6D" w:rsidRDefault="00312833" w:rsidP="00312833">
      <w:pPr>
        <w:pStyle w:val="Heading2"/>
      </w:pPr>
      <w:r>
        <w:t xml:space="preserve">12.2 </w:t>
      </w:r>
      <w:r w:rsidR="00F80B6D" w:rsidRPr="000F1F6D">
        <w:t>Local Parks</w:t>
      </w:r>
    </w:p>
    <w:p w14:paraId="3CAE5D02" w14:textId="7F1803F6" w:rsidR="00AA1731" w:rsidRPr="00F80B6D" w:rsidRDefault="00AA1731" w:rsidP="00AA1731">
      <w:pPr>
        <w:rPr>
          <w:rFonts w:ascii="Calibri" w:hAnsi="Calibri" w:cs="Calibri"/>
        </w:rPr>
      </w:pPr>
      <w:r w:rsidRPr="00F80B6D">
        <w:rPr>
          <w:rFonts w:ascii="Calibri" w:hAnsi="Calibri" w:cs="Calibri"/>
        </w:rPr>
        <w:t xml:space="preserve">Generally, local parks should be equitably distributed across the precinct, maximising access by the local community and generating high amenity. Local parks </w:t>
      </w:r>
      <w:r w:rsidR="00047F8D">
        <w:rPr>
          <w:rFonts w:ascii="Calibri" w:hAnsi="Calibri" w:cs="Calibri"/>
        </w:rPr>
        <w:t>are proposed</w:t>
      </w:r>
      <w:r w:rsidRPr="00F80B6D">
        <w:rPr>
          <w:rFonts w:ascii="Calibri" w:hAnsi="Calibri" w:cs="Calibri"/>
        </w:rPr>
        <w:t xml:space="preserve"> in sizes ranging fro</w:t>
      </w:r>
      <w:r w:rsidR="00F80B6D" w:rsidRPr="00F80B6D">
        <w:rPr>
          <w:rFonts w:ascii="Calibri" w:hAnsi="Calibri" w:cs="Calibri"/>
        </w:rPr>
        <w:t xml:space="preserve">m </w:t>
      </w:r>
      <w:r w:rsidR="00F80B6D" w:rsidRPr="00830FA0">
        <w:rPr>
          <w:rFonts w:ascii="Calibri" w:hAnsi="Calibri" w:cs="Calibri"/>
        </w:rPr>
        <w:t>0.5 hectares to one</w:t>
      </w:r>
      <w:r w:rsidRPr="00830FA0">
        <w:rPr>
          <w:rFonts w:ascii="Calibri" w:hAnsi="Calibri" w:cs="Calibri"/>
        </w:rPr>
        <w:t xml:space="preserve"> hectare</w:t>
      </w:r>
      <w:r w:rsidRPr="00F80B6D">
        <w:rPr>
          <w:rFonts w:ascii="Calibri" w:hAnsi="Calibri" w:cs="Calibri"/>
        </w:rPr>
        <w:t>, cater for a diverse range of functions (i.e. gathering spaces, walking pets, linear connections, community focal points), and be located within convenient walking distance of 95% of all dwellings (400 metres).</w:t>
      </w:r>
    </w:p>
    <w:p w14:paraId="0832E228" w14:textId="0612A3FF" w:rsidR="00DD0FE8" w:rsidRPr="000F1F6D" w:rsidRDefault="00312833" w:rsidP="00312833">
      <w:pPr>
        <w:pStyle w:val="Heading2"/>
      </w:pPr>
      <w:r>
        <w:t xml:space="preserve">12.3 </w:t>
      </w:r>
      <w:r w:rsidR="00DD0FE8" w:rsidRPr="000F1F6D">
        <w:t>Linear Open Space</w:t>
      </w:r>
    </w:p>
    <w:p w14:paraId="231AD680" w14:textId="77777777" w:rsidR="00AA1731" w:rsidRPr="00F80B6D" w:rsidRDefault="00AA1731" w:rsidP="00AA1731">
      <w:pPr>
        <w:rPr>
          <w:rFonts w:ascii="Calibri" w:hAnsi="Calibri" w:cs="Calibri"/>
        </w:rPr>
      </w:pPr>
      <w:r w:rsidRPr="00F80B6D">
        <w:rPr>
          <w:rFonts w:ascii="Calibri" w:hAnsi="Calibri" w:cs="Calibri"/>
        </w:rPr>
        <w:t xml:space="preserve">The </w:t>
      </w:r>
      <w:r w:rsidR="00DD1D92">
        <w:rPr>
          <w:rFonts w:ascii="Calibri" w:hAnsi="Calibri" w:cs="Calibri"/>
        </w:rPr>
        <w:t xml:space="preserve">area </w:t>
      </w:r>
      <w:r w:rsidRPr="00F80B6D">
        <w:rPr>
          <w:rFonts w:ascii="Calibri" w:hAnsi="Calibri" w:cs="Calibri"/>
        </w:rPr>
        <w:t>will have</w:t>
      </w:r>
      <w:r w:rsidR="00CA72D9">
        <w:rPr>
          <w:rFonts w:ascii="Calibri" w:hAnsi="Calibri" w:cs="Calibri"/>
        </w:rPr>
        <w:t xml:space="preserve"> immediate</w:t>
      </w:r>
      <w:r w:rsidRPr="00F80B6D">
        <w:rPr>
          <w:rFonts w:ascii="Calibri" w:hAnsi="Calibri" w:cs="Calibri"/>
        </w:rPr>
        <w:t xml:space="preserve"> access to open space via a</w:t>
      </w:r>
      <w:r w:rsidR="00DD1D92">
        <w:rPr>
          <w:rFonts w:ascii="Calibri" w:hAnsi="Calibri" w:cs="Calibri"/>
        </w:rPr>
        <w:t xml:space="preserve"> unique</w:t>
      </w:r>
      <w:r w:rsidRPr="00F80B6D">
        <w:rPr>
          <w:rFonts w:ascii="Calibri" w:hAnsi="Calibri" w:cs="Calibri"/>
        </w:rPr>
        <w:t xml:space="preserve"> network of linear bike and walking t</w:t>
      </w:r>
      <w:r w:rsidR="00F80B6D">
        <w:rPr>
          <w:rFonts w:ascii="Calibri" w:hAnsi="Calibri" w:cs="Calibri"/>
        </w:rPr>
        <w:t xml:space="preserve">rails that follow the </w:t>
      </w:r>
      <w:r w:rsidRPr="00F80B6D">
        <w:rPr>
          <w:rFonts w:ascii="Calibri" w:hAnsi="Calibri" w:cs="Calibri"/>
        </w:rPr>
        <w:t>waterway systems</w:t>
      </w:r>
      <w:r w:rsidR="00F80B6D">
        <w:rPr>
          <w:rFonts w:ascii="Calibri" w:hAnsi="Calibri" w:cs="Calibri"/>
        </w:rPr>
        <w:t xml:space="preserve"> and linear open space </w:t>
      </w:r>
      <w:r w:rsidR="00CA72D9">
        <w:rPr>
          <w:rFonts w:ascii="Calibri" w:hAnsi="Calibri" w:cs="Calibri"/>
        </w:rPr>
        <w:t>areas</w:t>
      </w:r>
      <w:r w:rsidR="00F80B6D">
        <w:rPr>
          <w:rFonts w:ascii="Calibri" w:hAnsi="Calibri" w:cs="Calibri"/>
        </w:rPr>
        <w:t xml:space="preserve">. </w:t>
      </w:r>
      <w:r w:rsidRPr="00F80B6D">
        <w:rPr>
          <w:rFonts w:ascii="Calibri" w:hAnsi="Calibri" w:cs="Calibri"/>
        </w:rPr>
        <w:t>These aspects of the precinct will serve a key role in linking the community and promoting active transport options.</w:t>
      </w:r>
    </w:p>
    <w:p w14:paraId="57A3A84B" w14:textId="180579B0" w:rsidR="00830FA0" w:rsidRDefault="00830FA0" w:rsidP="00AA1731">
      <w:r w:rsidRPr="00D936F3">
        <w:t>The</w:t>
      </w:r>
      <w:r>
        <w:t xml:space="preserve"> historic</w:t>
      </w:r>
      <w:r w:rsidRPr="00D936F3">
        <w:t xml:space="preserve"> Beattys Road</w:t>
      </w:r>
      <w:r>
        <w:t xml:space="preserve"> goldfields route will shape the structure of Plumpton</w:t>
      </w:r>
      <w:r w:rsidRPr="00D936F3">
        <w:t xml:space="preserve"> and will be reinterpreted as a street and linear park. </w:t>
      </w:r>
      <w:r w:rsidR="0014551F">
        <w:t xml:space="preserve">Linear open space along </w:t>
      </w:r>
      <w:r w:rsidRPr="00D936F3">
        <w:t xml:space="preserve">Beattys Road </w:t>
      </w:r>
      <w:r>
        <w:t xml:space="preserve">Reserve is planned to </w:t>
      </w:r>
      <w:r w:rsidRPr="00D936F3">
        <w:t xml:space="preserve">draw visitors to play areas and community facilities and will provide strong links to areas east and west of the PSP. </w:t>
      </w:r>
    </w:p>
    <w:p w14:paraId="3C7C1D23" w14:textId="77777777" w:rsidR="00644EB2" w:rsidRDefault="00830FA0" w:rsidP="00293849">
      <w:r w:rsidRPr="00D936F3">
        <w:t xml:space="preserve">North-south </w:t>
      </w:r>
      <w:r>
        <w:t>gas and powerline</w:t>
      </w:r>
      <w:r w:rsidR="00644EB2">
        <w:t>s</w:t>
      </w:r>
      <w:r>
        <w:t xml:space="preserve"> </w:t>
      </w:r>
      <w:r w:rsidRPr="00D936F3">
        <w:t>easements and waterways will be popular recreation areas which connect through to the Kororoit Creek</w:t>
      </w:r>
      <w:r>
        <w:t>.</w:t>
      </w:r>
      <w:r w:rsidR="00644EB2">
        <w:t xml:space="preserve"> This linear open space will be maximised </w:t>
      </w:r>
      <w:r w:rsidR="00DD0FE8">
        <w:t xml:space="preserve">through </w:t>
      </w:r>
      <w:r w:rsidR="00644EB2">
        <w:t>the development of shared path within each</w:t>
      </w:r>
      <w:r w:rsidR="00DD0FE8">
        <w:t xml:space="preserve"> and complemented by landscaping and recreational uses within the powerlines easement.</w:t>
      </w:r>
    </w:p>
    <w:p w14:paraId="627F71FD" w14:textId="3A022C64" w:rsidR="00917A97" w:rsidRDefault="00477583" w:rsidP="00293849">
      <w:r>
        <w:t xml:space="preserve">The Kororoit Creek is a connective and distinguishing feature which retains remnant grasslands both for conservation and as a demonstration of local landscape character. It will </w:t>
      </w:r>
      <w:r w:rsidR="00644EB2">
        <w:t>shape the structure of the Kororoit PSP and will be used as a place of resp</w:t>
      </w:r>
      <w:r w:rsidR="00CA72D9">
        <w:t xml:space="preserve">ite </w:t>
      </w:r>
      <w:r w:rsidR="00644EB2">
        <w:t xml:space="preserve">for local residents whilst retaining a </w:t>
      </w:r>
      <w:r w:rsidR="00CA72D9">
        <w:t xml:space="preserve">sense of the open rural grassland landscape. </w:t>
      </w:r>
      <w:r w:rsidR="00644EB2">
        <w:t xml:space="preserve">The creek is characterised by scattered mature River Red Gums and some significant boulder outcrops and escarpments. </w:t>
      </w:r>
      <w:r w:rsidR="00CA72D9">
        <w:t xml:space="preserve">The Kororoit Creek also presents </w:t>
      </w:r>
      <w:r w:rsidR="000660F0">
        <w:t xml:space="preserve">long term opportunities </w:t>
      </w:r>
      <w:r w:rsidR="00CA72D9">
        <w:t>to link</w:t>
      </w:r>
      <w:r w:rsidR="000660F0">
        <w:t xml:space="preserve"> significant</w:t>
      </w:r>
      <w:r w:rsidR="00CA72D9">
        <w:t xml:space="preserve"> </w:t>
      </w:r>
      <w:r w:rsidR="000660F0">
        <w:t xml:space="preserve">historic sites and important conservation and recreation areas within and outside the PSP areas such as the Rockbank Inn ruins, the Deanside </w:t>
      </w:r>
      <w:r w:rsidR="0014551F">
        <w:t>Homestead</w:t>
      </w:r>
      <w:r w:rsidR="00047F8D">
        <w:t xml:space="preserve"> </w:t>
      </w:r>
      <w:r w:rsidR="000660F0">
        <w:t xml:space="preserve">Complex, the Clarkes Road </w:t>
      </w:r>
      <w:r w:rsidR="0014551F">
        <w:t xml:space="preserve">Streamside Reserve </w:t>
      </w:r>
      <w:r w:rsidR="000660F0">
        <w:t xml:space="preserve">and the </w:t>
      </w:r>
      <w:r w:rsidR="0014551F">
        <w:t xml:space="preserve">proposed </w:t>
      </w:r>
      <w:r w:rsidR="000660F0">
        <w:t>Kororoit Regional Park.</w:t>
      </w:r>
    </w:p>
    <w:p w14:paraId="178DE7CC" w14:textId="0DEE46C6" w:rsidR="00E32A62" w:rsidRDefault="00917A97" w:rsidP="00293849">
      <w:r>
        <w:br w:type="page"/>
      </w:r>
    </w:p>
    <w:p w14:paraId="4E44E1C2" w14:textId="5A2A88B7" w:rsidR="00EA0704" w:rsidRPr="000D182F" w:rsidRDefault="00293849" w:rsidP="000D182F">
      <w:pPr>
        <w:pStyle w:val="Heading1"/>
        <w:numPr>
          <w:ilvl w:val="0"/>
          <w:numId w:val="23"/>
        </w:numPr>
        <w:rPr>
          <w:b/>
          <w:sz w:val="24"/>
        </w:rPr>
      </w:pPr>
      <w:r w:rsidRPr="000D182F">
        <w:rPr>
          <w:b/>
        </w:rPr>
        <w:lastRenderedPageBreak/>
        <w:t xml:space="preserve">Whole of Water Cycle Assessment, Waterways and </w:t>
      </w:r>
      <w:r w:rsidR="000C7A6F" w:rsidRPr="000D182F">
        <w:rPr>
          <w:b/>
        </w:rPr>
        <w:t>D</w:t>
      </w:r>
      <w:r w:rsidRPr="000D182F">
        <w:rPr>
          <w:b/>
        </w:rPr>
        <w:t xml:space="preserve">rainage </w:t>
      </w:r>
    </w:p>
    <w:p w14:paraId="4395B587" w14:textId="77777777" w:rsidR="00EA0704" w:rsidRDefault="00293849" w:rsidP="00EA0704">
      <w:pPr>
        <w:rPr>
          <w:rFonts w:ascii="Calibri" w:hAnsi="Calibri" w:cs="Calibri"/>
        </w:rPr>
      </w:pPr>
      <w:r w:rsidRPr="00EC1BBD">
        <w:rPr>
          <w:rFonts w:ascii="Calibri" w:hAnsi="Calibri" w:cs="Calibri"/>
        </w:rPr>
        <w:t xml:space="preserve">The Victorian Government released a new water policy framework, </w:t>
      </w:r>
      <w:r w:rsidRPr="00EC1BBD">
        <w:rPr>
          <w:rFonts w:ascii="Calibri" w:hAnsi="Calibri" w:cs="Calibri"/>
          <w:i/>
        </w:rPr>
        <w:t>Melbourne’s Water Future</w:t>
      </w:r>
      <w:r w:rsidRPr="00EC1BBD">
        <w:rPr>
          <w:rFonts w:ascii="Calibri" w:hAnsi="Calibri" w:cs="Calibri"/>
        </w:rPr>
        <w:t xml:space="preserve"> (Office of the Living Victoria) in 2013. Melbourne’s Water Future (MFW) focuses on a holistic approach to managing the different components of the water cycle including water services infrastructure, natural waterways and the built environment. The policy is aimed at achieving a more resilient water cycle, improved security of supply and water quality, lowered costs, improved value for money in meeting the State’s water needs, greater environmental and amenity benefits and increased innovation across the water sector. More specifically, the policy refers to treated wastewater, stormwater and rainwater harvesting as future supply sources, with the aspiration that investing in these sources will substantially reduce the need for large scale additions to our drinking water supplies. The preparation of Whole of Water Cycle Assessments for growth areas is a priority initiative in MWF. </w:t>
      </w:r>
    </w:p>
    <w:p w14:paraId="6161E504" w14:textId="77777777" w:rsidR="00EA0704" w:rsidRDefault="00293849" w:rsidP="00EA0704">
      <w:r w:rsidRPr="00EC1BBD">
        <w:t xml:space="preserve">The MPA commissioned Storm Consulting Pty Ltd (‘Storm’) to undertake a Whole of Water Cycle Assessment (WoWCA) for the Plumpton and Kororoit PSP areas. </w:t>
      </w:r>
    </w:p>
    <w:p w14:paraId="039BB6A7" w14:textId="239B15F5" w:rsidR="00293849" w:rsidRPr="00EA0704" w:rsidRDefault="00293849" w:rsidP="00EA0704">
      <w:r w:rsidRPr="00EC1BBD">
        <w:rPr>
          <w:rFonts w:ascii="Calibri" w:hAnsi="Calibri" w:cs="Calibri"/>
        </w:rPr>
        <w:t>Specifically, WoWC</w:t>
      </w:r>
      <w:r w:rsidR="00CD4005">
        <w:rPr>
          <w:rFonts w:ascii="Calibri" w:hAnsi="Calibri" w:cs="Calibri"/>
        </w:rPr>
        <w:t>A</w:t>
      </w:r>
      <w:r w:rsidRPr="00EC1BBD">
        <w:rPr>
          <w:rFonts w:ascii="Calibri" w:hAnsi="Calibri" w:cs="Calibri"/>
        </w:rPr>
        <w:t xml:space="preserve"> objectives for Plumpton and Kororoit are to: </w:t>
      </w:r>
    </w:p>
    <w:p w14:paraId="07BAE33D" w14:textId="77777777" w:rsidR="00293849" w:rsidRPr="00EC1BBD" w:rsidRDefault="00293849" w:rsidP="009E33F9">
      <w:pPr>
        <w:pStyle w:val="ListParagraph"/>
        <w:numPr>
          <w:ilvl w:val="0"/>
          <w:numId w:val="11"/>
        </w:numPr>
        <w:autoSpaceDE w:val="0"/>
        <w:autoSpaceDN w:val="0"/>
        <w:adjustRightInd w:val="0"/>
        <w:spacing w:after="55" w:line="240" w:lineRule="auto"/>
        <w:rPr>
          <w:rFonts w:ascii="Calibri" w:hAnsi="Calibri" w:cs="Calibri"/>
        </w:rPr>
      </w:pPr>
      <w:r w:rsidRPr="00EC1BBD">
        <w:rPr>
          <w:rFonts w:ascii="Calibri" w:hAnsi="Calibri" w:cs="Calibri"/>
        </w:rPr>
        <w:t xml:space="preserve">Investigate reliable water supply sources based on identifying opportunities to diversify water supply aiming to reduce conventional use and reduce the costs of centralised systems </w:t>
      </w:r>
    </w:p>
    <w:p w14:paraId="27AC41FA" w14:textId="77777777" w:rsidR="00293849" w:rsidRPr="00EC1BBD" w:rsidRDefault="00293849" w:rsidP="009E33F9">
      <w:pPr>
        <w:pStyle w:val="ListParagraph"/>
        <w:numPr>
          <w:ilvl w:val="0"/>
          <w:numId w:val="11"/>
        </w:numPr>
        <w:autoSpaceDE w:val="0"/>
        <w:autoSpaceDN w:val="0"/>
        <w:adjustRightInd w:val="0"/>
        <w:spacing w:after="55" w:line="240" w:lineRule="auto"/>
        <w:rPr>
          <w:rFonts w:ascii="Calibri" w:hAnsi="Calibri" w:cs="Calibri"/>
        </w:rPr>
      </w:pPr>
      <w:r w:rsidRPr="00EC1BBD">
        <w:rPr>
          <w:rFonts w:ascii="Calibri" w:hAnsi="Calibri" w:cs="Calibri"/>
        </w:rPr>
        <w:t xml:space="preserve">Protect and enhance the values of urban waterways, including minimising stormwater volumes and improving quality </w:t>
      </w:r>
    </w:p>
    <w:p w14:paraId="166BCABF" w14:textId="77777777" w:rsidR="00293849" w:rsidRPr="00EC1BBD" w:rsidRDefault="00293849" w:rsidP="009E33F9">
      <w:pPr>
        <w:pStyle w:val="ListParagraph"/>
        <w:numPr>
          <w:ilvl w:val="0"/>
          <w:numId w:val="11"/>
        </w:numPr>
        <w:autoSpaceDE w:val="0"/>
        <w:autoSpaceDN w:val="0"/>
        <w:adjustRightInd w:val="0"/>
        <w:spacing w:after="55" w:line="240" w:lineRule="auto"/>
        <w:rPr>
          <w:rFonts w:ascii="Calibri" w:hAnsi="Calibri" w:cs="Calibri"/>
        </w:rPr>
      </w:pPr>
      <w:r w:rsidRPr="00EC1BBD">
        <w:rPr>
          <w:rFonts w:ascii="Calibri" w:hAnsi="Calibri" w:cs="Calibri"/>
        </w:rPr>
        <w:t xml:space="preserve">Manage flooding and minimise risk </w:t>
      </w:r>
    </w:p>
    <w:p w14:paraId="404DBA55" w14:textId="77777777" w:rsidR="00293849" w:rsidRPr="00EC1BBD" w:rsidRDefault="00293849" w:rsidP="009E33F9">
      <w:pPr>
        <w:pStyle w:val="ListParagraph"/>
        <w:numPr>
          <w:ilvl w:val="0"/>
          <w:numId w:val="11"/>
        </w:numPr>
        <w:autoSpaceDE w:val="0"/>
        <w:autoSpaceDN w:val="0"/>
        <w:adjustRightInd w:val="0"/>
        <w:spacing w:after="55" w:line="240" w:lineRule="auto"/>
        <w:rPr>
          <w:rFonts w:ascii="Calibri" w:hAnsi="Calibri" w:cs="Calibri"/>
        </w:rPr>
      </w:pPr>
      <w:r w:rsidRPr="00EC1BBD">
        <w:rPr>
          <w:rFonts w:ascii="Calibri" w:hAnsi="Calibri" w:cs="Calibri"/>
        </w:rPr>
        <w:t xml:space="preserve">Improve liveability and community health </w:t>
      </w:r>
    </w:p>
    <w:p w14:paraId="00F22A85" w14:textId="77777777" w:rsidR="00EA0704" w:rsidRDefault="00293849" w:rsidP="009E33F9">
      <w:pPr>
        <w:pStyle w:val="ListParagraph"/>
        <w:numPr>
          <w:ilvl w:val="0"/>
          <w:numId w:val="11"/>
        </w:numPr>
        <w:autoSpaceDE w:val="0"/>
        <w:autoSpaceDN w:val="0"/>
        <w:adjustRightInd w:val="0"/>
        <w:spacing w:after="0" w:line="240" w:lineRule="auto"/>
        <w:rPr>
          <w:rFonts w:ascii="Calibri" w:hAnsi="Calibri" w:cs="Calibri"/>
        </w:rPr>
      </w:pPr>
      <w:r w:rsidRPr="00EC1BBD">
        <w:rPr>
          <w:rFonts w:ascii="Calibri" w:hAnsi="Calibri" w:cs="Calibri"/>
        </w:rPr>
        <w:t xml:space="preserve">Provide efficiencies and benefits to managing of all the elements of the water cycle mentioned above from a holistic point of view </w:t>
      </w:r>
    </w:p>
    <w:p w14:paraId="6555E969" w14:textId="77777777" w:rsidR="00EA0704" w:rsidRDefault="00EA0704" w:rsidP="00EA0704">
      <w:pPr>
        <w:autoSpaceDE w:val="0"/>
        <w:autoSpaceDN w:val="0"/>
        <w:adjustRightInd w:val="0"/>
        <w:spacing w:after="0" w:line="240" w:lineRule="auto"/>
        <w:rPr>
          <w:rFonts w:ascii="Calibri" w:hAnsi="Calibri" w:cs="Calibri"/>
        </w:rPr>
      </w:pPr>
    </w:p>
    <w:p w14:paraId="2BE84AB9" w14:textId="6D9044EE" w:rsidR="00EA0704" w:rsidRDefault="00293849" w:rsidP="00EA0704">
      <w:r w:rsidRPr="00EA0704">
        <w:rPr>
          <w:rFonts w:ascii="Calibri" w:hAnsi="Calibri" w:cs="Calibri"/>
        </w:rPr>
        <w:t xml:space="preserve">The WoWCA modelling was based on high-level servicing strategies for water supply and sewer services prepared by City West Water and </w:t>
      </w:r>
      <w:r w:rsidR="002E5E3F">
        <w:rPr>
          <w:rFonts w:ascii="Calibri" w:hAnsi="Calibri" w:cs="Calibri"/>
        </w:rPr>
        <w:t>Western Water</w:t>
      </w:r>
      <w:r w:rsidRPr="00EA0704">
        <w:rPr>
          <w:rFonts w:ascii="Calibri" w:hAnsi="Calibri" w:cs="Calibri"/>
        </w:rPr>
        <w:t xml:space="preserve">, whose licensing boundaries meet in the Plumpton PSP area; information regarding the Growling Grass Frog habitat and native grassland reserves in the </w:t>
      </w:r>
      <w:r w:rsidRPr="00EA0704">
        <w:rPr>
          <w:rFonts w:ascii="Calibri" w:hAnsi="Calibri" w:cs="Calibri"/>
          <w:i/>
        </w:rPr>
        <w:t>Biodiversity Conservation Strategy for Melbourne’s West</w:t>
      </w:r>
      <w:r w:rsidRPr="00EA0704">
        <w:rPr>
          <w:rFonts w:ascii="Calibri" w:hAnsi="Calibri" w:cs="Calibri"/>
        </w:rPr>
        <w:t xml:space="preserve">; MPA-commissioned Aboriginal Cultural Heritage Impact Assessments for Plumpton and Kororoit (AHMS 2014); and ten draft preliminary Development Services Schemes (DSS) for the ten catchment areas within the Kororoit and Plumpton PSP areas, prepared by Melbourne Water. </w:t>
      </w:r>
    </w:p>
    <w:p w14:paraId="09875787" w14:textId="77777777" w:rsidR="00EA0704" w:rsidRDefault="00293849" w:rsidP="00EA0704">
      <w:r w:rsidRPr="00EC1BBD">
        <w:rPr>
          <w:rFonts w:ascii="Calibri" w:hAnsi="Calibri" w:cs="Calibri"/>
        </w:rPr>
        <w:t>Melbourne Water is responsible for defining drainage and flood mitigation infrastructure requirements within new developments and management of drainage assets in catchment areas larger than 60 hectares. Melton City Council generally manages drainage assets in catchment areas of less than 60 hectares.</w:t>
      </w:r>
    </w:p>
    <w:p w14:paraId="283591FD" w14:textId="77777777" w:rsidR="00EA0704" w:rsidRDefault="00293849" w:rsidP="00EA0704">
      <w:r w:rsidRPr="00EC1BBD">
        <w:rPr>
          <w:rFonts w:ascii="Calibri" w:hAnsi="Calibri" w:cs="Calibri"/>
        </w:rPr>
        <w:t xml:space="preserve">Melbourne Water’s DSS were developed in accordance with </w:t>
      </w:r>
      <w:r w:rsidRPr="00EC1BBD">
        <w:rPr>
          <w:rFonts w:ascii="Calibri" w:hAnsi="Calibri" w:cs="Calibri"/>
          <w:i/>
        </w:rPr>
        <w:t>Waterway Corridors – guidelines for greenfield development areas within the Port Phillip and Westernport Region</w:t>
      </w:r>
      <w:r w:rsidRPr="00EC1BBD">
        <w:rPr>
          <w:rFonts w:ascii="Calibri" w:hAnsi="Calibri" w:cs="Calibri"/>
        </w:rPr>
        <w:t xml:space="preserve"> (Melbourne Water 2013), and informed by a number of background investigations Melbourne Water commissioned regarding wetlands and waterway geomorphic values. These include the </w:t>
      </w:r>
      <w:r w:rsidRPr="00EC1BBD">
        <w:rPr>
          <w:rFonts w:ascii="Calibri" w:hAnsi="Calibri" w:cs="Calibri"/>
          <w:i/>
        </w:rPr>
        <w:t>Rockbank Area Wetland Study</w:t>
      </w:r>
      <w:r w:rsidRPr="00EC1BBD">
        <w:rPr>
          <w:rFonts w:ascii="Calibri" w:hAnsi="Calibri" w:cs="Calibri"/>
        </w:rPr>
        <w:t xml:space="preserve"> (Rakali 2013), an </w:t>
      </w:r>
      <w:r w:rsidRPr="00EC1BBD">
        <w:rPr>
          <w:rFonts w:ascii="Calibri" w:hAnsi="Calibri" w:cs="Calibri"/>
          <w:i/>
        </w:rPr>
        <w:t>Assessment of Riparian Vegetation and Geomorphology: Plumpton Area Development Services Scheme Study Area</w:t>
      </w:r>
      <w:r w:rsidRPr="00EC1BBD">
        <w:rPr>
          <w:rFonts w:ascii="Calibri" w:hAnsi="Calibri" w:cs="Calibri"/>
        </w:rPr>
        <w:t xml:space="preserve"> (Alluvium with Practical Ecology, 2013), and a </w:t>
      </w:r>
      <w:r w:rsidRPr="00EC1BBD">
        <w:rPr>
          <w:rFonts w:ascii="Calibri" w:hAnsi="Calibri" w:cs="Calibri"/>
          <w:i/>
        </w:rPr>
        <w:t xml:space="preserve">Feasibility Assessment: Protection of Intact Waterways in the Olive Grove Catchment </w:t>
      </w:r>
      <w:r w:rsidRPr="00EC1BBD">
        <w:rPr>
          <w:rFonts w:ascii="Calibri" w:hAnsi="Calibri" w:cs="Calibri"/>
        </w:rPr>
        <w:t>(Alluvium 2014).</w:t>
      </w:r>
    </w:p>
    <w:p w14:paraId="2A2E5660" w14:textId="77777777" w:rsidR="00293849" w:rsidRPr="00EA0704" w:rsidRDefault="00293849" w:rsidP="00EA0704">
      <w:r w:rsidRPr="00EC1BBD">
        <w:rPr>
          <w:rFonts w:cs="Segoe UI"/>
          <w:color w:val="000000"/>
        </w:rPr>
        <w:lastRenderedPageBreak/>
        <w:t>The WoWCA identified whole of water cycle opportunities building on the ‘Base Case’, which meets current water sector requirements including Best Practice Environmental Management guidelines. Water authorities and government stakeholders were engaged to identify two alternative WoWCA scenarios to accompany the Base Case. Following analysis of the two options compared to the Base Case, the following option was recommended for Plumpton and Kororoit PSP areas:</w:t>
      </w:r>
    </w:p>
    <w:p w14:paraId="4EB474F2" w14:textId="77777777" w:rsidR="00293849" w:rsidRPr="00EC1BBD" w:rsidRDefault="00293849" w:rsidP="009E33F9">
      <w:pPr>
        <w:pStyle w:val="ListParagraph"/>
        <w:numPr>
          <w:ilvl w:val="0"/>
          <w:numId w:val="13"/>
        </w:numPr>
        <w:autoSpaceDE w:val="0"/>
        <w:autoSpaceDN w:val="0"/>
        <w:adjustRightInd w:val="0"/>
        <w:spacing w:after="0" w:line="240" w:lineRule="auto"/>
        <w:rPr>
          <w:rFonts w:cs="Segoe UI"/>
          <w:color w:val="000000"/>
        </w:rPr>
      </w:pPr>
      <w:r w:rsidRPr="00EC1BBD">
        <w:rPr>
          <w:rFonts w:cs="Segoe UI"/>
          <w:color w:val="000000"/>
        </w:rPr>
        <w:t>Sections of natural waterway to be retained as specified by Melbourne Water, due to importance of geomorphological features</w:t>
      </w:r>
    </w:p>
    <w:p w14:paraId="7BF73A1B" w14:textId="77777777" w:rsidR="00293849" w:rsidRPr="00EC1BBD" w:rsidRDefault="00293849" w:rsidP="009E33F9">
      <w:pPr>
        <w:pStyle w:val="ListParagraph"/>
        <w:numPr>
          <w:ilvl w:val="0"/>
          <w:numId w:val="13"/>
        </w:numPr>
        <w:autoSpaceDE w:val="0"/>
        <w:autoSpaceDN w:val="0"/>
        <w:adjustRightInd w:val="0"/>
        <w:spacing w:after="0" w:line="240" w:lineRule="auto"/>
        <w:rPr>
          <w:rFonts w:cs="Segoe UI"/>
          <w:color w:val="000000"/>
        </w:rPr>
      </w:pPr>
      <w:r w:rsidRPr="00EC1BBD">
        <w:rPr>
          <w:rFonts w:cs="Segoe UI"/>
          <w:color w:val="000000"/>
        </w:rPr>
        <w:t>Co-location of wetlands and retarding basins to reduce land take and enhance the amenity of surrounding areas</w:t>
      </w:r>
    </w:p>
    <w:p w14:paraId="567D27FA" w14:textId="77777777" w:rsidR="00293849" w:rsidRPr="00EC1BBD" w:rsidRDefault="00293849" w:rsidP="009E33F9">
      <w:pPr>
        <w:pStyle w:val="ListParagraph"/>
        <w:numPr>
          <w:ilvl w:val="0"/>
          <w:numId w:val="13"/>
        </w:numPr>
        <w:autoSpaceDE w:val="0"/>
        <w:autoSpaceDN w:val="0"/>
        <w:adjustRightInd w:val="0"/>
        <w:spacing w:after="0" w:line="240" w:lineRule="auto"/>
        <w:rPr>
          <w:rFonts w:cs="Segoe UI"/>
          <w:color w:val="000000"/>
        </w:rPr>
      </w:pPr>
      <w:r w:rsidRPr="00EC1BBD">
        <w:rPr>
          <w:rFonts w:cs="Segoe UI"/>
          <w:color w:val="000000"/>
        </w:rPr>
        <w:t xml:space="preserve">Localised sediment basins for small catchment areas adjacent to high value areas (particularly Kororoit Creek) to ensure retarding and treatment of stormwater </w:t>
      </w:r>
    </w:p>
    <w:p w14:paraId="1A737990" w14:textId="77777777" w:rsidR="00293849" w:rsidRPr="00EC1BBD" w:rsidRDefault="00293849" w:rsidP="009E33F9">
      <w:pPr>
        <w:pStyle w:val="ListParagraph"/>
        <w:numPr>
          <w:ilvl w:val="0"/>
          <w:numId w:val="13"/>
        </w:numPr>
        <w:autoSpaceDE w:val="0"/>
        <w:autoSpaceDN w:val="0"/>
        <w:adjustRightInd w:val="0"/>
        <w:spacing w:after="0" w:line="240" w:lineRule="auto"/>
        <w:rPr>
          <w:rFonts w:cs="Segoe UI"/>
          <w:color w:val="000000"/>
        </w:rPr>
      </w:pPr>
      <w:r w:rsidRPr="00EC1BBD">
        <w:rPr>
          <w:rFonts w:cs="Segoe UI"/>
          <w:color w:val="000000"/>
        </w:rPr>
        <w:t>Reticulated third pipe system to households, commercial, industrial and educational users for non-potable water use. The third pipe could carry treated stormwater or recycled water, subject to further investigation by water authorities.</w:t>
      </w:r>
    </w:p>
    <w:p w14:paraId="5B0B57B0" w14:textId="77777777" w:rsidR="00293849" w:rsidRPr="00EC1BBD" w:rsidRDefault="00293849" w:rsidP="009E33F9">
      <w:pPr>
        <w:pStyle w:val="ListParagraph"/>
        <w:numPr>
          <w:ilvl w:val="0"/>
          <w:numId w:val="13"/>
        </w:numPr>
        <w:autoSpaceDE w:val="0"/>
        <w:autoSpaceDN w:val="0"/>
        <w:adjustRightInd w:val="0"/>
        <w:spacing w:after="0" w:line="240" w:lineRule="auto"/>
        <w:rPr>
          <w:rFonts w:cs="Segoe UI"/>
          <w:color w:val="000000"/>
        </w:rPr>
      </w:pPr>
      <w:r w:rsidRPr="00EC1BBD">
        <w:rPr>
          <w:rFonts w:cs="Segoe UI"/>
          <w:color w:val="000000"/>
        </w:rPr>
        <w:t>Location of sports fields, where suitable, in proximity to waterways, to retain future options to harvest stormwater.</w:t>
      </w:r>
    </w:p>
    <w:p w14:paraId="5D2FD4A0" w14:textId="77777777" w:rsidR="00293849" w:rsidRPr="00EC1BBD" w:rsidRDefault="00293849" w:rsidP="00293849">
      <w:pPr>
        <w:autoSpaceDE w:val="0"/>
        <w:autoSpaceDN w:val="0"/>
        <w:adjustRightInd w:val="0"/>
        <w:spacing w:after="0" w:line="240" w:lineRule="auto"/>
        <w:rPr>
          <w:rFonts w:cs="Segoe UI"/>
          <w:color w:val="000000"/>
        </w:rPr>
      </w:pPr>
    </w:p>
    <w:p w14:paraId="1765B457" w14:textId="6B59EE20" w:rsidR="00917A97" w:rsidRDefault="00293849" w:rsidP="00EA0704">
      <w:pPr>
        <w:rPr>
          <w:rFonts w:cs="Segoe UI"/>
          <w:color w:val="000000"/>
        </w:rPr>
      </w:pPr>
      <w:r w:rsidRPr="00EC1BBD">
        <w:rPr>
          <w:rFonts w:cs="Segoe UI"/>
          <w:color w:val="000000"/>
        </w:rPr>
        <w:t xml:space="preserve">At the subdivision level within both Plumpton and Kororoit there is scope for incorporation of water sensitive urban design within streets and open spaces, in accordance with the Melton Planning Scheme and the </w:t>
      </w:r>
      <w:r w:rsidRPr="00EC1BBD">
        <w:rPr>
          <w:rFonts w:cs="Segoe UI"/>
          <w:i/>
          <w:color w:val="000000"/>
        </w:rPr>
        <w:t>Design, Construction and Maintenance of WSUD</w:t>
      </w:r>
      <w:r w:rsidRPr="00EC1BBD">
        <w:rPr>
          <w:rFonts w:cs="Segoe UI"/>
          <w:color w:val="000000"/>
        </w:rPr>
        <w:t xml:space="preserve"> (Shire of Melton 2011).</w:t>
      </w:r>
    </w:p>
    <w:p w14:paraId="70FE6AF3" w14:textId="53DB01FD" w:rsidR="00EA0704" w:rsidRPr="00917A97" w:rsidRDefault="00917A97" w:rsidP="00EA0704">
      <w:pPr>
        <w:rPr>
          <w:rFonts w:cs="Segoe UI"/>
          <w:color w:val="000000"/>
        </w:rPr>
      </w:pPr>
      <w:r>
        <w:rPr>
          <w:rFonts w:cs="Segoe UI"/>
          <w:color w:val="000000"/>
        </w:rPr>
        <w:br w:type="page"/>
      </w:r>
    </w:p>
    <w:p w14:paraId="33C43B15" w14:textId="1D02506E" w:rsidR="00EA0704" w:rsidRPr="000D182F" w:rsidRDefault="003D6D33" w:rsidP="000D182F">
      <w:pPr>
        <w:pStyle w:val="Heading1"/>
        <w:numPr>
          <w:ilvl w:val="0"/>
          <w:numId w:val="23"/>
        </w:numPr>
        <w:rPr>
          <w:rFonts w:cs="Arial"/>
          <w:b/>
          <w:sz w:val="24"/>
        </w:rPr>
      </w:pPr>
      <w:r w:rsidRPr="000D182F">
        <w:rPr>
          <w:b/>
        </w:rPr>
        <w:lastRenderedPageBreak/>
        <w:t>Transport and movement</w:t>
      </w:r>
    </w:p>
    <w:p w14:paraId="0A1B676E" w14:textId="77777777" w:rsidR="00292FF2" w:rsidRDefault="00292FF2" w:rsidP="00292FF2">
      <w:pPr>
        <w:pStyle w:val="ListParagraph"/>
        <w:rPr>
          <w:rFonts w:cs="Arial"/>
        </w:rPr>
      </w:pPr>
    </w:p>
    <w:p w14:paraId="585B8F6C" w14:textId="7CD44461" w:rsidR="00292FF2" w:rsidRPr="000F1F6D" w:rsidRDefault="000D182F" w:rsidP="000D182F">
      <w:pPr>
        <w:pStyle w:val="Heading2"/>
      </w:pPr>
      <w:r>
        <w:t xml:space="preserve">14.1 </w:t>
      </w:r>
      <w:r w:rsidR="00292FF2" w:rsidRPr="000F1F6D">
        <w:t xml:space="preserve">Road </w:t>
      </w:r>
      <w:r w:rsidR="006B57DD" w:rsidRPr="000F1F6D">
        <w:t xml:space="preserve">and bridge </w:t>
      </w:r>
      <w:r w:rsidR="00292FF2" w:rsidRPr="000F1F6D">
        <w:t>infrastructure</w:t>
      </w:r>
    </w:p>
    <w:p w14:paraId="4B99FF5F" w14:textId="77777777" w:rsidR="00B815AF" w:rsidRDefault="00B815AF" w:rsidP="00B815AF">
      <w:pPr>
        <w:rPr>
          <w:rFonts w:cs="Arial"/>
        </w:rPr>
      </w:pPr>
      <w:r>
        <w:rPr>
          <w:rFonts w:cs="Arial"/>
        </w:rPr>
        <w:t>Plumpton and Kororoit benefit from existing strong east-west connections including the Western Freeway, the Melton Highway and the Ballarat-Melbourne rail line to the south. Plumpton Road and Sinclairs Road provide important north-south connections across the two precincts</w:t>
      </w:r>
      <w:r w:rsidR="001E5A81">
        <w:rPr>
          <w:rFonts w:cs="Arial"/>
        </w:rPr>
        <w:t xml:space="preserve">. </w:t>
      </w:r>
    </w:p>
    <w:p w14:paraId="6DE6B0E2" w14:textId="41EA4BD6" w:rsidR="00EA0704" w:rsidRDefault="00B815AF" w:rsidP="00EA0704">
      <w:pPr>
        <w:rPr>
          <w:rFonts w:cs="Arial"/>
        </w:rPr>
      </w:pPr>
      <w:r w:rsidRPr="004A23F9">
        <w:rPr>
          <w:rFonts w:cs="Arial"/>
        </w:rPr>
        <w:t>The</w:t>
      </w:r>
      <w:r>
        <w:rPr>
          <w:rFonts w:cs="Arial"/>
        </w:rPr>
        <w:t xml:space="preserve"> </w:t>
      </w:r>
      <w:r w:rsidRPr="00E42AF5">
        <w:rPr>
          <w:rFonts w:cs="Arial"/>
          <w:i/>
        </w:rPr>
        <w:t xml:space="preserve">West </w:t>
      </w:r>
      <w:r w:rsidR="006B57DD" w:rsidRPr="00E42AF5">
        <w:rPr>
          <w:rFonts w:cs="Arial"/>
          <w:i/>
        </w:rPr>
        <w:t>G</w:t>
      </w:r>
      <w:r w:rsidRPr="00E42AF5">
        <w:rPr>
          <w:rFonts w:cs="Arial"/>
          <w:i/>
        </w:rPr>
        <w:t xml:space="preserve">rowth </w:t>
      </w:r>
      <w:r w:rsidR="006B57DD" w:rsidRPr="00E42AF5">
        <w:rPr>
          <w:rFonts w:cs="Arial"/>
          <w:i/>
        </w:rPr>
        <w:t>C</w:t>
      </w:r>
      <w:r w:rsidRPr="00E42AF5">
        <w:rPr>
          <w:rFonts w:cs="Arial"/>
          <w:i/>
        </w:rPr>
        <w:t xml:space="preserve">orridor </w:t>
      </w:r>
      <w:r w:rsidR="006B57DD" w:rsidRPr="00E42AF5">
        <w:rPr>
          <w:rFonts w:cs="Arial"/>
          <w:i/>
        </w:rPr>
        <w:t>P</w:t>
      </w:r>
      <w:r w:rsidRPr="00E42AF5">
        <w:rPr>
          <w:rFonts w:cs="Arial"/>
          <w:i/>
        </w:rPr>
        <w:t>lan</w:t>
      </w:r>
      <w:r w:rsidRPr="004A23F9">
        <w:rPr>
          <w:rFonts w:cs="Arial"/>
        </w:rPr>
        <w:t xml:space="preserve"> proposes the extension of both Hopkins Road </w:t>
      </w:r>
      <w:r>
        <w:rPr>
          <w:rFonts w:cs="Arial"/>
        </w:rPr>
        <w:t>as a future 6 lane arterial road to the Melton Highway</w:t>
      </w:r>
      <w:r w:rsidR="006B57DD">
        <w:rPr>
          <w:rFonts w:cs="Arial"/>
        </w:rPr>
        <w:t>,</w:t>
      </w:r>
      <w:r>
        <w:rPr>
          <w:rFonts w:cs="Arial"/>
        </w:rPr>
        <w:t xml:space="preserve"> and the extension of Tarleton Road as a future 4 land arterial to </w:t>
      </w:r>
      <w:r w:rsidR="001F605F">
        <w:rPr>
          <w:rFonts w:cs="Arial"/>
        </w:rPr>
        <w:t xml:space="preserve">join </w:t>
      </w:r>
      <w:r>
        <w:rPr>
          <w:rFonts w:cs="Arial"/>
        </w:rPr>
        <w:t xml:space="preserve">with existing Hume Drive. VicRoads has prepared corridor studies for the upgrade of Taylors Road to a future 6 lane arterial road and </w:t>
      </w:r>
      <w:r w:rsidR="00EA0704">
        <w:rPr>
          <w:rFonts w:cs="Arial"/>
        </w:rPr>
        <w:t xml:space="preserve">for </w:t>
      </w:r>
      <w:r>
        <w:rPr>
          <w:rFonts w:cs="Arial"/>
        </w:rPr>
        <w:t>Hopkins Road</w:t>
      </w:r>
      <w:r w:rsidR="006B57DD">
        <w:rPr>
          <w:rFonts w:cs="Arial"/>
        </w:rPr>
        <w:t>.</w:t>
      </w:r>
    </w:p>
    <w:p w14:paraId="461CB1FB" w14:textId="422ADE09" w:rsidR="001F605F" w:rsidRDefault="00EA0704" w:rsidP="00B815AF">
      <w:pPr>
        <w:rPr>
          <w:rFonts w:cs="Arial"/>
        </w:rPr>
      </w:pPr>
      <w:r w:rsidRPr="001F605F">
        <w:rPr>
          <w:rFonts w:cs="Arial"/>
        </w:rPr>
        <w:t>Taylors Road will become a key east-west arterial route between Melton Highway at Melton in the west and the Calder Freeway at Keilor in the east. Estimates are that by 2046, Ta</w:t>
      </w:r>
      <w:r w:rsidR="001F605F">
        <w:rPr>
          <w:rFonts w:cs="Arial"/>
        </w:rPr>
        <w:t>ylors Road will be carrying up to 56</w:t>
      </w:r>
      <w:r w:rsidRPr="001F605F">
        <w:rPr>
          <w:rFonts w:cs="Arial"/>
        </w:rPr>
        <w:t>,000 vehicles per day, a large percentage of which will be commercial vehicles and trucks. The Taylors Road corridor extends for approximately 26 kilometres from Calder Freeway to the Melton Highway and includes up to fifteen intersections along the route.</w:t>
      </w:r>
      <w:r w:rsidR="001F605F">
        <w:rPr>
          <w:rFonts w:cs="Arial"/>
        </w:rPr>
        <w:t xml:space="preserve"> </w:t>
      </w:r>
    </w:p>
    <w:p w14:paraId="55E4C8F8" w14:textId="52B1609C" w:rsidR="001F605F" w:rsidRDefault="001F605F" w:rsidP="00B815AF">
      <w:pPr>
        <w:rPr>
          <w:rFonts w:cs="Arial"/>
        </w:rPr>
      </w:pPr>
      <w:r>
        <w:rPr>
          <w:rFonts w:cs="Arial"/>
        </w:rPr>
        <w:t xml:space="preserve">Hopkins Road </w:t>
      </w:r>
      <w:r w:rsidR="006B57DD">
        <w:rPr>
          <w:rFonts w:cs="Arial"/>
        </w:rPr>
        <w:t xml:space="preserve">(known as Derrimut Road further south) </w:t>
      </w:r>
      <w:r>
        <w:rPr>
          <w:rFonts w:cs="Arial"/>
        </w:rPr>
        <w:t xml:space="preserve">will be an important north-south route from the Princess Highway at Werribee to </w:t>
      </w:r>
      <w:r w:rsidR="002E5E3F">
        <w:rPr>
          <w:rFonts w:cs="Arial"/>
        </w:rPr>
        <w:t>Sunbury</w:t>
      </w:r>
      <w:r>
        <w:rPr>
          <w:rFonts w:cs="Arial"/>
        </w:rPr>
        <w:t xml:space="preserve">. It will provide a key link to support the residential and industrial western growth areas. </w:t>
      </w:r>
      <w:r w:rsidRPr="001F605F">
        <w:rPr>
          <w:rFonts w:cs="Arial"/>
        </w:rPr>
        <w:t xml:space="preserve">Estimates are that by 2046, </w:t>
      </w:r>
      <w:r>
        <w:rPr>
          <w:rFonts w:cs="Arial"/>
        </w:rPr>
        <w:t xml:space="preserve">Hopkins Road will be carrying up to 55,000 vehicles per day. </w:t>
      </w:r>
      <w:r w:rsidR="0046348E">
        <w:rPr>
          <w:rFonts w:cs="Arial"/>
        </w:rPr>
        <w:t>This requires bridge construction over the Kororoit Creek early in the development of the Kororoit and Plumpton PSP areas.</w:t>
      </w:r>
    </w:p>
    <w:p w14:paraId="6F686D19" w14:textId="3FC2CA8D" w:rsidR="00C83037" w:rsidRDefault="00B815AF" w:rsidP="00B815AF">
      <w:pPr>
        <w:rPr>
          <w:rFonts w:cs="Arial"/>
        </w:rPr>
      </w:pPr>
      <w:r w:rsidRPr="00C83037">
        <w:rPr>
          <w:rFonts w:cs="TT184t00"/>
        </w:rPr>
        <w:t xml:space="preserve">Regional accessibility improvements will be achieved through the construction of the Outer Metropolitan Ring </w:t>
      </w:r>
      <w:r w:rsidR="006B57DD">
        <w:rPr>
          <w:rFonts w:cs="TT184t00"/>
        </w:rPr>
        <w:t>r</w:t>
      </w:r>
      <w:r w:rsidRPr="00C83037">
        <w:rPr>
          <w:rFonts w:cs="TT184t00"/>
        </w:rPr>
        <w:t>oad</w:t>
      </w:r>
      <w:r w:rsidR="00D54C32">
        <w:rPr>
          <w:rFonts w:cs="TT184t00"/>
        </w:rPr>
        <w:t xml:space="preserve"> and rail project</w:t>
      </w:r>
      <w:r w:rsidRPr="00C83037">
        <w:rPr>
          <w:rFonts w:cs="TT184t00"/>
        </w:rPr>
        <w:t xml:space="preserve"> (OMR), which immediately borders both precincts’ western boundaries. The OMR is being planned to accommodate a 100 kilometre long high-speed transport link for people and freight in Melbourne’s north and west, creating the opportunity for new road and rail transport links through the Werribee, Melton, Tullamarine, Craigieburn / Mickleham and Epping / Thomastown areas.</w:t>
      </w:r>
    </w:p>
    <w:p w14:paraId="142E481A" w14:textId="0FA60EC8" w:rsidR="00C83037" w:rsidRDefault="00B815AF" w:rsidP="003D6D33">
      <w:pPr>
        <w:rPr>
          <w:rFonts w:cs="TT184t00"/>
        </w:rPr>
      </w:pPr>
      <w:r w:rsidRPr="00C83037">
        <w:rPr>
          <w:rFonts w:cs="TT184t00"/>
        </w:rPr>
        <w:t>The O</w:t>
      </w:r>
      <w:r w:rsidR="004E18F3">
        <w:rPr>
          <w:rFonts w:cs="TT184t00"/>
        </w:rPr>
        <w:t xml:space="preserve">uter Metropolitan Ring Transport Corridor (OMR) will have significant road and rail </w:t>
      </w:r>
      <w:r w:rsidR="00573EE3">
        <w:rPr>
          <w:rFonts w:cs="TT184t00"/>
        </w:rPr>
        <w:t>functions. Interface issues will be addressed in respect of Victorian Principle Freight Network and National Key Freight Route and Land Transport networks.</w:t>
      </w:r>
      <w:r w:rsidR="00CD4005">
        <w:rPr>
          <w:rFonts w:cs="TT184t00"/>
        </w:rPr>
        <w:t xml:space="preserve"> </w:t>
      </w:r>
      <w:r w:rsidR="00573EE3">
        <w:rPr>
          <w:rFonts w:cs="TT184t00"/>
        </w:rPr>
        <w:t xml:space="preserve">The OMR </w:t>
      </w:r>
      <w:r w:rsidRPr="00C83037">
        <w:rPr>
          <w:rFonts w:cs="TT184t00"/>
        </w:rPr>
        <w:t>will be strategically important to the development of the Plumpton and Kororoit precincts, establishing new linkages that will connect the area to the residential and employment growth areas in the south and west of Melbourne and to key regional destinations including the Avalon Airport, Melbourne Airport and Hume</w:t>
      </w:r>
      <w:r w:rsidRPr="00C83037">
        <w:rPr>
          <w:rFonts w:cs="Calibri"/>
        </w:rPr>
        <w:t xml:space="preserve"> </w:t>
      </w:r>
      <w:r w:rsidRPr="00C83037">
        <w:rPr>
          <w:rFonts w:cs="TT184t00"/>
        </w:rPr>
        <w:t>Highway corridor.</w:t>
      </w:r>
      <w:r w:rsidR="006B57DD">
        <w:rPr>
          <w:rFonts w:cs="TT184t00"/>
        </w:rPr>
        <w:t xml:space="preserve"> OMR interchanges are proposed at Taylors Road and Melton Highway. Due to the reduced vehicular role of Beattys Road proposed since the WGCP, the Public Acquisition Overlay for the OMR will be updated to remove any interchange between Beattys Road and the OMR. In order to connect the OMR to the Western Freeway, additional widening of the Western Freeway will be required.</w:t>
      </w:r>
    </w:p>
    <w:p w14:paraId="313A2318" w14:textId="218C92A4" w:rsidR="00573EE3" w:rsidRPr="00573EE3" w:rsidRDefault="00573EE3" w:rsidP="003D6D33">
      <w:pPr>
        <w:rPr>
          <w:rFonts w:cs="TT184t00"/>
        </w:rPr>
      </w:pPr>
      <w:r>
        <w:rPr>
          <w:rFonts w:cs="TT184t00"/>
        </w:rPr>
        <w:t xml:space="preserve">Pedestrian bridges will be provided along the length of the Kororoit Creek providing strong </w:t>
      </w:r>
      <w:r w:rsidR="00CD4005">
        <w:rPr>
          <w:rFonts w:cs="TT184t00"/>
        </w:rPr>
        <w:t>and permeable</w:t>
      </w:r>
      <w:r>
        <w:rPr>
          <w:rFonts w:cs="TT184t00"/>
        </w:rPr>
        <w:t xml:space="preserve"> links for residents and visitors across the precinct to other neighbourhoods. A pedestrian bridge is proposed over the Western Highway promoting pedestrian and cycling movements and will be delivered in a timely manner with the future possible Mt Atkinson train station.</w:t>
      </w:r>
    </w:p>
    <w:p w14:paraId="31A9B203" w14:textId="77777777" w:rsidR="001A0DBF" w:rsidRDefault="001A0DBF" w:rsidP="003D6D33"/>
    <w:p w14:paraId="25764AAE" w14:textId="5563B6A5" w:rsidR="003D6D33" w:rsidRPr="001A0116" w:rsidRDefault="003D6D33" w:rsidP="003D6D33">
      <w:r w:rsidRPr="001A0116">
        <w:lastRenderedPageBreak/>
        <w:t>The MPA engaged Jacobs to complete a strategic modelling assessment and to determine the anticipated demands on the transport network for Plumpton and Kororoit.</w:t>
      </w:r>
      <w:r w:rsidR="00573EE3">
        <w:t xml:space="preserve"> </w:t>
      </w:r>
      <w:r w:rsidRPr="001A0116">
        <w:t xml:space="preserve">The aim of the assessment was to: </w:t>
      </w:r>
    </w:p>
    <w:p w14:paraId="461BBB1E" w14:textId="77777777" w:rsidR="003D6D33" w:rsidRPr="001A0116" w:rsidRDefault="003D6D33" w:rsidP="009E33F9">
      <w:pPr>
        <w:pStyle w:val="ListParagraph"/>
        <w:numPr>
          <w:ilvl w:val="0"/>
          <w:numId w:val="8"/>
        </w:numPr>
      </w:pPr>
      <w:r w:rsidRPr="001A0116">
        <w:t>Determine the likely volumes generated by land uses in and surrounding the precinct; and</w:t>
      </w:r>
    </w:p>
    <w:p w14:paraId="30E659CC" w14:textId="77777777" w:rsidR="003D6D33" w:rsidRPr="001A0116" w:rsidRDefault="003D6D33" w:rsidP="009E33F9">
      <w:pPr>
        <w:pStyle w:val="ListParagraph"/>
        <w:numPr>
          <w:ilvl w:val="0"/>
          <w:numId w:val="8"/>
        </w:numPr>
      </w:pPr>
      <w:r w:rsidRPr="001A0116">
        <w:t xml:space="preserve">Determine the number of lanes required in the interim (2026) and ultimate (2046) road network. </w:t>
      </w:r>
    </w:p>
    <w:p w14:paraId="100FB02B" w14:textId="75BE5C4F" w:rsidR="00E07497" w:rsidRDefault="00E07497" w:rsidP="00E07497">
      <w:r w:rsidRPr="001A0116">
        <w:t xml:space="preserve">The </w:t>
      </w:r>
      <w:r w:rsidR="0046348E">
        <w:t>s</w:t>
      </w:r>
      <w:r w:rsidRPr="001A0116">
        <w:t>trategic modelling undertaken by Jacobs revealed that the original proposed road network has the capacity to accommodate the trips generated by the future community.</w:t>
      </w:r>
    </w:p>
    <w:p w14:paraId="7A6370DB" w14:textId="53ED7C71" w:rsidR="002075D9" w:rsidRPr="002075D9" w:rsidRDefault="002075D9" w:rsidP="00E07497">
      <w:pPr>
        <w:rPr>
          <w:b/>
        </w:rPr>
      </w:pPr>
      <w:r w:rsidRPr="002075D9">
        <w:rPr>
          <w:b/>
        </w:rPr>
        <w:t>Road volumes and proposed classifications</w:t>
      </w:r>
    </w:p>
    <w:tbl>
      <w:tblPr>
        <w:tblStyle w:val="TableGrid"/>
        <w:tblW w:w="9067" w:type="dxa"/>
        <w:tblLook w:val="04A0" w:firstRow="1" w:lastRow="0" w:firstColumn="1" w:lastColumn="0" w:noHBand="0" w:noVBand="1"/>
      </w:tblPr>
      <w:tblGrid>
        <w:gridCol w:w="1553"/>
        <w:gridCol w:w="1534"/>
        <w:gridCol w:w="1642"/>
        <w:gridCol w:w="2070"/>
        <w:gridCol w:w="2268"/>
      </w:tblGrid>
      <w:tr w:rsidR="00B064BD" w:rsidRPr="001A0116" w14:paraId="3A3C0D40" w14:textId="77777777" w:rsidTr="001A0116">
        <w:tc>
          <w:tcPr>
            <w:tcW w:w="1553" w:type="dxa"/>
          </w:tcPr>
          <w:p w14:paraId="44E618EB" w14:textId="77777777" w:rsidR="00B064BD" w:rsidRPr="001A0116" w:rsidRDefault="00B064BD" w:rsidP="000B3B2A">
            <w:pPr>
              <w:rPr>
                <w:b/>
              </w:rPr>
            </w:pPr>
            <w:r w:rsidRPr="001A0116">
              <w:rPr>
                <w:b/>
              </w:rPr>
              <w:t>Road Name</w:t>
            </w:r>
          </w:p>
        </w:tc>
        <w:tc>
          <w:tcPr>
            <w:tcW w:w="1534" w:type="dxa"/>
          </w:tcPr>
          <w:p w14:paraId="4A56CB28" w14:textId="77777777" w:rsidR="00B064BD" w:rsidRPr="001A0116" w:rsidRDefault="00B064BD" w:rsidP="000B3B2A">
            <w:pPr>
              <w:rPr>
                <w:b/>
              </w:rPr>
            </w:pPr>
            <w:r w:rsidRPr="001A0116">
              <w:rPr>
                <w:b/>
              </w:rPr>
              <w:t>Expected Daily Traffic Volume (2046)</w:t>
            </w:r>
          </w:p>
        </w:tc>
        <w:tc>
          <w:tcPr>
            <w:tcW w:w="1642" w:type="dxa"/>
          </w:tcPr>
          <w:p w14:paraId="7EBCAAEC" w14:textId="77777777" w:rsidR="00B064BD" w:rsidRPr="001A0116" w:rsidRDefault="00B064BD" w:rsidP="00074606">
            <w:pPr>
              <w:rPr>
                <w:b/>
              </w:rPr>
            </w:pPr>
            <w:r w:rsidRPr="001A0116">
              <w:rPr>
                <w:b/>
              </w:rPr>
              <w:t>Proposed Classification and number of lanes (ultimate)</w:t>
            </w:r>
          </w:p>
        </w:tc>
        <w:tc>
          <w:tcPr>
            <w:tcW w:w="2070" w:type="dxa"/>
          </w:tcPr>
          <w:p w14:paraId="26F6276E" w14:textId="77777777" w:rsidR="00B064BD" w:rsidRPr="001A0116" w:rsidRDefault="00B064BD" w:rsidP="000B3B2A">
            <w:pPr>
              <w:rPr>
                <w:b/>
              </w:rPr>
            </w:pPr>
            <w:r w:rsidRPr="001A0116">
              <w:rPr>
                <w:b/>
              </w:rPr>
              <w:t>Proposed Classification and number of lanes (interim)</w:t>
            </w:r>
          </w:p>
        </w:tc>
        <w:tc>
          <w:tcPr>
            <w:tcW w:w="2268" w:type="dxa"/>
          </w:tcPr>
          <w:p w14:paraId="4C537F00" w14:textId="77777777" w:rsidR="00B064BD" w:rsidRPr="001A0116" w:rsidRDefault="00B064BD" w:rsidP="000B3B2A">
            <w:pPr>
              <w:rPr>
                <w:b/>
              </w:rPr>
            </w:pPr>
            <w:r w:rsidRPr="001A0116">
              <w:rPr>
                <w:b/>
              </w:rPr>
              <w:t>Daily Traffic Limit Associated with Proposed Classification</w:t>
            </w:r>
          </w:p>
        </w:tc>
      </w:tr>
      <w:tr w:rsidR="00B064BD" w:rsidRPr="001A0116" w14:paraId="34CB3234" w14:textId="77777777" w:rsidTr="001A0116">
        <w:tc>
          <w:tcPr>
            <w:tcW w:w="1553" w:type="dxa"/>
          </w:tcPr>
          <w:p w14:paraId="2CD51975" w14:textId="77777777" w:rsidR="00B064BD" w:rsidRPr="001A0116" w:rsidRDefault="00B064BD" w:rsidP="00074606">
            <w:pPr>
              <w:rPr>
                <w:b/>
              </w:rPr>
            </w:pPr>
            <w:r w:rsidRPr="001A0116">
              <w:rPr>
                <w:b/>
              </w:rPr>
              <w:t>Hopkins Road</w:t>
            </w:r>
          </w:p>
        </w:tc>
        <w:tc>
          <w:tcPr>
            <w:tcW w:w="1534" w:type="dxa"/>
          </w:tcPr>
          <w:p w14:paraId="063E62BE" w14:textId="77777777" w:rsidR="00B064BD" w:rsidRDefault="00B064BD" w:rsidP="000F2FCA">
            <w:pPr>
              <w:jc w:val="both"/>
              <w:rPr>
                <w:sz w:val="20"/>
                <w:szCs w:val="20"/>
              </w:rPr>
            </w:pPr>
            <w:r w:rsidRPr="001A0116">
              <w:rPr>
                <w:sz w:val="20"/>
                <w:szCs w:val="20"/>
              </w:rPr>
              <w:t>47,800 – 54,000</w:t>
            </w:r>
          </w:p>
          <w:p w14:paraId="225EC035" w14:textId="77777777" w:rsidR="001A0116" w:rsidRPr="001A0116" w:rsidRDefault="001A0116" w:rsidP="000F2FCA">
            <w:pPr>
              <w:jc w:val="both"/>
              <w:rPr>
                <w:sz w:val="20"/>
                <w:szCs w:val="20"/>
              </w:rPr>
            </w:pPr>
          </w:p>
        </w:tc>
        <w:tc>
          <w:tcPr>
            <w:tcW w:w="1642" w:type="dxa"/>
          </w:tcPr>
          <w:p w14:paraId="28007909" w14:textId="77777777" w:rsidR="00B064BD" w:rsidRPr="001A0116" w:rsidRDefault="00B064BD" w:rsidP="00B064BD">
            <w:pPr>
              <w:rPr>
                <w:sz w:val="20"/>
                <w:szCs w:val="20"/>
              </w:rPr>
            </w:pPr>
            <w:r w:rsidRPr="001A0116">
              <w:rPr>
                <w:sz w:val="20"/>
                <w:szCs w:val="20"/>
              </w:rPr>
              <w:t>Primary Arterial (6 lanes)</w:t>
            </w:r>
          </w:p>
        </w:tc>
        <w:tc>
          <w:tcPr>
            <w:tcW w:w="2070" w:type="dxa"/>
          </w:tcPr>
          <w:p w14:paraId="3530288F" w14:textId="77777777" w:rsidR="00B064BD" w:rsidRPr="001A0116" w:rsidRDefault="00E07497" w:rsidP="000F2FCA">
            <w:pPr>
              <w:pStyle w:val="Default"/>
              <w:rPr>
                <w:rFonts w:asciiTheme="minorHAnsi" w:hAnsiTheme="minorHAnsi"/>
                <w:sz w:val="20"/>
                <w:szCs w:val="20"/>
              </w:rPr>
            </w:pPr>
            <w:r w:rsidRPr="001A0116">
              <w:rPr>
                <w:rFonts w:asciiTheme="minorHAnsi" w:hAnsiTheme="minorHAnsi"/>
                <w:sz w:val="20"/>
                <w:szCs w:val="20"/>
              </w:rPr>
              <w:t>2 lane arterial (4 lane arterial between Neale Road and east-west connector)</w:t>
            </w:r>
          </w:p>
        </w:tc>
        <w:tc>
          <w:tcPr>
            <w:tcW w:w="2268" w:type="dxa"/>
          </w:tcPr>
          <w:p w14:paraId="1390CB12" w14:textId="77777777" w:rsidR="00B064BD" w:rsidRPr="001A0116" w:rsidRDefault="00B064BD" w:rsidP="000F2FCA">
            <w:pPr>
              <w:pStyle w:val="Default"/>
              <w:rPr>
                <w:rFonts w:asciiTheme="minorHAnsi" w:hAnsiTheme="minorHAnsi"/>
                <w:sz w:val="20"/>
                <w:szCs w:val="20"/>
              </w:rPr>
            </w:pPr>
            <w:r w:rsidRPr="001A0116">
              <w:rPr>
                <w:rFonts w:asciiTheme="minorHAnsi" w:hAnsiTheme="minorHAnsi"/>
                <w:sz w:val="20"/>
                <w:szCs w:val="20"/>
              </w:rPr>
              <w:t xml:space="preserve">Greater than 40,000 vpd </w:t>
            </w:r>
          </w:p>
        </w:tc>
      </w:tr>
      <w:tr w:rsidR="00E07497" w:rsidRPr="001A0116" w14:paraId="6E615105" w14:textId="77777777" w:rsidTr="001A0116">
        <w:tc>
          <w:tcPr>
            <w:tcW w:w="1553" w:type="dxa"/>
          </w:tcPr>
          <w:p w14:paraId="7251C55C" w14:textId="77777777" w:rsidR="00E07497" w:rsidRPr="001A0116" w:rsidRDefault="00E07497" w:rsidP="00E07497">
            <w:pPr>
              <w:rPr>
                <w:b/>
              </w:rPr>
            </w:pPr>
            <w:r w:rsidRPr="001A0116">
              <w:rPr>
                <w:b/>
              </w:rPr>
              <w:t>Taylors Road</w:t>
            </w:r>
          </w:p>
        </w:tc>
        <w:tc>
          <w:tcPr>
            <w:tcW w:w="1534" w:type="dxa"/>
          </w:tcPr>
          <w:p w14:paraId="460D5DC5" w14:textId="77777777" w:rsidR="00E07497" w:rsidRPr="001A0116" w:rsidRDefault="00E07497" w:rsidP="00E07497">
            <w:pPr>
              <w:jc w:val="both"/>
              <w:rPr>
                <w:sz w:val="20"/>
                <w:szCs w:val="20"/>
              </w:rPr>
            </w:pPr>
            <w:r w:rsidRPr="001A0116">
              <w:rPr>
                <w:sz w:val="20"/>
                <w:szCs w:val="20"/>
              </w:rPr>
              <w:t>45,500 – 56,400</w:t>
            </w:r>
          </w:p>
        </w:tc>
        <w:tc>
          <w:tcPr>
            <w:tcW w:w="1642" w:type="dxa"/>
          </w:tcPr>
          <w:p w14:paraId="09D33872" w14:textId="77777777" w:rsidR="00E07497" w:rsidRPr="001A0116" w:rsidRDefault="00E07497" w:rsidP="00E07497">
            <w:pPr>
              <w:rPr>
                <w:sz w:val="20"/>
                <w:szCs w:val="20"/>
              </w:rPr>
            </w:pPr>
            <w:r w:rsidRPr="001A0116">
              <w:rPr>
                <w:sz w:val="20"/>
                <w:szCs w:val="20"/>
              </w:rPr>
              <w:t>Primary Arterial (6 lanes)</w:t>
            </w:r>
          </w:p>
        </w:tc>
        <w:tc>
          <w:tcPr>
            <w:tcW w:w="2070" w:type="dxa"/>
          </w:tcPr>
          <w:p w14:paraId="072913C8" w14:textId="77777777" w:rsidR="00E07497" w:rsidRPr="001A0116" w:rsidRDefault="00E07497" w:rsidP="00E07497">
            <w:pPr>
              <w:rPr>
                <w:sz w:val="20"/>
                <w:szCs w:val="20"/>
              </w:rPr>
            </w:pPr>
            <w:r w:rsidRPr="001A0116">
              <w:rPr>
                <w:sz w:val="20"/>
                <w:szCs w:val="20"/>
              </w:rPr>
              <w:t>2 lane arterial</w:t>
            </w:r>
          </w:p>
        </w:tc>
        <w:tc>
          <w:tcPr>
            <w:tcW w:w="2268" w:type="dxa"/>
          </w:tcPr>
          <w:p w14:paraId="4DE89322" w14:textId="77777777" w:rsidR="00E07497" w:rsidRPr="001A0116" w:rsidRDefault="00E07497" w:rsidP="00E07497">
            <w:pPr>
              <w:pStyle w:val="Default"/>
              <w:rPr>
                <w:rFonts w:asciiTheme="minorHAnsi" w:hAnsiTheme="minorHAnsi"/>
                <w:sz w:val="20"/>
                <w:szCs w:val="20"/>
              </w:rPr>
            </w:pPr>
            <w:r w:rsidRPr="001A0116">
              <w:rPr>
                <w:rFonts w:asciiTheme="minorHAnsi" w:hAnsiTheme="minorHAnsi"/>
                <w:sz w:val="20"/>
                <w:szCs w:val="20"/>
              </w:rPr>
              <w:t xml:space="preserve">Greater than 40,000 vpd </w:t>
            </w:r>
          </w:p>
        </w:tc>
      </w:tr>
      <w:tr w:rsidR="00E07497" w:rsidRPr="001A0116" w14:paraId="0D0F7470" w14:textId="77777777" w:rsidTr="001A0116">
        <w:tc>
          <w:tcPr>
            <w:tcW w:w="1553" w:type="dxa"/>
          </w:tcPr>
          <w:p w14:paraId="266E2C92" w14:textId="77777777" w:rsidR="00E07497" w:rsidRPr="001A0116" w:rsidRDefault="00E07497" w:rsidP="00E07497">
            <w:pPr>
              <w:rPr>
                <w:b/>
              </w:rPr>
            </w:pPr>
            <w:r w:rsidRPr="001A0116">
              <w:rPr>
                <w:b/>
              </w:rPr>
              <w:t>Melton Highway</w:t>
            </w:r>
          </w:p>
        </w:tc>
        <w:tc>
          <w:tcPr>
            <w:tcW w:w="1534" w:type="dxa"/>
          </w:tcPr>
          <w:p w14:paraId="6BB0AB56" w14:textId="77777777" w:rsidR="00E07497" w:rsidRPr="001A0116" w:rsidRDefault="00E07497" w:rsidP="00E07497">
            <w:pPr>
              <w:jc w:val="both"/>
              <w:rPr>
                <w:sz w:val="20"/>
                <w:szCs w:val="20"/>
              </w:rPr>
            </w:pPr>
            <w:r w:rsidRPr="001A0116">
              <w:rPr>
                <w:sz w:val="20"/>
                <w:szCs w:val="20"/>
              </w:rPr>
              <w:t>36,300 – 55,600</w:t>
            </w:r>
          </w:p>
        </w:tc>
        <w:tc>
          <w:tcPr>
            <w:tcW w:w="1642" w:type="dxa"/>
          </w:tcPr>
          <w:p w14:paraId="73A9FB53" w14:textId="77777777" w:rsidR="00E07497" w:rsidRPr="001A0116" w:rsidRDefault="00E07497" w:rsidP="00E07497">
            <w:pPr>
              <w:rPr>
                <w:sz w:val="20"/>
                <w:szCs w:val="20"/>
              </w:rPr>
            </w:pPr>
            <w:r w:rsidRPr="001A0116">
              <w:rPr>
                <w:sz w:val="20"/>
                <w:szCs w:val="20"/>
              </w:rPr>
              <w:t>Primary Arterial (6 lanes)</w:t>
            </w:r>
          </w:p>
        </w:tc>
        <w:tc>
          <w:tcPr>
            <w:tcW w:w="2070" w:type="dxa"/>
          </w:tcPr>
          <w:p w14:paraId="5B1B8D5F" w14:textId="77777777" w:rsidR="00E07497" w:rsidRPr="001A0116" w:rsidRDefault="00E07497" w:rsidP="00E07497">
            <w:pPr>
              <w:rPr>
                <w:sz w:val="20"/>
                <w:szCs w:val="20"/>
              </w:rPr>
            </w:pPr>
            <w:r w:rsidRPr="001A0116">
              <w:rPr>
                <w:sz w:val="20"/>
                <w:szCs w:val="20"/>
              </w:rPr>
              <w:t>2 lane arterial</w:t>
            </w:r>
          </w:p>
        </w:tc>
        <w:tc>
          <w:tcPr>
            <w:tcW w:w="2268" w:type="dxa"/>
          </w:tcPr>
          <w:p w14:paraId="4B0B56D8" w14:textId="77777777" w:rsidR="00E07497" w:rsidRPr="001A0116" w:rsidRDefault="00E07497" w:rsidP="00E07497">
            <w:pPr>
              <w:pStyle w:val="Default"/>
              <w:rPr>
                <w:rFonts w:asciiTheme="minorHAnsi" w:hAnsiTheme="minorHAnsi"/>
                <w:sz w:val="20"/>
                <w:szCs w:val="20"/>
              </w:rPr>
            </w:pPr>
            <w:r w:rsidRPr="001A0116">
              <w:rPr>
                <w:rFonts w:asciiTheme="minorHAnsi" w:hAnsiTheme="minorHAnsi"/>
                <w:sz w:val="20"/>
                <w:szCs w:val="20"/>
              </w:rPr>
              <w:t xml:space="preserve">Greater than 40,000 vpd </w:t>
            </w:r>
          </w:p>
        </w:tc>
      </w:tr>
      <w:tr w:rsidR="00E07497" w:rsidRPr="001A0116" w14:paraId="687A0219" w14:textId="77777777" w:rsidTr="001A0116">
        <w:tc>
          <w:tcPr>
            <w:tcW w:w="1553" w:type="dxa"/>
          </w:tcPr>
          <w:p w14:paraId="24F2A99B" w14:textId="77777777" w:rsidR="00E07497" w:rsidRPr="001A0116" w:rsidRDefault="00E07497" w:rsidP="00E07497">
            <w:pPr>
              <w:rPr>
                <w:b/>
              </w:rPr>
            </w:pPr>
            <w:r w:rsidRPr="001A0116">
              <w:rPr>
                <w:b/>
              </w:rPr>
              <w:t>Tarleton Road</w:t>
            </w:r>
          </w:p>
        </w:tc>
        <w:tc>
          <w:tcPr>
            <w:tcW w:w="1534" w:type="dxa"/>
          </w:tcPr>
          <w:p w14:paraId="0C616CA3" w14:textId="77777777" w:rsidR="00E07497" w:rsidRPr="001A0116" w:rsidRDefault="00E07497" w:rsidP="00E07497">
            <w:pPr>
              <w:jc w:val="both"/>
              <w:rPr>
                <w:sz w:val="20"/>
                <w:szCs w:val="20"/>
              </w:rPr>
            </w:pPr>
            <w:r w:rsidRPr="001A0116">
              <w:rPr>
                <w:sz w:val="20"/>
                <w:szCs w:val="20"/>
              </w:rPr>
              <w:t>10,300 – 20,500</w:t>
            </w:r>
          </w:p>
        </w:tc>
        <w:tc>
          <w:tcPr>
            <w:tcW w:w="1642" w:type="dxa"/>
          </w:tcPr>
          <w:p w14:paraId="10916E14" w14:textId="77777777" w:rsidR="00E07497" w:rsidRPr="001A0116" w:rsidRDefault="00E07497" w:rsidP="00E07497">
            <w:pPr>
              <w:rPr>
                <w:sz w:val="20"/>
                <w:szCs w:val="20"/>
              </w:rPr>
            </w:pPr>
            <w:r w:rsidRPr="001A0116">
              <w:rPr>
                <w:sz w:val="20"/>
                <w:szCs w:val="20"/>
              </w:rPr>
              <w:t>Secondary Arterial (4 lanes)</w:t>
            </w:r>
          </w:p>
        </w:tc>
        <w:tc>
          <w:tcPr>
            <w:tcW w:w="2070" w:type="dxa"/>
          </w:tcPr>
          <w:p w14:paraId="3638A5F8" w14:textId="77777777" w:rsidR="00E07497" w:rsidRPr="001A0116" w:rsidRDefault="00E07497" w:rsidP="00E07497">
            <w:pPr>
              <w:rPr>
                <w:sz w:val="20"/>
                <w:szCs w:val="20"/>
              </w:rPr>
            </w:pPr>
            <w:r w:rsidRPr="001A0116">
              <w:rPr>
                <w:sz w:val="20"/>
                <w:szCs w:val="20"/>
              </w:rPr>
              <w:t>2 lane arterial</w:t>
            </w:r>
          </w:p>
        </w:tc>
        <w:tc>
          <w:tcPr>
            <w:tcW w:w="2268" w:type="dxa"/>
          </w:tcPr>
          <w:p w14:paraId="3643F77B" w14:textId="77777777" w:rsidR="00E07497" w:rsidRPr="001A0116" w:rsidRDefault="00E07497" w:rsidP="00E07497">
            <w:pPr>
              <w:pStyle w:val="Default"/>
              <w:rPr>
                <w:rFonts w:asciiTheme="minorHAnsi" w:hAnsiTheme="minorHAnsi"/>
                <w:sz w:val="20"/>
                <w:szCs w:val="20"/>
              </w:rPr>
            </w:pPr>
            <w:r w:rsidRPr="001A0116">
              <w:rPr>
                <w:rFonts w:asciiTheme="minorHAnsi" w:hAnsiTheme="minorHAnsi"/>
                <w:sz w:val="20"/>
                <w:szCs w:val="20"/>
              </w:rPr>
              <w:t xml:space="preserve">12,000 to 40,000 vpd </w:t>
            </w:r>
          </w:p>
        </w:tc>
      </w:tr>
      <w:tr w:rsidR="00E07497" w:rsidRPr="001A0116" w14:paraId="002075B3" w14:textId="77777777" w:rsidTr="001A0116">
        <w:tc>
          <w:tcPr>
            <w:tcW w:w="1553" w:type="dxa"/>
          </w:tcPr>
          <w:p w14:paraId="2BAF5FCF" w14:textId="77777777" w:rsidR="00E07497" w:rsidRPr="001A0116" w:rsidRDefault="00E07497" w:rsidP="00E07497">
            <w:pPr>
              <w:rPr>
                <w:b/>
              </w:rPr>
            </w:pPr>
            <w:r w:rsidRPr="001A0116">
              <w:rPr>
                <w:b/>
              </w:rPr>
              <w:t>Neale Road</w:t>
            </w:r>
          </w:p>
        </w:tc>
        <w:tc>
          <w:tcPr>
            <w:tcW w:w="1534" w:type="dxa"/>
          </w:tcPr>
          <w:p w14:paraId="01FB632B" w14:textId="77777777" w:rsidR="00E07497" w:rsidRPr="001A0116" w:rsidRDefault="00E07497" w:rsidP="00E07497">
            <w:pPr>
              <w:rPr>
                <w:sz w:val="20"/>
                <w:szCs w:val="20"/>
              </w:rPr>
            </w:pPr>
            <w:r w:rsidRPr="001A0116">
              <w:rPr>
                <w:sz w:val="20"/>
                <w:szCs w:val="20"/>
              </w:rPr>
              <w:t>15,500</w:t>
            </w:r>
          </w:p>
        </w:tc>
        <w:tc>
          <w:tcPr>
            <w:tcW w:w="1642" w:type="dxa"/>
          </w:tcPr>
          <w:p w14:paraId="2418095E" w14:textId="77777777" w:rsidR="00E07497" w:rsidRPr="001A0116" w:rsidRDefault="00E07497" w:rsidP="00E07497">
            <w:pPr>
              <w:rPr>
                <w:sz w:val="20"/>
                <w:szCs w:val="20"/>
              </w:rPr>
            </w:pPr>
            <w:r w:rsidRPr="001A0116">
              <w:rPr>
                <w:sz w:val="20"/>
                <w:szCs w:val="20"/>
              </w:rPr>
              <w:t>Secondary Arterial (4 lanes)</w:t>
            </w:r>
          </w:p>
        </w:tc>
        <w:tc>
          <w:tcPr>
            <w:tcW w:w="2070" w:type="dxa"/>
          </w:tcPr>
          <w:p w14:paraId="492C1D16" w14:textId="77777777" w:rsidR="00E07497" w:rsidRPr="001A0116" w:rsidRDefault="00E07497" w:rsidP="00E07497">
            <w:pPr>
              <w:rPr>
                <w:sz w:val="20"/>
                <w:szCs w:val="20"/>
              </w:rPr>
            </w:pPr>
            <w:r w:rsidRPr="001A0116">
              <w:rPr>
                <w:sz w:val="20"/>
                <w:szCs w:val="20"/>
              </w:rPr>
              <w:t>2 lane arterial</w:t>
            </w:r>
          </w:p>
        </w:tc>
        <w:tc>
          <w:tcPr>
            <w:tcW w:w="2268" w:type="dxa"/>
          </w:tcPr>
          <w:p w14:paraId="3C64BFD7" w14:textId="77777777" w:rsidR="00E07497" w:rsidRPr="001A0116" w:rsidRDefault="00E07497" w:rsidP="00E07497">
            <w:pPr>
              <w:rPr>
                <w:sz w:val="20"/>
                <w:szCs w:val="20"/>
              </w:rPr>
            </w:pPr>
            <w:r w:rsidRPr="001A0116">
              <w:rPr>
                <w:sz w:val="20"/>
                <w:szCs w:val="20"/>
              </w:rPr>
              <w:t>12,000 to 40,000 vpd</w:t>
            </w:r>
          </w:p>
        </w:tc>
      </w:tr>
      <w:tr w:rsidR="00E07497" w:rsidRPr="001A0116" w14:paraId="73150C8E" w14:textId="77777777" w:rsidTr="001A0116">
        <w:tc>
          <w:tcPr>
            <w:tcW w:w="1553" w:type="dxa"/>
          </w:tcPr>
          <w:p w14:paraId="784FF84A" w14:textId="77777777" w:rsidR="00E07497" w:rsidRPr="001A0116" w:rsidRDefault="00E07497" w:rsidP="00E07497">
            <w:pPr>
              <w:rPr>
                <w:b/>
              </w:rPr>
            </w:pPr>
            <w:r w:rsidRPr="001A0116">
              <w:rPr>
                <w:b/>
              </w:rPr>
              <w:t>Sinclairs Road</w:t>
            </w:r>
          </w:p>
        </w:tc>
        <w:tc>
          <w:tcPr>
            <w:tcW w:w="1534" w:type="dxa"/>
          </w:tcPr>
          <w:p w14:paraId="2EF52BCB" w14:textId="77777777" w:rsidR="00E07497" w:rsidRPr="001A0116" w:rsidRDefault="00E07497" w:rsidP="00E07497">
            <w:pPr>
              <w:rPr>
                <w:sz w:val="20"/>
                <w:szCs w:val="20"/>
              </w:rPr>
            </w:pPr>
            <w:r w:rsidRPr="001A0116">
              <w:rPr>
                <w:sz w:val="20"/>
                <w:szCs w:val="20"/>
              </w:rPr>
              <w:t>4,000</w:t>
            </w:r>
          </w:p>
        </w:tc>
        <w:tc>
          <w:tcPr>
            <w:tcW w:w="1642" w:type="dxa"/>
          </w:tcPr>
          <w:p w14:paraId="0E9DC4D2" w14:textId="77777777" w:rsidR="00E07497" w:rsidRPr="001A0116" w:rsidRDefault="00E07497" w:rsidP="00E07497">
            <w:pPr>
              <w:rPr>
                <w:sz w:val="20"/>
                <w:szCs w:val="20"/>
              </w:rPr>
            </w:pPr>
            <w:r w:rsidRPr="001A0116">
              <w:rPr>
                <w:sz w:val="20"/>
                <w:szCs w:val="20"/>
              </w:rPr>
              <w:t>Connector Road (2 lanes)</w:t>
            </w:r>
          </w:p>
        </w:tc>
        <w:tc>
          <w:tcPr>
            <w:tcW w:w="2070" w:type="dxa"/>
          </w:tcPr>
          <w:p w14:paraId="559456FF" w14:textId="77777777" w:rsidR="00E07497" w:rsidRPr="001A0116" w:rsidRDefault="00E07497" w:rsidP="00E07497">
            <w:pPr>
              <w:rPr>
                <w:sz w:val="20"/>
                <w:szCs w:val="20"/>
              </w:rPr>
            </w:pPr>
            <w:r w:rsidRPr="001A0116">
              <w:rPr>
                <w:sz w:val="20"/>
                <w:szCs w:val="20"/>
              </w:rPr>
              <w:t>Connector Road (2 lanes)</w:t>
            </w:r>
          </w:p>
        </w:tc>
        <w:tc>
          <w:tcPr>
            <w:tcW w:w="2268" w:type="dxa"/>
          </w:tcPr>
          <w:p w14:paraId="36DA6302" w14:textId="77777777" w:rsidR="00E07497" w:rsidRPr="001A0116" w:rsidRDefault="00E07497" w:rsidP="00E07497">
            <w:pPr>
              <w:pStyle w:val="Default"/>
              <w:rPr>
                <w:rFonts w:asciiTheme="minorHAnsi" w:hAnsiTheme="minorHAnsi"/>
                <w:sz w:val="20"/>
                <w:szCs w:val="20"/>
              </w:rPr>
            </w:pPr>
            <w:r w:rsidRPr="001A0116">
              <w:rPr>
                <w:rFonts w:asciiTheme="minorHAnsi" w:hAnsiTheme="minorHAnsi"/>
                <w:sz w:val="20"/>
                <w:szCs w:val="20"/>
              </w:rPr>
              <w:t xml:space="preserve">3,000 to 7,000 vpd </w:t>
            </w:r>
          </w:p>
        </w:tc>
      </w:tr>
      <w:tr w:rsidR="00E07497" w:rsidRPr="001A0116" w14:paraId="5C782FB6" w14:textId="77777777" w:rsidTr="001A0116">
        <w:tc>
          <w:tcPr>
            <w:tcW w:w="1553" w:type="dxa"/>
          </w:tcPr>
          <w:p w14:paraId="098F92B5" w14:textId="77777777" w:rsidR="00E07497" w:rsidRPr="001A0116" w:rsidRDefault="00E07497" w:rsidP="00E07497">
            <w:pPr>
              <w:rPr>
                <w:b/>
              </w:rPr>
            </w:pPr>
            <w:r w:rsidRPr="001A0116">
              <w:rPr>
                <w:b/>
              </w:rPr>
              <w:t>Plumpton Road</w:t>
            </w:r>
          </w:p>
        </w:tc>
        <w:tc>
          <w:tcPr>
            <w:tcW w:w="1534" w:type="dxa"/>
          </w:tcPr>
          <w:p w14:paraId="63FBEB9D" w14:textId="77777777" w:rsidR="00E07497" w:rsidRPr="001A0116" w:rsidRDefault="00E07497" w:rsidP="00E07497">
            <w:pPr>
              <w:rPr>
                <w:sz w:val="20"/>
                <w:szCs w:val="20"/>
              </w:rPr>
            </w:pPr>
            <w:r w:rsidRPr="001A0116">
              <w:rPr>
                <w:sz w:val="20"/>
                <w:szCs w:val="20"/>
              </w:rPr>
              <w:t>3,300 – 10,000</w:t>
            </w:r>
          </w:p>
        </w:tc>
        <w:tc>
          <w:tcPr>
            <w:tcW w:w="1642" w:type="dxa"/>
          </w:tcPr>
          <w:p w14:paraId="528AD946" w14:textId="77777777" w:rsidR="00E07497" w:rsidRPr="001A0116" w:rsidRDefault="00E07497" w:rsidP="00E07497">
            <w:pPr>
              <w:rPr>
                <w:sz w:val="20"/>
                <w:szCs w:val="20"/>
              </w:rPr>
            </w:pPr>
            <w:r w:rsidRPr="001A0116">
              <w:rPr>
                <w:sz w:val="20"/>
                <w:szCs w:val="20"/>
              </w:rPr>
              <w:t>Connector Road (2 lanes)</w:t>
            </w:r>
          </w:p>
        </w:tc>
        <w:tc>
          <w:tcPr>
            <w:tcW w:w="2070" w:type="dxa"/>
          </w:tcPr>
          <w:p w14:paraId="33BE3A35" w14:textId="77777777" w:rsidR="00E07497" w:rsidRPr="001A0116" w:rsidRDefault="00E07497" w:rsidP="00E07497">
            <w:pPr>
              <w:rPr>
                <w:sz w:val="20"/>
                <w:szCs w:val="20"/>
              </w:rPr>
            </w:pPr>
            <w:r w:rsidRPr="001A0116">
              <w:rPr>
                <w:sz w:val="20"/>
                <w:szCs w:val="20"/>
              </w:rPr>
              <w:t>Connector Road (2 lanes)</w:t>
            </w:r>
          </w:p>
        </w:tc>
        <w:tc>
          <w:tcPr>
            <w:tcW w:w="2268" w:type="dxa"/>
          </w:tcPr>
          <w:p w14:paraId="23CBCCB0" w14:textId="77777777" w:rsidR="00E07497" w:rsidRPr="001A0116" w:rsidRDefault="00E07497" w:rsidP="00E07497">
            <w:pPr>
              <w:pStyle w:val="Default"/>
              <w:rPr>
                <w:rFonts w:asciiTheme="minorHAnsi" w:hAnsiTheme="minorHAnsi"/>
                <w:sz w:val="20"/>
                <w:szCs w:val="20"/>
              </w:rPr>
            </w:pPr>
            <w:r w:rsidRPr="001A0116">
              <w:rPr>
                <w:rFonts w:asciiTheme="minorHAnsi" w:hAnsiTheme="minorHAnsi"/>
                <w:sz w:val="20"/>
                <w:szCs w:val="20"/>
              </w:rPr>
              <w:t xml:space="preserve">3,000 to 7,000 vpd </w:t>
            </w:r>
          </w:p>
        </w:tc>
      </w:tr>
      <w:tr w:rsidR="00E07497" w:rsidRPr="001A0116" w14:paraId="607ACA37" w14:textId="77777777" w:rsidTr="001A0116">
        <w:tc>
          <w:tcPr>
            <w:tcW w:w="1553" w:type="dxa"/>
          </w:tcPr>
          <w:p w14:paraId="09CB46AA" w14:textId="77777777" w:rsidR="00E07497" w:rsidRPr="001A0116" w:rsidRDefault="00E07497" w:rsidP="00E07497">
            <w:pPr>
              <w:rPr>
                <w:b/>
              </w:rPr>
            </w:pPr>
            <w:r w:rsidRPr="001A0116">
              <w:rPr>
                <w:b/>
              </w:rPr>
              <w:t>Saric Court</w:t>
            </w:r>
          </w:p>
        </w:tc>
        <w:tc>
          <w:tcPr>
            <w:tcW w:w="1534" w:type="dxa"/>
          </w:tcPr>
          <w:p w14:paraId="5662B0A9" w14:textId="77777777" w:rsidR="00E07497" w:rsidRPr="001A0116" w:rsidRDefault="00E07497" w:rsidP="00E07497">
            <w:pPr>
              <w:rPr>
                <w:sz w:val="20"/>
                <w:szCs w:val="20"/>
              </w:rPr>
            </w:pPr>
            <w:r w:rsidRPr="001A0116">
              <w:rPr>
                <w:sz w:val="20"/>
                <w:szCs w:val="20"/>
              </w:rPr>
              <w:t>5,000 – 6,000</w:t>
            </w:r>
          </w:p>
        </w:tc>
        <w:tc>
          <w:tcPr>
            <w:tcW w:w="1642" w:type="dxa"/>
          </w:tcPr>
          <w:p w14:paraId="2320397C" w14:textId="77777777" w:rsidR="00E07497" w:rsidRPr="001A0116" w:rsidRDefault="00E07497" w:rsidP="00E07497">
            <w:pPr>
              <w:rPr>
                <w:sz w:val="20"/>
                <w:szCs w:val="20"/>
              </w:rPr>
            </w:pPr>
            <w:r w:rsidRPr="001A0116">
              <w:rPr>
                <w:sz w:val="20"/>
                <w:szCs w:val="20"/>
              </w:rPr>
              <w:t>Connector Road (2 lanes)</w:t>
            </w:r>
          </w:p>
        </w:tc>
        <w:tc>
          <w:tcPr>
            <w:tcW w:w="2070" w:type="dxa"/>
          </w:tcPr>
          <w:p w14:paraId="264A07B7" w14:textId="77777777" w:rsidR="00E07497" w:rsidRPr="001A0116" w:rsidRDefault="00E07497" w:rsidP="00E07497">
            <w:pPr>
              <w:rPr>
                <w:sz w:val="20"/>
                <w:szCs w:val="20"/>
              </w:rPr>
            </w:pPr>
            <w:r w:rsidRPr="001A0116">
              <w:rPr>
                <w:sz w:val="20"/>
                <w:szCs w:val="20"/>
              </w:rPr>
              <w:t>Connector Road (2 lanes)</w:t>
            </w:r>
          </w:p>
        </w:tc>
        <w:tc>
          <w:tcPr>
            <w:tcW w:w="2268" w:type="dxa"/>
          </w:tcPr>
          <w:p w14:paraId="0116BDC4" w14:textId="77777777" w:rsidR="00E07497" w:rsidRPr="001A0116" w:rsidRDefault="00E07497" w:rsidP="00E07497">
            <w:pPr>
              <w:pStyle w:val="Default"/>
              <w:rPr>
                <w:rFonts w:asciiTheme="minorHAnsi" w:hAnsiTheme="minorHAnsi"/>
                <w:sz w:val="20"/>
                <w:szCs w:val="20"/>
              </w:rPr>
            </w:pPr>
            <w:r w:rsidRPr="001A0116">
              <w:rPr>
                <w:rFonts w:asciiTheme="minorHAnsi" w:hAnsiTheme="minorHAnsi"/>
                <w:sz w:val="20"/>
                <w:szCs w:val="20"/>
              </w:rPr>
              <w:t xml:space="preserve">3,000 to 7,000 vpd </w:t>
            </w:r>
          </w:p>
        </w:tc>
      </w:tr>
    </w:tbl>
    <w:p w14:paraId="50C3089C" w14:textId="77777777" w:rsidR="00990357" w:rsidRPr="007F1961" w:rsidRDefault="00990357" w:rsidP="007F1961">
      <w:pPr>
        <w:rPr>
          <w:rFonts w:ascii="Calibri" w:hAnsi="Calibri" w:cs="Calibri"/>
          <w:b/>
        </w:rPr>
      </w:pPr>
    </w:p>
    <w:p w14:paraId="652E201C" w14:textId="765034D2" w:rsidR="00117342" w:rsidRPr="000F1F6D" w:rsidRDefault="000D182F" w:rsidP="000D182F">
      <w:pPr>
        <w:pStyle w:val="Heading2"/>
      </w:pPr>
      <w:r>
        <w:t xml:space="preserve">14.1 </w:t>
      </w:r>
      <w:r w:rsidR="00117342" w:rsidRPr="000F1F6D">
        <w:t>Bus services</w:t>
      </w:r>
    </w:p>
    <w:p w14:paraId="3592D167" w14:textId="70604E52" w:rsidR="00117342" w:rsidRPr="00117342" w:rsidRDefault="00A409E0" w:rsidP="00117342">
      <w:pPr>
        <w:rPr>
          <w:rFonts w:ascii="Calibri" w:hAnsi="Calibri" w:cs="Calibri"/>
          <w:b/>
        </w:rPr>
      </w:pPr>
      <w:r w:rsidRPr="00117342">
        <w:rPr>
          <w:rFonts w:ascii="Calibri" w:hAnsi="Calibri" w:cs="Calibri"/>
        </w:rPr>
        <w:t xml:space="preserve">The transport modelling report produced by Jacobs assumes the ultimate </w:t>
      </w:r>
      <w:r w:rsidR="00117342" w:rsidRPr="00117342">
        <w:rPr>
          <w:rFonts w:ascii="Calibri" w:hAnsi="Calibri" w:cs="Calibri"/>
        </w:rPr>
        <w:t xml:space="preserve">Plumpton and Kororoit precincts will have several </w:t>
      </w:r>
      <w:r w:rsidRPr="00117342">
        <w:rPr>
          <w:rFonts w:ascii="Calibri" w:hAnsi="Calibri" w:cs="Calibri"/>
        </w:rPr>
        <w:t>standard bus and high frequency bus routes to traverse the region. The</w:t>
      </w:r>
      <w:r w:rsidR="00117342" w:rsidRPr="00117342">
        <w:rPr>
          <w:rFonts w:ascii="Calibri" w:hAnsi="Calibri" w:cs="Calibri"/>
        </w:rPr>
        <w:t xml:space="preserve">se routes were derived from the </w:t>
      </w:r>
      <w:r w:rsidRPr="00117342">
        <w:rPr>
          <w:rFonts w:ascii="Calibri" w:hAnsi="Calibri" w:cs="Calibri"/>
        </w:rPr>
        <w:t xml:space="preserve">original 2046 Western Growth Corridor </w:t>
      </w:r>
      <w:r w:rsidR="006B57DD">
        <w:rPr>
          <w:rFonts w:ascii="Calibri" w:hAnsi="Calibri" w:cs="Calibri"/>
        </w:rPr>
        <w:t>Victorian Integrated Transport M</w:t>
      </w:r>
      <w:r w:rsidRPr="00117342">
        <w:rPr>
          <w:rFonts w:ascii="Calibri" w:hAnsi="Calibri" w:cs="Calibri"/>
        </w:rPr>
        <w:t>odel</w:t>
      </w:r>
      <w:r w:rsidR="006B57DD">
        <w:rPr>
          <w:rFonts w:ascii="Calibri" w:hAnsi="Calibri" w:cs="Calibri"/>
        </w:rPr>
        <w:t xml:space="preserve"> (VITM)</w:t>
      </w:r>
      <w:r w:rsidRPr="00117342">
        <w:rPr>
          <w:rFonts w:ascii="Calibri" w:hAnsi="Calibri" w:cs="Calibri"/>
        </w:rPr>
        <w:t xml:space="preserve">. The </w:t>
      </w:r>
      <w:r w:rsidR="006B57DD">
        <w:rPr>
          <w:rFonts w:ascii="Calibri" w:hAnsi="Calibri" w:cs="Calibri"/>
        </w:rPr>
        <w:t>VITM</w:t>
      </w:r>
      <w:r w:rsidR="00117342" w:rsidRPr="00117342">
        <w:rPr>
          <w:rFonts w:ascii="Calibri" w:hAnsi="Calibri" w:cs="Calibri"/>
        </w:rPr>
        <w:t xml:space="preserve"> model included land use </w:t>
      </w:r>
      <w:r w:rsidRPr="00117342">
        <w:rPr>
          <w:rFonts w:ascii="Calibri" w:hAnsi="Calibri" w:cs="Calibri"/>
        </w:rPr>
        <w:t>assumptions a</w:t>
      </w:r>
      <w:r w:rsidR="00117342" w:rsidRPr="00117342">
        <w:rPr>
          <w:rFonts w:ascii="Calibri" w:hAnsi="Calibri" w:cs="Calibri"/>
        </w:rPr>
        <w:t>nd transport networks for 2046.</w:t>
      </w:r>
    </w:p>
    <w:p w14:paraId="5C78203A" w14:textId="1443420A" w:rsidR="00B064BD" w:rsidRPr="00B064BD" w:rsidRDefault="00A409E0" w:rsidP="00117342">
      <w:pPr>
        <w:rPr>
          <w:rFonts w:ascii="Calibri" w:hAnsi="Calibri" w:cs="Calibri"/>
        </w:rPr>
      </w:pPr>
      <w:r w:rsidRPr="00B064BD">
        <w:rPr>
          <w:rFonts w:ascii="Calibri" w:hAnsi="Calibri" w:cs="Calibri"/>
        </w:rPr>
        <w:t xml:space="preserve">The high frequency bus route will be capable of delivering ‘SmartBus’ type services to the </w:t>
      </w:r>
      <w:r w:rsidR="00117342" w:rsidRPr="00B064BD">
        <w:rPr>
          <w:rFonts w:ascii="Calibri" w:hAnsi="Calibri" w:cs="Calibri"/>
        </w:rPr>
        <w:t>Plumpton and Kororoit communiti</w:t>
      </w:r>
      <w:r w:rsidR="00B064BD" w:rsidRPr="00B064BD">
        <w:rPr>
          <w:rFonts w:ascii="Calibri" w:hAnsi="Calibri" w:cs="Calibri"/>
        </w:rPr>
        <w:t>es. This service will run along the Melton Highway, Tarleton Road and Taylors Road</w:t>
      </w:r>
      <w:r w:rsidR="0046348E">
        <w:rPr>
          <w:rFonts w:ascii="Calibri" w:hAnsi="Calibri" w:cs="Calibri"/>
        </w:rPr>
        <w:t xml:space="preserve"> and potentially Hopkins Road</w:t>
      </w:r>
      <w:r w:rsidR="00B064BD" w:rsidRPr="00B064BD">
        <w:rPr>
          <w:rFonts w:ascii="Calibri" w:hAnsi="Calibri" w:cs="Calibri"/>
        </w:rPr>
        <w:t xml:space="preserve">. </w:t>
      </w:r>
    </w:p>
    <w:p w14:paraId="077939AD" w14:textId="77777777" w:rsidR="00117342" w:rsidRDefault="00117342" w:rsidP="00117342">
      <w:pPr>
        <w:rPr>
          <w:rFonts w:ascii="Calibri" w:hAnsi="Calibri" w:cs="Calibri"/>
        </w:rPr>
      </w:pPr>
      <w:r w:rsidRPr="00117342">
        <w:rPr>
          <w:rFonts w:ascii="Calibri" w:hAnsi="Calibri" w:cs="Calibri"/>
        </w:rPr>
        <w:t>In addition, the</w:t>
      </w:r>
      <w:r w:rsidR="00A409E0" w:rsidRPr="00117342">
        <w:rPr>
          <w:rFonts w:ascii="Calibri" w:hAnsi="Calibri" w:cs="Calibri"/>
        </w:rPr>
        <w:t xml:space="preserve"> area will have a bus capable connector road network</w:t>
      </w:r>
      <w:r w:rsidRPr="00117342">
        <w:rPr>
          <w:rFonts w:ascii="Calibri" w:hAnsi="Calibri" w:cs="Calibri"/>
        </w:rPr>
        <w:t xml:space="preserve"> offering local bus services to </w:t>
      </w:r>
      <w:r w:rsidR="00A409E0" w:rsidRPr="00117342">
        <w:rPr>
          <w:rFonts w:ascii="Calibri" w:hAnsi="Calibri" w:cs="Calibri"/>
        </w:rPr>
        <w:t>future residents and ensuring that the majority of residents are wi</w:t>
      </w:r>
      <w:r w:rsidRPr="00117342">
        <w:rPr>
          <w:rFonts w:ascii="Calibri" w:hAnsi="Calibri" w:cs="Calibri"/>
        </w:rPr>
        <w:t>thin 400 metres of a bus route.</w:t>
      </w:r>
    </w:p>
    <w:p w14:paraId="116EE33F" w14:textId="77777777" w:rsidR="009060B6" w:rsidRDefault="009060B6">
      <w:pPr>
        <w:rPr>
          <w:rFonts w:eastAsia="Times New Roman" w:cs="Times New Roman"/>
          <w:b/>
          <w:bCs/>
          <w:iCs/>
          <w:sz w:val="28"/>
          <w:szCs w:val="24"/>
        </w:rPr>
      </w:pPr>
      <w:r>
        <w:br w:type="page"/>
      </w:r>
    </w:p>
    <w:p w14:paraId="50A644D7" w14:textId="21674280" w:rsidR="00117342" w:rsidRPr="000F1F6D" w:rsidRDefault="000D182F" w:rsidP="000D182F">
      <w:pPr>
        <w:pStyle w:val="Heading2"/>
      </w:pPr>
      <w:r>
        <w:lastRenderedPageBreak/>
        <w:t xml:space="preserve">14.2 </w:t>
      </w:r>
      <w:r w:rsidR="00117342" w:rsidRPr="000F1F6D">
        <w:t>Pedestrian and cycle network</w:t>
      </w:r>
    </w:p>
    <w:p w14:paraId="15ABBF47" w14:textId="5589183A" w:rsidR="00A409E0" w:rsidRDefault="00A409E0" w:rsidP="00117342">
      <w:pPr>
        <w:rPr>
          <w:rFonts w:ascii="Calibri" w:hAnsi="Calibri" w:cs="Calibri"/>
        </w:rPr>
      </w:pPr>
      <w:r w:rsidRPr="00117342">
        <w:rPr>
          <w:rFonts w:ascii="Calibri" w:hAnsi="Calibri" w:cs="Calibri"/>
        </w:rPr>
        <w:t>When development is complete, the area will feature an extensive road and trail network to</w:t>
      </w:r>
      <w:r w:rsidR="00117342" w:rsidRPr="00117342">
        <w:rPr>
          <w:rFonts w:ascii="Calibri" w:hAnsi="Calibri" w:cs="Calibri"/>
          <w:b/>
        </w:rPr>
        <w:t xml:space="preserve"> </w:t>
      </w:r>
      <w:r w:rsidRPr="00117342">
        <w:rPr>
          <w:rFonts w:ascii="Calibri" w:hAnsi="Calibri" w:cs="Calibri"/>
        </w:rPr>
        <w:t>facilitate cycle and pedestrian movements, and in particular link key destinations such as schools, local town</w:t>
      </w:r>
      <w:r w:rsidR="00117342" w:rsidRPr="00117342">
        <w:rPr>
          <w:rFonts w:ascii="Calibri" w:hAnsi="Calibri" w:cs="Calibri"/>
          <w:b/>
        </w:rPr>
        <w:t xml:space="preserve"> </w:t>
      </w:r>
      <w:r w:rsidRPr="00117342">
        <w:rPr>
          <w:rFonts w:ascii="Calibri" w:hAnsi="Calibri" w:cs="Calibri"/>
        </w:rPr>
        <w:t xml:space="preserve">centres and </w:t>
      </w:r>
      <w:r w:rsidR="00117342" w:rsidRPr="00117342">
        <w:rPr>
          <w:rFonts w:ascii="Calibri" w:hAnsi="Calibri" w:cs="Calibri"/>
        </w:rPr>
        <w:t>recreation areas</w:t>
      </w:r>
      <w:r w:rsidRPr="00117342">
        <w:rPr>
          <w:rFonts w:ascii="Calibri" w:hAnsi="Calibri" w:cs="Calibri"/>
        </w:rPr>
        <w:t>. Throughout the area there will be on road cycle lanes as well</w:t>
      </w:r>
      <w:r w:rsidR="00117342" w:rsidRPr="00117342">
        <w:rPr>
          <w:rFonts w:ascii="Calibri" w:hAnsi="Calibri" w:cs="Calibri"/>
          <w:b/>
        </w:rPr>
        <w:t xml:space="preserve"> </w:t>
      </w:r>
      <w:r w:rsidRPr="00117342">
        <w:rPr>
          <w:rFonts w:ascii="Calibri" w:hAnsi="Calibri" w:cs="Calibri"/>
        </w:rPr>
        <w:t>as off road shared trails that are adjacent to roads, along waterways and open space corridors</w:t>
      </w:r>
      <w:r w:rsidR="0046348E">
        <w:rPr>
          <w:rFonts w:ascii="Calibri" w:hAnsi="Calibri" w:cs="Calibri"/>
        </w:rPr>
        <w:t>.</w:t>
      </w:r>
      <w:r w:rsidRPr="00117342">
        <w:rPr>
          <w:rFonts w:ascii="Calibri" w:hAnsi="Calibri" w:cs="Calibri"/>
        </w:rPr>
        <w:t xml:space="preserve"> This combination of on and off road routes will allow f</w:t>
      </w:r>
      <w:r w:rsidR="00117342" w:rsidRPr="00117342">
        <w:rPr>
          <w:rFonts w:ascii="Calibri" w:hAnsi="Calibri" w:cs="Calibri"/>
        </w:rPr>
        <w:t xml:space="preserve">or commuter cycle trips as well </w:t>
      </w:r>
      <w:r w:rsidRPr="00117342">
        <w:rPr>
          <w:rFonts w:ascii="Calibri" w:hAnsi="Calibri" w:cs="Calibri"/>
        </w:rPr>
        <w:t>as recreational cycling and walking.</w:t>
      </w:r>
    </w:p>
    <w:p w14:paraId="78D5D218" w14:textId="77777777" w:rsidR="002E1745" w:rsidRPr="00C7664B" w:rsidRDefault="003F2806" w:rsidP="00117342">
      <w:pPr>
        <w:rPr>
          <w:rFonts w:ascii="Calibri" w:hAnsi="Calibri" w:cs="Calibri"/>
        </w:rPr>
      </w:pPr>
      <w:r w:rsidRPr="00C7664B">
        <w:rPr>
          <w:rFonts w:ascii="Calibri" w:hAnsi="Calibri" w:cs="Calibri"/>
        </w:rPr>
        <w:t xml:space="preserve">The draft </w:t>
      </w:r>
      <w:r w:rsidRPr="00C7664B">
        <w:rPr>
          <w:rFonts w:ascii="Calibri" w:hAnsi="Calibri" w:cs="Calibri"/>
          <w:i/>
        </w:rPr>
        <w:t>Western Metropolitan Regional Trail Strategy Plan</w:t>
      </w:r>
      <w:r w:rsidRPr="00C7664B">
        <w:rPr>
          <w:rFonts w:ascii="Calibri" w:hAnsi="Calibri" w:cs="Calibri"/>
        </w:rPr>
        <w:t xml:space="preserve"> known as West Trails identifies </w:t>
      </w:r>
      <w:r w:rsidR="002E1745" w:rsidRPr="00C7664B">
        <w:rPr>
          <w:rFonts w:ascii="Calibri" w:hAnsi="Calibri" w:cs="Calibri"/>
        </w:rPr>
        <w:t xml:space="preserve">Kororoit Creek Trail </w:t>
      </w:r>
      <w:r w:rsidRPr="00C7664B">
        <w:rPr>
          <w:rFonts w:ascii="Calibri" w:hAnsi="Calibri" w:cs="Calibri"/>
        </w:rPr>
        <w:t xml:space="preserve">as a future regional trail. </w:t>
      </w:r>
      <w:r w:rsidR="002E1745" w:rsidRPr="00C7664B">
        <w:rPr>
          <w:rFonts w:ascii="Calibri" w:hAnsi="Calibri" w:cs="Calibri"/>
        </w:rPr>
        <w:t xml:space="preserve">Currently the trail is disconnected and exists at certain lengths along </w:t>
      </w:r>
      <w:r w:rsidR="00F7542C" w:rsidRPr="00C7664B">
        <w:rPr>
          <w:rFonts w:ascii="Calibri" w:hAnsi="Calibri" w:cs="Calibri"/>
        </w:rPr>
        <w:t xml:space="preserve">the creek. The strategic plan proposes a scenic, high quality trail of a significant distance commencing from Mount Kororoit to Altona. </w:t>
      </w:r>
    </w:p>
    <w:p w14:paraId="4E1B4748" w14:textId="7D0C05AE" w:rsidR="00E32A62" w:rsidRPr="00935393" w:rsidRDefault="00F7542C" w:rsidP="00117342">
      <w:pPr>
        <w:rPr>
          <w:rFonts w:ascii="Calibri" w:hAnsi="Calibri" w:cs="Calibri"/>
        </w:rPr>
      </w:pPr>
      <w:r w:rsidRPr="00C7664B">
        <w:rPr>
          <w:rFonts w:ascii="Calibri" w:hAnsi="Calibri" w:cs="Calibri"/>
        </w:rPr>
        <w:t xml:space="preserve">West Trails also identifies the future </w:t>
      </w:r>
      <w:r w:rsidR="00DC1210" w:rsidRPr="00C7664B">
        <w:rPr>
          <w:rFonts w:ascii="Calibri" w:hAnsi="Calibri" w:cs="Calibri"/>
        </w:rPr>
        <w:t>O</w:t>
      </w:r>
      <w:r w:rsidRPr="00C7664B">
        <w:rPr>
          <w:rFonts w:ascii="Calibri" w:hAnsi="Calibri" w:cs="Calibri"/>
        </w:rPr>
        <w:t xml:space="preserve">uter Metropolitan Ring </w:t>
      </w:r>
      <w:r w:rsidR="0046348E" w:rsidRPr="00C7664B">
        <w:rPr>
          <w:rFonts w:ascii="Calibri" w:hAnsi="Calibri" w:cs="Calibri"/>
        </w:rPr>
        <w:t>t</w:t>
      </w:r>
      <w:r w:rsidRPr="00C7664B">
        <w:rPr>
          <w:rFonts w:ascii="Calibri" w:hAnsi="Calibri" w:cs="Calibri"/>
        </w:rPr>
        <w:t xml:space="preserve">rail. It </w:t>
      </w:r>
      <w:r w:rsidR="00691148" w:rsidRPr="00C7664B">
        <w:rPr>
          <w:rFonts w:ascii="Calibri" w:hAnsi="Calibri" w:cs="Calibri"/>
        </w:rPr>
        <w:t xml:space="preserve">is </w:t>
      </w:r>
      <w:r w:rsidR="0046348E" w:rsidRPr="00C7664B">
        <w:rPr>
          <w:rFonts w:ascii="Calibri" w:hAnsi="Calibri" w:cs="Calibri"/>
        </w:rPr>
        <w:t xml:space="preserve">proposed </w:t>
      </w:r>
      <w:r w:rsidR="00691148" w:rsidRPr="00C7664B">
        <w:rPr>
          <w:rFonts w:ascii="Calibri" w:hAnsi="Calibri" w:cs="Calibri"/>
        </w:rPr>
        <w:t xml:space="preserve">to run </w:t>
      </w:r>
      <w:r w:rsidRPr="00C7664B">
        <w:rPr>
          <w:rFonts w:ascii="Calibri" w:hAnsi="Calibri" w:cs="Calibri"/>
        </w:rPr>
        <w:t xml:space="preserve">alongside the OMR through Werribee, Melton, Tullamarine and continuing north beyond the western </w:t>
      </w:r>
      <w:r w:rsidR="00691148" w:rsidRPr="00C7664B">
        <w:rPr>
          <w:rFonts w:ascii="Calibri" w:hAnsi="Calibri" w:cs="Calibri"/>
        </w:rPr>
        <w:t>metropolitan region. The trail has the potential to provide significant and direct linkages between residential and employment areas in the western metropolitan growth areas as well as offering integrated connections to the existing regional trail network.</w:t>
      </w:r>
      <w:r w:rsidR="00691148">
        <w:rPr>
          <w:rFonts w:ascii="Calibri" w:hAnsi="Calibri" w:cs="Calibri"/>
        </w:rPr>
        <w:t xml:space="preserve"> </w:t>
      </w:r>
    </w:p>
    <w:p w14:paraId="65C19415" w14:textId="77777777" w:rsidR="00917A97" w:rsidRDefault="00917A97">
      <w:pPr>
        <w:rPr>
          <w:sz w:val="32"/>
          <w:highlight w:val="lightGray"/>
        </w:rPr>
      </w:pPr>
      <w:r>
        <w:rPr>
          <w:sz w:val="32"/>
          <w:highlight w:val="lightGray"/>
        </w:rPr>
        <w:br w:type="page"/>
      </w:r>
    </w:p>
    <w:p w14:paraId="078A676E" w14:textId="4A8F33F4" w:rsidR="0032418A" w:rsidRPr="000D182F" w:rsidRDefault="0032418A" w:rsidP="000D182F">
      <w:pPr>
        <w:pStyle w:val="Heading1"/>
        <w:numPr>
          <w:ilvl w:val="0"/>
          <w:numId w:val="23"/>
        </w:numPr>
        <w:rPr>
          <w:b/>
          <w:sz w:val="24"/>
        </w:rPr>
      </w:pPr>
      <w:r w:rsidRPr="000D182F">
        <w:rPr>
          <w:b/>
        </w:rPr>
        <w:lastRenderedPageBreak/>
        <w:t xml:space="preserve">Utility and </w:t>
      </w:r>
      <w:r w:rsidR="001A0DBF" w:rsidRPr="000D182F">
        <w:rPr>
          <w:b/>
        </w:rPr>
        <w:t>Service I</w:t>
      </w:r>
      <w:r w:rsidRPr="000D182F">
        <w:rPr>
          <w:b/>
        </w:rPr>
        <w:t>nfrastructure</w:t>
      </w:r>
      <w:r w:rsidR="00A54506" w:rsidRPr="000D182F">
        <w:rPr>
          <w:b/>
        </w:rPr>
        <w:t xml:space="preserve"> </w:t>
      </w:r>
    </w:p>
    <w:p w14:paraId="63AEAB5E" w14:textId="644BDB65" w:rsidR="00C722A1" w:rsidRPr="00C722A1" w:rsidRDefault="00C722A1" w:rsidP="00C722A1">
      <w:pPr>
        <w:spacing w:line="240" w:lineRule="auto"/>
        <w:jc w:val="both"/>
      </w:pPr>
      <w:r w:rsidRPr="00C722A1">
        <w:t>Aurecon</w:t>
      </w:r>
      <w:r w:rsidR="00E07497">
        <w:t xml:space="preserve"> prepare</w:t>
      </w:r>
      <w:r w:rsidR="0013473D">
        <w:t>d</w:t>
      </w:r>
      <w:r w:rsidR="00E07497">
        <w:t xml:space="preserve"> individual high level servicing and utilities reports for Plumpton and Kororoit.</w:t>
      </w:r>
      <w:r w:rsidRPr="00C722A1">
        <w:t xml:space="preserve"> The </w:t>
      </w:r>
      <w:r w:rsidR="00E07497">
        <w:t>reports were</w:t>
      </w:r>
      <w:r w:rsidRPr="00C722A1">
        <w:t xml:space="preserve"> used in conjunction with relevant agency consultation to inform the new or upgraded essential services infrastructure required before full development of the PSP area</w:t>
      </w:r>
      <w:r w:rsidR="00E07497">
        <w:t>s</w:t>
      </w:r>
      <w:r w:rsidRPr="00C722A1">
        <w:t xml:space="preserve"> and surrounds can occur. </w:t>
      </w:r>
      <w:r w:rsidR="0013473D">
        <w:t>Further consultation with servicing authorities after completion of the Aurecon work has been reflected in the proposed servicing plans in the PSPs, and should be read as indicative only as it continues to evolve.</w:t>
      </w:r>
    </w:p>
    <w:p w14:paraId="3EF12F22" w14:textId="72C8E291" w:rsidR="00C722A1" w:rsidRPr="000F1F6D" w:rsidRDefault="000D182F" w:rsidP="000D182F">
      <w:pPr>
        <w:pStyle w:val="Heading2"/>
      </w:pPr>
      <w:r>
        <w:t xml:space="preserve">15.1 </w:t>
      </w:r>
      <w:r w:rsidR="00C722A1" w:rsidRPr="000F1F6D">
        <w:t>Sewerage</w:t>
      </w:r>
    </w:p>
    <w:p w14:paraId="45A9FA1A" w14:textId="6C4F8795" w:rsidR="00C722A1" w:rsidRPr="00C722A1" w:rsidRDefault="00C722A1" w:rsidP="00C722A1">
      <w:pPr>
        <w:tabs>
          <w:tab w:val="left" w:pos="785"/>
        </w:tabs>
        <w:spacing w:line="240" w:lineRule="auto"/>
        <w:ind w:right="-20"/>
        <w:jc w:val="both"/>
        <w:rPr>
          <w:rFonts w:cs="Helvetica"/>
        </w:rPr>
      </w:pPr>
      <w:r w:rsidRPr="00C722A1">
        <w:rPr>
          <w:rFonts w:cs="Helvetica"/>
        </w:rPr>
        <w:t>Provision of sewerage services to the Plumpton precinct is currently a shared responsibility wit</w:t>
      </w:r>
      <w:r w:rsidR="002221F2">
        <w:rPr>
          <w:rFonts w:cs="Helvetica"/>
        </w:rPr>
        <w:t xml:space="preserve">h the northern part </w:t>
      </w:r>
      <w:r w:rsidRPr="00C722A1">
        <w:rPr>
          <w:rFonts w:cs="Helvetica"/>
        </w:rPr>
        <w:t xml:space="preserve">of the PSP </w:t>
      </w:r>
      <w:r w:rsidR="00510C85">
        <w:rPr>
          <w:rFonts w:cs="Helvetica"/>
        </w:rPr>
        <w:t xml:space="preserve">in CWW’s area and the southern part of the PSP in WW’s area. </w:t>
      </w:r>
    </w:p>
    <w:p w14:paraId="24EC8D9D" w14:textId="02F9E5C1" w:rsidR="00C722A1" w:rsidRPr="00C722A1" w:rsidRDefault="00C722A1" w:rsidP="00C722A1">
      <w:pPr>
        <w:tabs>
          <w:tab w:val="left" w:pos="785"/>
        </w:tabs>
        <w:spacing w:line="240" w:lineRule="auto"/>
        <w:ind w:right="-20"/>
        <w:jc w:val="both"/>
        <w:rPr>
          <w:rFonts w:eastAsia="Trebuchet MS" w:cs="Trebuchet MS"/>
        </w:rPr>
      </w:pPr>
      <w:r w:rsidRPr="00C722A1">
        <w:rPr>
          <w:rFonts w:eastAsia="Trebuchet MS" w:cs="Trebuchet MS"/>
        </w:rPr>
        <w:t xml:space="preserve">The existing backbone sewer along Kororoit Creek was not planned to permanently service the </w:t>
      </w:r>
      <w:r w:rsidR="002221F2">
        <w:rPr>
          <w:rFonts w:eastAsia="Trebuchet MS" w:cs="Trebuchet MS"/>
        </w:rPr>
        <w:t>p</w:t>
      </w:r>
      <w:r w:rsidRPr="00C722A1">
        <w:rPr>
          <w:rFonts w:eastAsia="Trebuchet MS" w:cs="Trebuchet MS"/>
        </w:rPr>
        <w:t>recinct</w:t>
      </w:r>
      <w:r w:rsidR="002221F2">
        <w:rPr>
          <w:rFonts w:eastAsia="Trebuchet MS" w:cs="Trebuchet MS"/>
        </w:rPr>
        <w:t>s</w:t>
      </w:r>
      <w:r w:rsidRPr="00C722A1">
        <w:rPr>
          <w:rFonts w:eastAsia="Trebuchet MS" w:cs="Trebuchet MS"/>
        </w:rPr>
        <w:t xml:space="preserve">. However the existing Derrimut Interceptor Sewer (DIS) </w:t>
      </w:r>
      <w:r w:rsidR="00DD2A81">
        <w:rPr>
          <w:rFonts w:eastAsia="Trebuchet MS" w:cs="Trebuchet MS"/>
        </w:rPr>
        <w:t xml:space="preserve">located further south of the precincts, </w:t>
      </w:r>
      <w:r w:rsidRPr="00C722A1">
        <w:rPr>
          <w:rFonts w:eastAsia="Trebuchet MS" w:cs="Trebuchet MS"/>
        </w:rPr>
        <w:t xml:space="preserve">was designed with capacity to service approximately </w:t>
      </w:r>
      <w:r w:rsidR="00362AB4">
        <w:rPr>
          <w:rFonts w:eastAsia="Trebuchet MS" w:cs="Trebuchet MS"/>
        </w:rPr>
        <w:t>20,000</w:t>
      </w:r>
      <w:r w:rsidRPr="00C722A1">
        <w:rPr>
          <w:rFonts w:eastAsia="Trebuchet MS" w:cs="Trebuchet MS"/>
        </w:rPr>
        <w:t xml:space="preserve"> </w:t>
      </w:r>
      <w:r w:rsidR="00DD2A81">
        <w:rPr>
          <w:rFonts w:eastAsia="Trebuchet MS" w:cs="Trebuchet MS"/>
        </w:rPr>
        <w:t xml:space="preserve">lots </w:t>
      </w:r>
      <w:r w:rsidRPr="00C722A1">
        <w:rPr>
          <w:rFonts w:eastAsia="Trebuchet MS" w:cs="Trebuchet MS"/>
        </w:rPr>
        <w:t>west of Caroline Springs</w:t>
      </w:r>
      <w:r w:rsidR="00DD2A81">
        <w:rPr>
          <w:rFonts w:eastAsia="Trebuchet MS" w:cs="Trebuchet MS"/>
        </w:rPr>
        <w:t xml:space="preserve"> in the future</w:t>
      </w:r>
      <w:r w:rsidRPr="00C722A1">
        <w:rPr>
          <w:rFonts w:eastAsia="Trebuchet MS" w:cs="Trebuchet MS"/>
        </w:rPr>
        <w:t xml:space="preserve">. </w:t>
      </w:r>
    </w:p>
    <w:p w14:paraId="22019588" w14:textId="421152AB" w:rsidR="00C722A1" w:rsidRPr="00C722A1" w:rsidRDefault="00C722A1" w:rsidP="00C722A1">
      <w:pPr>
        <w:tabs>
          <w:tab w:val="left" w:pos="785"/>
        </w:tabs>
        <w:spacing w:line="240" w:lineRule="auto"/>
        <w:ind w:right="-20"/>
        <w:jc w:val="both"/>
        <w:rPr>
          <w:rFonts w:eastAsia="Trebuchet MS" w:cs="Trebuchet MS"/>
        </w:rPr>
      </w:pPr>
      <w:r w:rsidRPr="00C722A1">
        <w:rPr>
          <w:rFonts w:eastAsia="Trebuchet MS" w:cs="Trebuchet MS"/>
        </w:rPr>
        <w:t>Ultimately</w:t>
      </w:r>
      <w:r w:rsidR="008F5F2B">
        <w:rPr>
          <w:rFonts w:eastAsia="Trebuchet MS" w:cs="Trebuchet MS"/>
        </w:rPr>
        <w:t>,</w:t>
      </w:r>
      <w:r w:rsidRPr="00C722A1">
        <w:rPr>
          <w:rFonts w:eastAsia="Trebuchet MS" w:cs="Trebuchet MS"/>
        </w:rPr>
        <w:t xml:space="preserve"> the provision of sewerage services will be via </w:t>
      </w:r>
      <w:r w:rsidRPr="00C722A1">
        <w:rPr>
          <w:rFonts w:eastAsia="Trebuchet MS" w:cs="Trebuchet MS"/>
          <w:spacing w:val="-2"/>
        </w:rPr>
        <w:t xml:space="preserve">a </w:t>
      </w:r>
      <w:r w:rsidRPr="00C722A1">
        <w:rPr>
          <w:rFonts w:eastAsia="Trebuchet MS" w:cs="Trebuchet MS"/>
          <w:spacing w:val="-1"/>
        </w:rPr>
        <w:t>b</w:t>
      </w:r>
      <w:r w:rsidRPr="00C722A1">
        <w:rPr>
          <w:rFonts w:eastAsia="Trebuchet MS" w:cs="Trebuchet MS"/>
          <w:spacing w:val="1"/>
        </w:rPr>
        <w:t>a</w:t>
      </w:r>
      <w:r w:rsidRPr="00C722A1">
        <w:rPr>
          <w:rFonts w:eastAsia="Trebuchet MS" w:cs="Trebuchet MS"/>
          <w:spacing w:val="2"/>
        </w:rPr>
        <w:t>c</w:t>
      </w:r>
      <w:r w:rsidRPr="00C722A1">
        <w:rPr>
          <w:rFonts w:eastAsia="Trebuchet MS" w:cs="Trebuchet MS"/>
        </w:rPr>
        <w:t>kb</w:t>
      </w:r>
      <w:r w:rsidRPr="00C722A1">
        <w:rPr>
          <w:rFonts w:eastAsia="Trebuchet MS" w:cs="Trebuchet MS"/>
          <w:spacing w:val="1"/>
        </w:rPr>
        <w:t>o</w:t>
      </w:r>
      <w:r w:rsidRPr="00C722A1">
        <w:rPr>
          <w:rFonts w:eastAsia="Trebuchet MS" w:cs="Trebuchet MS"/>
          <w:spacing w:val="-1"/>
        </w:rPr>
        <w:t>n</w:t>
      </w:r>
      <w:r w:rsidRPr="00C722A1">
        <w:rPr>
          <w:rFonts w:eastAsia="Trebuchet MS" w:cs="Trebuchet MS"/>
        </w:rPr>
        <w:t>e</w:t>
      </w:r>
      <w:r w:rsidRPr="00C722A1">
        <w:rPr>
          <w:rFonts w:eastAsia="Trebuchet MS" w:cs="Trebuchet MS"/>
          <w:spacing w:val="-9"/>
        </w:rPr>
        <w:t xml:space="preserve"> </w:t>
      </w:r>
      <w:r w:rsidRPr="00C722A1">
        <w:rPr>
          <w:rFonts w:eastAsia="Trebuchet MS" w:cs="Trebuchet MS"/>
        </w:rPr>
        <w:t>se</w:t>
      </w:r>
      <w:r w:rsidRPr="00C722A1">
        <w:rPr>
          <w:rFonts w:eastAsia="Trebuchet MS" w:cs="Trebuchet MS"/>
          <w:spacing w:val="3"/>
        </w:rPr>
        <w:t>w</w:t>
      </w:r>
      <w:r w:rsidRPr="00C722A1">
        <w:rPr>
          <w:rFonts w:eastAsia="Trebuchet MS" w:cs="Trebuchet MS"/>
        </w:rPr>
        <w:t>er</w:t>
      </w:r>
      <w:r w:rsidRPr="00C722A1">
        <w:rPr>
          <w:rFonts w:eastAsia="Trebuchet MS" w:cs="Trebuchet MS"/>
          <w:spacing w:val="-6"/>
        </w:rPr>
        <w:t xml:space="preserve"> along</w:t>
      </w:r>
      <w:r w:rsidRPr="00C722A1">
        <w:rPr>
          <w:rFonts w:eastAsia="Trebuchet MS" w:cs="Trebuchet MS"/>
          <w:spacing w:val="-5"/>
        </w:rPr>
        <w:t xml:space="preserve"> </w:t>
      </w:r>
      <w:r w:rsidRPr="00C722A1">
        <w:rPr>
          <w:rFonts w:eastAsia="Trebuchet MS" w:cs="Trebuchet MS"/>
          <w:spacing w:val="3"/>
        </w:rPr>
        <w:t>K</w:t>
      </w:r>
      <w:r w:rsidRPr="00C722A1">
        <w:rPr>
          <w:rFonts w:eastAsia="Trebuchet MS" w:cs="Trebuchet MS"/>
          <w:spacing w:val="1"/>
        </w:rPr>
        <w:t>o</w:t>
      </w:r>
      <w:r w:rsidRPr="00C722A1">
        <w:rPr>
          <w:rFonts w:eastAsia="Trebuchet MS" w:cs="Trebuchet MS"/>
          <w:spacing w:val="-1"/>
        </w:rPr>
        <w:t>r</w:t>
      </w:r>
      <w:r w:rsidRPr="00C722A1">
        <w:rPr>
          <w:rFonts w:eastAsia="Trebuchet MS" w:cs="Trebuchet MS"/>
          <w:spacing w:val="1"/>
        </w:rPr>
        <w:t>o</w:t>
      </w:r>
      <w:r w:rsidRPr="00C722A1">
        <w:rPr>
          <w:rFonts w:eastAsia="Trebuchet MS" w:cs="Trebuchet MS"/>
          <w:spacing w:val="-1"/>
        </w:rPr>
        <w:t>r</w:t>
      </w:r>
      <w:r w:rsidRPr="00C722A1">
        <w:rPr>
          <w:rFonts w:eastAsia="Trebuchet MS" w:cs="Trebuchet MS"/>
          <w:spacing w:val="1"/>
        </w:rPr>
        <w:t>oi</w:t>
      </w:r>
      <w:r w:rsidRPr="00C722A1">
        <w:rPr>
          <w:rFonts w:eastAsia="Trebuchet MS" w:cs="Trebuchet MS"/>
        </w:rPr>
        <w:t>t</w:t>
      </w:r>
      <w:r w:rsidRPr="00C722A1">
        <w:rPr>
          <w:rFonts w:eastAsia="Trebuchet MS" w:cs="Trebuchet MS"/>
          <w:spacing w:val="-7"/>
        </w:rPr>
        <w:t xml:space="preserve"> </w:t>
      </w:r>
      <w:r w:rsidRPr="00C722A1">
        <w:rPr>
          <w:rFonts w:eastAsia="Trebuchet MS" w:cs="Trebuchet MS"/>
          <w:spacing w:val="1"/>
        </w:rPr>
        <w:t>C</w:t>
      </w:r>
      <w:r w:rsidRPr="00C722A1">
        <w:rPr>
          <w:rFonts w:eastAsia="Trebuchet MS" w:cs="Trebuchet MS"/>
          <w:spacing w:val="-1"/>
        </w:rPr>
        <w:t>r</w:t>
      </w:r>
      <w:r w:rsidRPr="00C722A1">
        <w:rPr>
          <w:rFonts w:eastAsia="Trebuchet MS" w:cs="Trebuchet MS"/>
        </w:rPr>
        <w:t>e</w:t>
      </w:r>
      <w:r w:rsidRPr="00C722A1">
        <w:rPr>
          <w:rFonts w:eastAsia="Trebuchet MS" w:cs="Trebuchet MS"/>
          <w:spacing w:val="-1"/>
        </w:rPr>
        <w:t>e</w:t>
      </w:r>
      <w:r w:rsidRPr="00C722A1">
        <w:rPr>
          <w:rFonts w:eastAsia="Trebuchet MS" w:cs="Trebuchet MS"/>
          <w:spacing w:val="3"/>
        </w:rPr>
        <w:t>k and tributaries, discharging to the CWW DIS at Robinson</w:t>
      </w:r>
      <w:r w:rsidR="002221F2">
        <w:rPr>
          <w:rFonts w:eastAsia="Trebuchet MS" w:cs="Trebuchet MS"/>
          <w:spacing w:val="3"/>
        </w:rPr>
        <w:t>s</w:t>
      </w:r>
      <w:r w:rsidRPr="00C722A1">
        <w:rPr>
          <w:rFonts w:eastAsia="Trebuchet MS" w:cs="Trebuchet MS"/>
          <w:spacing w:val="3"/>
        </w:rPr>
        <w:t xml:space="preserve"> and Riding Boundary Road</w:t>
      </w:r>
      <w:r w:rsidRPr="00C722A1">
        <w:rPr>
          <w:rFonts w:eastAsia="Trebuchet MS" w:cs="Trebuchet MS"/>
        </w:rPr>
        <w:t xml:space="preserve">. </w:t>
      </w:r>
      <w:r w:rsidR="0024513D" w:rsidRPr="0024513D">
        <w:rPr>
          <w:rFonts w:eastAsia="Trebuchet MS" w:cs="Trebuchet MS"/>
        </w:rPr>
        <w:t xml:space="preserve">The planned outlet point for the new sewer network west of Caroline Springs is a proposed permanent pumping station in the Clarkes Road/Kororoit Creek area and a rising main that will discharge to a future gravity sewer south of Western Highway that will </w:t>
      </w:r>
      <w:r w:rsidR="00510C85">
        <w:rPr>
          <w:rFonts w:eastAsia="Trebuchet MS" w:cs="Trebuchet MS"/>
        </w:rPr>
        <w:t>o</w:t>
      </w:r>
      <w:r w:rsidR="0024513D" w:rsidRPr="0024513D">
        <w:rPr>
          <w:rFonts w:eastAsia="Trebuchet MS" w:cs="Trebuchet MS"/>
        </w:rPr>
        <w:t>utlet into the DIS</w:t>
      </w:r>
      <w:r w:rsidR="0024513D">
        <w:rPr>
          <w:rFonts w:eastAsia="Trebuchet MS" w:cs="Trebuchet MS"/>
        </w:rPr>
        <w:t>.</w:t>
      </w:r>
    </w:p>
    <w:p w14:paraId="31D23F8D" w14:textId="5BFB0360" w:rsidR="00C722A1" w:rsidRPr="00C722A1" w:rsidRDefault="00C722A1" w:rsidP="00C722A1">
      <w:pPr>
        <w:spacing w:line="240" w:lineRule="auto"/>
        <w:ind w:right="640"/>
        <w:jc w:val="both"/>
        <w:rPr>
          <w:rFonts w:eastAsia="Trebuchet MS" w:cs="Trebuchet MS"/>
        </w:rPr>
      </w:pPr>
      <w:r w:rsidRPr="00C722A1">
        <w:rPr>
          <w:rFonts w:eastAsia="Trebuchet MS" w:cs="Trebuchet MS"/>
        </w:rPr>
        <w:t>In the interim some land parcels along the Melton Highway and Beattys Road may be serviced by the extension of the Stony Hill backbone sewer network. The addition of a temporary pump station</w:t>
      </w:r>
      <w:r w:rsidR="00B86FB9">
        <w:rPr>
          <w:rFonts w:eastAsia="Trebuchet MS" w:cs="Trebuchet MS"/>
        </w:rPr>
        <w:t xml:space="preserve"> would </w:t>
      </w:r>
      <w:r w:rsidRPr="00C722A1">
        <w:rPr>
          <w:rFonts w:eastAsia="Trebuchet MS" w:cs="Trebuchet MS"/>
        </w:rPr>
        <w:t xml:space="preserve">allow the Stony Hill sewer network to service a further </w:t>
      </w:r>
      <w:r w:rsidR="00C06346">
        <w:rPr>
          <w:rFonts w:eastAsia="Trebuchet MS" w:cs="Trebuchet MS"/>
        </w:rPr>
        <w:t>2</w:t>
      </w:r>
      <w:r w:rsidR="0038597D">
        <w:rPr>
          <w:rFonts w:eastAsia="Trebuchet MS" w:cs="Trebuchet MS"/>
        </w:rPr>
        <w:t>,</w:t>
      </w:r>
      <w:r w:rsidR="00C06346">
        <w:rPr>
          <w:rFonts w:eastAsia="Trebuchet MS" w:cs="Trebuchet MS"/>
        </w:rPr>
        <w:t>500</w:t>
      </w:r>
      <w:r w:rsidR="00C06346" w:rsidRPr="00C722A1">
        <w:rPr>
          <w:rFonts w:eastAsia="Trebuchet MS" w:cs="Trebuchet MS"/>
        </w:rPr>
        <w:t xml:space="preserve"> </w:t>
      </w:r>
      <w:r w:rsidRPr="00C722A1">
        <w:rPr>
          <w:rFonts w:eastAsia="Trebuchet MS" w:cs="Trebuchet MS"/>
        </w:rPr>
        <w:t xml:space="preserve">lots. </w:t>
      </w:r>
    </w:p>
    <w:p w14:paraId="69DCC017" w14:textId="2D9D478F" w:rsidR="00C722A1" w:rsidRPr="00C722A1" w:rsidRDefault="00C722A1" w:rsidP="00C722A1">
      <w:pPr>
        <w:tabs>
          <w:tab w:val="left" w:pos="785"/>
        </w:tabs>
        <w:spacing w:line="240" w:lineRule="auto"/>
        <w:ind w:right="-20"/>
        <w:jc w:val="both"/>
        <w:rPr>
          <w:rFonts w:cs="Helvetica"/>
        </w:rPr>
      </w:pPr>
      <w:r w:rsidRPr="00C722A1">
        <w:rPr>
          <w:rFonts w:cs="Helvetica"/>
        </w:rPr>
        <w:t xml:space="preserve">Provision of sewerage services to the Kororoit precinct is the responsibility of WW, however the service district boundary with CWW is in close proximity to the precinct and requires a coordinated approach to the provision of services. </w:t>
      </w:r>
    </w:p>
    <w:p w14:paraId="3FA79B71" w14:textId="0783509F" w:rsidR="00C722A1" w:rsidRDefault="00C722A1" w:rsidP="00694DD3">
      <w:pPr>
        <w:spacing w:line="240" w:lineRule="auto"/>
        <w:ind w:right="640"/>
        <w:jc w:val="both"/>
        <w:rPr>
          <w:rFonts w:eastAsia="Trebuchet MS" w:cs="Trebuchet MS"/>
        </w:rPr>
      </w:pPr>
      <w:r w:rsidRPr="00C722A1">
        <w:rPr>
          <w:rFonts w:eastAsia="Trebuchet MS" w:cs="Trebuchet MS"/>
        </w:rPr>
        <w:t xml:space="preserve">In the interim initial development in the order of </w:t>
      </w:r>
      <w:r w:rsidR="00C06346">
        <w:rPr>
          <w:rFonts w:eastAsia="Trebuchet MS" w:cs="Trebuchet MS"/>
        </w:rPr>
        <w:t>4</w:t>
      </w:r>
      <w:r w:rsidR="00510C85">
        <w:rPr>
          <w:rFonts w:eastAsia="Trebuchet MS" w:cs="Trebuchet MS"/>
        </w:rPr>
        <w:t>,</w:t>
      </w:r>
      <w:r w:rsidRPr="00C722A1">
        <w:rPr>
          <w:rFonts w:eastAsia="Trebuchet MS" w:cs="Trebuchet MS"/>
        </w:rPr>
        <w:t>000 lots could be serviced from the available capacity of the existing network within Caroline Springs.</w:t>
      </w:r>
      <w:r w:rsidR="00C06346">
        <w:rPr>
          <w:rFonts w:eastAsia="Trebuchet MS" w:cs="Trebuchet MS"/>
        </w:rPr>
        <w:t xml:space="preserve"> </w:t>
      </w:r>
      <w:r w:rsidR="00C06346" w:rsidRPr="00C06346">
        <w:rPr>
          <w:rFonts w:eastAsia="Trebuchet MS" w:cs="Trebuchet MS"/>
        </w:rPr>
        <w:t>Note that 4,000 lots is the total number of lots that can be serviced on an interim basis and is inclusive of the 2,500 lots that may be serviced also on an interim basis by the Stony Hill Creek sewer.</w:t>
      </w:r>
    </w:p>
    <w:p w14:paraId="59AD8629" w14:textId="5A1E1BC0" w:rsidR="00C722A1" w:rsidRPr="000D182F" w:rsidRDefault="000D182F" w:rsidP="000D182F">
      <w:pPr>
        <w:pStyle w:val="ListParagraph"/>
        <w:numPr>
          <w:ilvl w:val="1"/>
          <w:numId w:val="36"/>
        </w:numPr>
        <w:spacing w:line="240" w:lineRule="auto"/>
        <w:ind w:right="641"/>
        <w:jc w:val="both"/>
        <w:rPr>
          <w:b/>
          <w:sz w:val="28"/>
        </w:rPr>
      </w:pPr>
      <w:r>
        <w:rPr>
          <w:b/>
          <w:sz w:val="28"/>
        </w:rPr>
        <w:t xml:space="preserve"> </w:t>
      </w:r>
      <w:r w:rsidR="00E07497" w:rsidRPr="000D182F">
        <w:rPr>
          <w:b/>
          <w:sz w:val="28"/>
        </w:rPr>
        <w:t xml:space="preserve">Potable </w:t>
      </w:r>
      <w:r w:rsidR="00C028F5" w:rsidRPr="000D182F">
        <w:rPr>
          <w:b/>
          <w:sz w:val="28"/>
        </w:rPr>
        <w:t>w</w:t>
      </w:r>
      <w:r w:rsidR="00E07497" w:rsidRPr="000D182F">
        <w:rPr>
          <w:b/>
          <w:sz w:val="28"/>
        </w:rPr>
        <w:t xml:space="preserve">ater </w:t>
      </w:r>
      <w:r w:rsidR="00C028F5" w:rsidRPr="000D182F">
        <w:rPr>
          <w:b/>
          <w:sz w:val="28"/>
        </w:rPr>
        <w:t>s</w:t>
      </w:r>
      <w:r w:rsidR="00E07497" w:rsidRPr="000D182F">
        <w:rPr>
          <w:b/>
          <w:sz w:val="28"/>
        </w:rPr>
        <w:t>upply</w:t>
      </w:r>
    </w:p>
    <w:p w14:paraId="7C0395D4" w14:textId="3CDAA9A3" w:rsidR="004C384A" w:rsidRPr="004C384A" w:rsidRDefault="004C384A" w:rsidP="00917A97">
      <w:pPr>
        <w:tabs>
          <w:tab w:val="left" w:pos="785"/>
        </w:tabs>
        <w:spacing w:line="240" w:lineRule="auto"/>
        <w:ind w:right="-20"/>
        <w:jc w:val="both"/>
        <w:rPr>
          <w:rFonts w:cs="Helvetica"/>
        </w:rPr>
      </w:pPr>
      <w:r w:rsidRPr="004C384A">
        <w:rPr>
          <w:rFonts w:cs="Helvetica"/>
        </w:rPr>
        <w:t xml:space="preserve">Provision of </w:t>
      </w:r>
      <w:r>
        <w:rPr>
          <w:rFonts w:cs="Helvetica"/>
        </w:rPr>
        <w:t>water</w:t>
      </w:r>
      <w:r w:rsidRPr="004C384A">
        <w:rPr>
          <w:rFonts w:cs="Helvetica"/>
        </w:rPr>
        <w:t xml:space="preserve"> services to the Plumpton precinct is currently a shared responsibility with the northern part of the PSP in CWW’s area and the southern part of the PSP in WW’s area. </w:t>
      </w:r>
    </w:p>
    <w:p w14:paraId="21301875" w14:textId="74990BC4" w:rsidR="00511314" w:rsidRPr="00C722A1" w:rsidRDefault="00511314" w:rsidP="00511314">
      <w:pPr>
        <w:tabs>
          <w:tab w:val="left" w:pos="785"/>
        </w:tabs>
        <w:spacing w:line="240" w:lineRule="auto"/>
        <w:ind w:right="-20"/>
        <w:jc w:val="both"/>
        <w:rPr>
          <w:rFonts w:cs="Helvetica"/>
        </w:rPr>
      </w:pPr>
      <w:r w:rsidRPr="00C722A1">
        <w:rPr>
          <w:rFonts w:cs="Helvetica"/>
        </w:rPr>
        <w:t xml:space="preserve">Provision of water supply to the Kororoit precinct is the responsibility of WW, </w:t>
      </w:r>
      <w:r w:rsidR="004C384A">
        <w:rPr>
          <w:rFonts w:cs="Helvetica"/>
        </w:rPr>
        <w:t>but</w:t>
      </w:r>
      <w:r w:rsidR="004C384A" w:rsidRPr="00C722A1">
        <w:rPr>
          <w:rFonts w:cs="Helvetica"/>
        </w:rPr>
        <w:t xml:space="preserve"> </w:t>
      </w:r>
      <w:r w:rsidRPr="00C722A1">
        <w:rPr>
          <w:rFonts w:cs="Helvetica"/>
        </w:rPr>
        <w:t xml:space="preserve">the service district boundary with CWW is in close proximity to the precinct and requires a coordinated approach to the provision of services. </w:t>
      </w:r>
    </w:p>
    <w:p w14:paraId="44B57A06" w14:textId="2A105337" w:rsidR="00C722A1" w:rsidRPr="00C722A1" w:rsidRDefault="00511314" w:rsidP="00E42AF5">
      <w:pPr>
        <w:autoSpaceDE w:val="0"/>
        <w:autoSpaceDN w:val="0"/>
        <w:adjustRightInd w:val="0"/>
        <w:spacing w:line="240" w:lineRule="auto"/>
        <w:jc w:val="both"/>
      </w:pPr>
      <w:r w:rsidRPr="00C722A1">
        <w:rPr>
          <w:rFonts w:cs="Helvetica"/>
        </w:rPr>
        <w:t>There is only limited capacity available in the existing CWW and WW water supply network in the vicinity o</w:t>
      </w:r>
      <w:r>
        <w:rPr>
          <w:rFonts w:cs="Helvetica"/>
        </w:rPr>
        <w:t xml:space="preserve">f both Plumpton and Kororoit PSPs. </w:t>
      </w:r>
      <w:r w:rsidR="00C722A1" w:rsidRPr="00C722A1">
        <w:rPr>
          <w:rFonts w:cs="Helvetica"/>
        </w:rPr>
        <w:t xml:space="preserve">CWW </w:t>
      </w:r>
      <w:r w:rsidRPr="00C722A1">
        <w:rPr>
          <w:rFonts w:cs="Helvetica"/>
        </w:rPr>
        <w:t>ha</w:t>
      </w:r>
      <w:r>
        <w:rPr>
          <w:rFonts w:cs="Helvetica"/>
        </w:rPr>
        <w:t>s</w:t>
      </w:r>
      <w:r w:rsidRPr="00C722A1">
        <w:rPr>
          <w:rFonts w:cs="Helvetica"/>
        </w:rPr>
        <w:t xml:space="preserve"> </w:t>
      </w:r>
      <w:r w:rsidR="00C722A1" w:rsidRPr="00C722A1">
        <w:rPr>
          <w:rFonts w:cs="Helvetica"/>
        </w:rPr>
        <w:t xml:space="preserve">indicated that initial development may be serviced from WW’s 500mm diameter water main in Melton Highway reserve which is estimated to have adequate supply up until 2019. CWW </w:t>
      </w:r>
      <w:r w:rsidRPr="00C722A1">
        <w:rPr>
          <w:rFonts w:cs="Helvetica"/>
        </w:rPr>
        <w:t>ha</w:t>
      </w:r>
      <w:r>
        <w:rPr>
          <w:rFonts w:cs="Helvetica"/>
        </w:rPr>
        <w:t>s</w:t>
      </w:r>
      <w:r w:rsidRPr="00C722A1">
        <w:rPr>
          <w:rFonts w:cs="Helvetica"/>
        </w:rPr>
        <w:t xml:space="preserve"> </w:t>
      </w:r>
      <w:r w:rsidR="00C722A1" w:rsidRPr="00C722A1">
        <w:rPr>
          <w:rFonts w:cs="Helvetica"/>
        </w:rPr>
        <w:t xml:space="preserve">indicated supply to land adjacent to existing development along Beattys Road will be serviced via the extension of the 300mm main to the west along Beattys Road. </w:t>
      </w:r>
      <w:r w:rsidR="00C722A1" w:rsidRPr="00C722A1">
        <w:rPr>
          <w:rFonts w:eastAsia="Trebuchet MS" w:cs="Trebuchet MS"/>
        </w:rPr>
        <w:t>S</w:t>
      </w:r>
      <w:r w:rsidR="00C722A1" w:rsidRPr="00C722A1">
        <w:rPr>
          <w:rFonts w:eastAsia="Trebuchet MS" w:cs="Trebuchet MS"/>
          <w:spacing w:val="1"/>
        </w:rPr>
        <w:t>o</w:t>
      </w:r>
      <w:r w:rsidR="00C722A1" w:rsidRPr="00C722A1">
        <w:rPr>
          <w:rFonts w:eastAsia="Trebuchet MS" w:cs="Trebuchet MS"/>
          <w:spacing w:val="-1"/>
        </w:rPr>
        <w:t>u</w:t>
      </w:r>
      <w:r w:rsidR="00C722A1" w:rsidRPr="00C722A1">
        <w:rPr>
          <w:rFonts w:eastAsia="Trebuchet MS" w:cs="Trebuchet MS"/>
          <w:spacing w:val="3"/>
        </w:rPr>
        <w:t>t</w:t>
      </w:r>
      <w:r w:rsidR="00C722A1" w:rsidRPr="00C722A1">
        <w:rPr>
          <w:rFonts w:eastAsia="Trebuchet MS" w:cs="Trebuchet MS"/>
        </w:rPr>
        <w:t>h</w:t>
      </w:r>
      <w:r w:rsidR="00C722A1" w:rsidRPr="00C722A1">
        <w:rPr>
          <w:rFonts w:eastAsia="Trebuchet MS" w:cs="Trebuchet MS"/>
          <w:spacing w:val="-6"/>
        </w:rPr>
        <w:t xml:space="preserve"> </w:t>
      </w:r>
      <w:r w:rsidR="00C722A1" w:rsidRPr="00C722A1">
        <w:rPr>
          <w:rFonts w:eastAsia="Trebuchet MS" w:cs="Trebuchet MS"/>
          <w:spacing w:val="1"/>
        </w:rPr>
        <w:t>o</w:t>
      </w:r>
      <w:r w:rsidR="00C722A1" w:rsidRPr="00C722A1">
        <w:rPr>
          <w:rFonts w:eastAsia="Trebuchet MS" w:cs="Trebuchet MS"/>
        </w:rPr>
        <w:t>f</w:t>
      </w:r>
      <w:r w:rsidR="00C722A1" w:rsidRPr="00C722A1">
        <w:rPr>
          <w:rFonts w:eastAsia="Trebuchet MS" w:cs="Trebuchet MS"/>
          <w:spacing w:val="-2"/>
        </w:rPr>
        <w:t xml:space="preserve"> </w:t>
      </w:r>
      <w:r w:rsidR="00C722A1" w:rsidRPr="00C722A1">
        <w:rPr>
          <w:rFonts w:eastAsia="Trebuchet MS" w:cs="Trebuchet MS"/>
        </w:rPr>
        <w:t>t</w:t>
      </w:r>
      <w:r w:rsidR="00C722A1" w:rsidRPr="00C722A1">
        <w:rPr>
          <w:rFonts w:eastAsia="Trebuchet MS" w:cs="Trebuchet MS"/>
          <w:spacing w:val="2"/>
        </w:rPr>
        <w:t>h</w:t>
      </w:r>
      <w:r w:rsidR="00C722A1" w:rsidRPr="00C722A1">
        <w:rPr>
          <w:rFonts w:eastAsia="Trebuchet MS" w:cs="Trebuchet MS"/>
        </w:rPr>
        <w:t xml:space="preserve">e </w:t>
      </w:r>
      <w:r w:rsidR="00C722A1" w:rsidRPr="00C722A1">
        <w:rPr>
          <w:rFonts w:eastAsia="Trebuchet MS" w:cs="Trebuchet MS"/>
          <w:spacing w:val="-1"/>
        </w:rPr>
        <w:t>Pr</w:t>
      </w:r>
      <w:r w:rsidR="00C722A1" w:rsidRPr="00C722A1">
        <w:rPr>
          <w:rFonts w:eastAsia="Trebuchet MS" w:cs="Trebuchet MS"/>
          <w:spacing w:val="2"/>
        </w:rPr>
        <w:t>e</w:t>
      </w:r>
      <w:r w:rsidR="00C722A1" w:rsidRPr="00C722A1">
        <w:rPr>
          <w:rFonts w:eastAsia="Trebuchet MS" w:cs="Trebuchet MS"/>
        </w:rPr>
        <w:t>ci</w:t>
      </w:r>
      <w:r w:rsidR="00C722A1" w:rsidRPr="00C722A1">
        <w:rPr>
          <w:rFonts w:eastAsia="Trebuchet MS" w:cs="Trebuchet MS"/>
          <w:spacing w:val="-1"/>
        </w:rPr>
        <w:t>n</w:t>
      </w:r>
      <w:r w:rsidR="00C722A1" w:rsidRPr="00C722A1">
        <w:rPr>
          <w:rFonts w:eastAsia="Trebuchet MS" w:cs="Trebuchet MS"/>
        </w:rPr>
        <w:t>ct</w:t>
      </w:r>
      <w:r w:rsidR="00C722A1" w:rsidRPr="00C722A1">
        <w:rPr>
          <w:rFonts w:eastAsia="Trebuchet MS" w:cs="Trebuchet MS"/>
          <w:spacing w:val="-7"/>
        </w:rPr>
        <w:t xml:space="preserve"> </w:t>
      </w:r>
      <w:r w:rsidR="00C722A1" w:rsidRPr="00C722A1">
        <w:rPr>
          <w:rFonts w:eastAsia="Trebuchet MS" w:cs="Trebuchet MS"/>
        </w:rPr>
        <w:t>will be</w:t>
      </w:r>
      <w:r w:rsidR="00C722A1" w:rsidRPr="00C722A1">
        <w:rPr>
          <w:rFonts w:eastAsia="Trebuchet MS" w:cs="Trebuchet MS"/>
          <w:spacing w:val="-4"/>
        </w:rPr>
        <w:t xml:space="preserve"> </w:t>
      </w:r>
      <w:r w:rsidR="00C722A1" w:rsidRPr="00C722A1">
        <w:rPr>
          <w:rFonts w:eastAsia="Trebuchet MS" w:cs="Trebuchet MS"/>
          <w:spacing w:val="1"/>
        </w:rPr>
        <w:t>s</w:t>
      </w:r>
      <w:r w:rsidR="00C722A1" w:rsidRPr="00C722A1">
        <w:rPr>
          <w:rFonts w:eastAsia="Trebuchet MS" w:cs="Trebuchet MS"/>
          <w:spacing w:val="2"/>
        </w:rPr>
        <w:t>e</w:t>
      </w:r>
      <w:r w:rsidR="00C722A1" w:rsidRPr="00C722A1">
        <w:rPr>
          <w:rFonts w:eastAsia="Trebuchet MS" w:cs="Trebuchet MS"/>
          <w:spacing w:val="-1"/>
        </w:rPr>
        <w:t>r</w:t>
      </w:r>
      <w:r w:rsidR="00C722A1" w:rsidRPr="00C722A1">
        <w:rPr>
          <w:rFonts w:eastAsia="Trebuchet MS" w:cs="Trebuchet MS"/>
          <w:spacing w:val="1"/>
        </w:rPr>
        <w:t>vi</w:t>
      </w:r>
      <w:r w:rsidR="00C722A1" w:rsidRPr="00C722A1">
        <w:rPr>
          <w:rFonts w:eastAsia="Trebuchet MS" w:cs="Trebuchet MS"/>
        </w:rPr>
        <w:t>c</w:t>
      </w:r>
      <w:r w:rsidR="00C722A1" w:rsidRPr="00C722A1">
        <w:rPr>
          <w:rFonts w:eastAsia="Trebuchet MS" w:cs="Trebuchet MS"/>
          <w:spacing w:val="-1"/>
        </w:rPr>
        <w:t>e</w:t>
      </w:r>
      <w:r w:rsidR="00C722A1" w:rsidRPr="00C722A1">
        <w:rPr>
          <w:rFonts w:eastAsia="Trebuchet MS" w:cs="Trebuchet MS"/>
        </w:rPr>
        <w:t>d</w:t>
      </w:r>
      <w:r w:rsidR="00C722A1" w:rsidRPr="00C722A1">
        <w:rPr>
          <w:rFonts w:eastAsia="Trebuchet MS" w:cs="Trebuchet MS"/>
          <w:spacing w:val="-6"/>
        </w:rPr>
        <w:t xml:space="preserve"> </w:t>
      </w:r>
      <w:r w:rsidR="00C722A1" w:rsidRPr="00C722A1">
        <w:rPr>
          <w:rFonts w:eastAsia="Trebuchet MS" w:cs="Trebuchet MS"/>
        </w:rPr>
        <w:t>by the CWW m</w:t>
      </w:r>
      <w:r w:rsidR="00C722A1" w:rsidRPr="00C722A1">
        <w:rPr>
          <w:rFonts w:eastAsia="Trebuchet MS" w:cs="Trebuchet MS"/>
          <w:spacing w:val="1"/>
        </w:rPr>
        <w:t>ai</w:t>
      </w:r>
      <w:r w:rsidR="00C722A1" w:rsidRPr="00C722A1">
        <w:rPr>
          <w:rFonts w:eastAsia="Trebuchet MS" w:cs="Trebuchet MS"/>
        </w:rPr>
        <w:t>n</w:t>
      </w:r>
      <w:r w:rsidR="00C722A1" w:rsidRPr="00C722A1">
        <w:rPr>
          <w:rFonts w:eastAsia="Trebuchet MS" w:cs="Trebuchet MS"/>
          <w:spacing w:val="-5"/>
        </w:rPr>
        <w:t xml:space="preserve"> </w:t>
      </w:r>
      <w:r w:rsidR="00C722A1" w:rsidRPr="00C722A1">
        <w:rPr>
          <w:rFonts w:eastAsia="Trebuchet MS" w:cs="Trebuchet MS"/>
          <w:spacing w:val="1"/>
        </w:rPr>
        <w:t>f</w:t>
      </w:r>
      <w:r w:rsidR="00C722A1" w:rsidRPr="00C722A1">
        <w:rPr>
          <w:rFonts w:eastAsia="Trebuchet MS" w:cs="Trebuchet MS"/>
          <w:spacing w:val="-1"/>
        </w:rPr>
        <w:t>r</w:t>
      </w:r>
      <w:r w:rsidR="00C722A1" w:rsidRPr="00C722A1">
        <w:rPr>
          <w:rFonts w:eastAsia="Trebuchet MS" w:cs="Trebuchet MS"/>
          <w:spacing w:val="1"/>
        </w:rPr>
        <w:t>o</w:t>
      </w:r>
      <w:r w:rsidR="00C722A1" w:rsidRPr="00C722A1">
        <w:rPr>
          <w:rFonts w:eastAsia="Trebuchet MS" w:cs="Trebuchet MS"/>
        </w:rPr>
        <w:t>m</w:t>
      </w:r>
      <w:r w:rsidR="00C722A1" w:rsidRPr="00C722A1">
        <w:rPr>
          <w:rFonts w:eastAsia="Trebuchet MS" w:cs="Trebuchet MS"/>
          <w:spacing w:val="-4"/>
        </w:rPr>
        <w:t xml:space="preserve"> </w:t>
      </w:r>
      <w:r w:rsidR="00C722A1" w:rsidRPr="00C722A1">
        <w:rPr>
          <w:rFonts w:eastAsia="Trebuchet MS" w:cs="Trebuchet MS"/>
          <w:spacing w:val="1"/>
        </w:rPr>
        <w:t>Ci</w:t>
      </w:r>
      <w:r w:rsidR="00C722A1" w:rsidRPr="00C722A1">
        <w:rPr>
          <w:rFonts w:eastAsia="Trebuchet MS" w:cs="Trebuchet MS"/>
        </w:rPr>
        <w:t>ty</w:t>
      </w:r>
      <w:r w:rsidR="00C722A1" w:rsidRPr="00C722A1">
        <w:rPr>
          <w:rFonts w:eastAsia="Trebuchet MS" w:cs="Trebuchet MS"/>
          <w:spacing w:val="-4"/>
        </w:rPr>
        <w:t xml:space="preserve"> </w:t>
      </w:r>
      <w:r w:rsidR="00C722A1" w:rsidRPr="00C722A1">
        <w:rPr>
          <w:rFonts w:eastAsia="Trebuchet MS" w:cs="Trebuchet MS"/>
          <w:spacing w:val="1"/>
        </w:rPr>
        <w:t>Vis</w:t>
      </w:r>
      <w:r w:rsidR="00C722A1" w:rsidRPr="00C722A1">
        <w:rPr>
          <w:rFonts w:eastAsia="Trebuchet MS" w:cs="Trebuchet MS"/>
        </w:rPr>
        <w:t>ta</w:t>
      </w:r>
      <w:r w:rsidR="00C722A1" w:rsidRPr="00C722A1">
        <w:rPr>
          <w:rFonts w:eastAsia="Trebuchet MS" w:cs="Trebuchet MS"/>
          <w:spacing w:val="-3"/>
        </w:rPr>
        <w:t xml:space="preserve"> </w:t>
      </w:r>
      <w:r w:rsidR="00C722A1" w:rsidRPr="00C722A1">
        <w:rPr>
          <w:rFonts w:eastAsia="Trebuchet MS" w:cs="Trebuchet MS"/>
        </w:rPr>
        <w:t>Dr</w:t>
      </w:r>
      <w:r w:rsidR="00C722A1" w:rsidRPr="00C722A1">
        <w:rPr>
          <w:rFonts w:eastAsia="Trebuchet MS" w:cs="Trebuchet MS"/>
          <w:spacing w:val="5"/>
        </w:rPr>
        <w:t>i</w:t>
      </w:r>
      <w:r w:rsidR="00C722A1" w:rsidRPr="00C722A1">
        <w:rPr>
          <w:rFonts w:eastAsia="Trebuchet MS" w:cs="Trebuchet MS"/>
          <w:spacing w:val="1"/>
        </w:rPr>
        <w:t>v</w:t>
      </w:r>
      <w:r w:rsidR="00C722A1" w:rsidRPr="00C722A1">
        <w:rPr>
          <w:rFonts w:eastAsia="Trebuchet MS" w:cs="Trebuchet MS"/>
        </w:rPr>
        <w:t>e</w:t>
      </w:r>
      <w:r w:rsidR="00C722A1" w:rsidRPr="00C722A1">
        <w:rPr>
          <w:rFonts w:eastAsia="Trebuchet MS" w:cs="Trebuchet MS"/>
          <w:spacing w:val="-5"/>
        </w:rPr>
        <w:t xml:space="preserve"> </w:t>
      </w:r>
      <w:r w:rsidR="00C722A1" w:rsidRPr="00C722A1">
        <w:rPr>
          <w:rFonts w:eastAsia="Trebuchet MS" w:cs="Trebuchet MS"/>
          <w:spacing w:val="-1"/>
        </w:rPr>
        <w:t>e</w:t>
      </w:r>
      <w:r w:rsidR="00C722A1" w:rsidRPr="00C722A1">
        <w:rPr>
          <w:rFonts w:eastAsia="Trebuchet MS" w:cs="Trebuchet MS"/>
          <w:spacing w:val="1"/>
        </w:rPr>
        <w:t>x</w:t>
      </w:r>
      <w:r w:rsidR="00C722A1" w:rsidRPr="00C722A1">
        <w:rPr>
          <w:rFonts w:eastAsia="Trebuchet MS" w:cs="Trebuchet MS"/>
        </w:rPr>
        <w:t>te</w:t>
      </w:r>
      <w:r w:rsidR="00C722A1" w:rsidRPr="00C722A1">
        <w:rPr>
          <w:rFonts w:eastAsia="Trebuchet MS" w:cs="Trebuchet MS"/>
          <w:spacing w:val="1"/>
        </w:rPr>
        <w:t>n</w:t>
      </w:r>
      <w:r w:rsidR="00C722A1" w:rsidRPr="00C722A1">
        <w:rPr>
          <w:rFonts w:eastAsia="Trebuchet MS" w:cs="Trebuchet MS"/>
        </w:rPr>
        <w:t>d</w:t>
      </w:r>
      <w:r w:rsidR="00C722A1" w:rsidRPr="00C722A1">
        <w:rPr>
          <w:rFonts w:eastAsia="Trebuchet MS" w:cs="Trebuchet MS"/>
          <w:spacing w:val="1"/>
        </w:rPr>
        <w:t>e</w:t>
      </w:r>
      <w:r w:rsidR="00C722A1" w:rsidRPr="00C722A1">
        <w:rPr>
          <w:rFonts w:eastAsia="Trebuchet MS" w:cs="Trebuchet MS"/>
        </w:rPr>
        <w:t>d</w:t>
      </w:r>
      <w:r w:rsidR="00C722A1" w:rsidRPr="00C722A1">
        <w:rPr>
          <w:rFonts w:eastAsia="Trebuchet MS" w:cs="Trebuchet MS"/>
          <w:spacing w:val="-8"/>
        </w:rPr>
        <w:t xml:space="preserve"> </w:t>
      </w:r>
      <w:r w:rsidR="00C722A1" w:rsidRPr="00C722A1">
        <w:rPr>
          <w:rFonts w:eastAsia="Trebuchet MS" w:cs="Trebuchet MS"/>
        </w:rPr>
        <w:t>a</w:t>
      </w:r>
      <w:r w:rsidR="00C722A1" w:rsidRPr="00C722A1">
        <w:rPr>
          <w:rFonts w:eastAsia="Trebuchet MS" w:cs="Trebuchet MS"/>
          <w:spacing w:val="-1"/>
        </w:rPr>
        <w:t>l</w:t>
      </w:r>
      <w:r w:rsidR="00C722A1" w:rsidRPr="00C722A1">
        <w:rPr>
          <w:rFonts w:eastAsia="Trebuchet MS" w:cs="Trebuchet MS"/>
          <w:spacing w:val="1"/>
        </w:rPr>
        <w:t>o</w:t>
      </w:r>
      <w:r w:rsidR="00C722A1" w:rsidRPr="00C722A1">
        <w:rPr>
          <w:rFonts w:eastAsia="Trebuchet MS" w:cs="Trebuchet MS"/>
          <w:spacing w:val="-1"/>
        </w:rPr>
        <w:t>n</w:t>
      </w:r>
      <w:r w:rsidR="00C722A1" w:rsidRPr="00C722A1">
        <w:rPr>
          <w:rFonts w:eastAsia="Trebuchet MS" w:cs="Trebuchet MS"/>
        </w:rPr>
        <w:t>g Tay</w:t>
      </w:r>
      <w:r w:rsidR="00C722A1" w:rsidRPr="00C722A1">
        <w:rPr>
          <w:rFonts w:eastAsia="Trebuchet MS" w:cs="Trebuchet MS"/>
          <w:spacing w:val="-1"/>
        </w:rPr>
        <w:t>l</w:t>
      </w:r>
      <w:r w:rsidR="00C722A1" w:rsidRPr="00C722A1">
        <w:rPr>
          <w:rFonts w:eastAsia="Trebuchet MS" w:cs="Trebuchet MS"/>
          <w:spacing w:val="1"/>
        </w:rPr>
        <w:t>o</w:t>
      </w:r>
      <w:r w:rsidR="00C722A1" w:rsidRPr="00C722A1">
        <w:rPr>
          <w:rFonts w:eastAsia="Trebuchet MS" w:cs="Trebuchet MS"/>
          <w:spacing w:val="-1"/>
        </w:rPr>
        <w:t>r</w:t>
      </w:r>
      <w:r w:rsidR="00C722A1" w:rsidRPr="00C722A1">
        <w:rPr>
          <w:rFonts w:eastAsia="Trebuchet MS" w:cs="Trebuchet MS"/>
        </w:rPr>
        <w:t>s</w:t>
      </w:r>
      <w:r w:rsidR="00C722A1" w:rsidRPr="00C722A1">
        <w:rPr>
          <w:rFonts w:eastAsia="Trebuchet MS" w:cs="Trebuchet MS"/>
          <w:spacing w:val="-6"/>
        </w:rPr>
        <w:t xml:space="preserve"> </w:t>
      </w:r>
      <w:r w:rsidR="00C722A1" w:rsidRPr="00C722A1">
        <w:rPr>
          <w:rFonts w:eastAsia="Trebuchet MS" w:cs="Trebuchet MS"/>
          <w:spacing w:val="-1"/>
        </w:rPr>
        <w:t>R</w:t>
      </w:r>
      <w:r w:rsidR="00C722A1" w:rsidRPr="00C722A1">
        <w:rPr>
          <w:rFonts w:eastAsia="Trebuchet MS" w:cs="Trebuchet MS"/>
          <w:spacing w:val="1"/>
        </w:rPr>
        <w:t>oa</w:t>
      </w:r>
      <w:r w:rsidR="00C722A1" w:rsidRPr="00C722A1">
        <w:rPr>
          <w:rFonts w:eastAsia="Trebuchet MS" w:cs="Trebuchet MS"/>
        </w:rPr>
        <w:t>d.</w:t>
      </w:r>
    </w:p>
    <w:p w14:paraId="0117238E" w14:textId="77777777" w:rsidR="00C722A1" w:rsidRPr="00C722A1" w:rsidRDefault="00C722A1" w:rsidP="00C722A1">
      <w:pPr>
        <w:pStyle w:val="Heading4"/>
        <w:rPr>
          <w:b w:val="0"/>
          <w:i w:val="0"/>
          <w:sz w:val="22"/>
          <w:szCs w:val="22"/>
        </w:rPr>
      </w:pPr>
      <w:r w:rsidRPr="00C722A1">
        <w:rPr>
          <w:rFonts w:eastAsiaTheme="minorHAnsi" w:cs="Helvetica"/>
          <w:b w:val="0"/>
          <w:i w:val="0"/>
          <w:sz w:val="22"/>
          <w:szCs w:val="22"/>
        </w:rPr>
        <w:lastRenderedPageBreak/>
        <w:t>Ongoing growth within the precinct can be serviced with planned augmentation to the bulk transfer and local distribution networks. Augmentation works include:</w:t>
      </w:r>
    </w:p>
    <w:p w14:paraId="6FBBBD39" w14:textId="77777777" w:rsidR="00C722A1" w:rsidRPr="00C722A1" w:rsidRDefault="00C722A1" w:rsidP="009E33F9">
      <w:pPr>
        <w:pStyle w:val="ListParagraph"/>
        <w:numPr>
          <w:ilvl w:val="0"/>
          <w:numId w:val="4"/>
        </w:numPr>
        <w:autoSpaceDE w:val="0"/>
        <w:autoSpaceDN w:val="0"/>
        <w:adjustRightInd w:val="0"/>
        <w:spacing w:before="120" w:after="120" w:line="240" w:lineRule="auto"/>
        <w:contextualSpacing w:val="0"/>
        <w:jc w:val="both"/>
        <w:rPr>
          <w:rFonts w:cs="Helvetica"/>
        </w:rPr>
      </w:pPr>
      <w:r w:rsidRPr="00C722A1">
        <w:rPr>
          <w:rFonts w:cs="Helvetica"/>
        </w:rPr>
        <w:t>A large diameter water main along Melton Highway</w:t>
      </w:r>
    </w:p>
    <w:p w14:paraId="10572E38" w14:textId="77777777" w:rsidR="00C722A1" w:rsidRPr="00C722A1" w:rsidRDefault="00C722A1" w:rsidP="009E33F9">
      <w:pPr>
        <w:pStyle w:val="ListParagraph"/>
        <w:numPr>
          <w:ilvl w:val="0"/>
          <w:numId w:val="4"/>
        </w:numPr>
        <w:autoSpaceDE w:val="0"/>
        <w:autoSpaceDN w:val="0"/>
        <w:adjustRightInd w:val="0"/>
        <w:spacing w:before="120" w:after="120" w:line="240" w:lineRule="auto"/>
        <w:contextualSpacing w:val="0"/>
        <w:jc w:val="both"/>
        <w:rPr>
          <w:rFonts w:cs="Helvetica"/>
        </w:rPr>
      </w:pPr>
      <w:r w:rsidRPr="00C722A1">
        <w:rPr>
          <w:rFonts w:cs="Helvetica"/>
        </w:rPr>
        <w:t>A pump station to increase capacity to the transfer main from Greenvale Reservoir to a proposed storage located at the Holden Tank site north of Melton Highway.</w:t>
      </w:r>
    </w:p>
    <w:p w14:paraId="7B94D8C1" w14:textId="5B0FC101" w:rsidR="00C722A1" w:rsidRPr="00C722A1" w:rsidRDefault="00C722A1" w:rsidP="00C722A1">
      <w:pPr>
        <w:autoSpaceDE w:val="0"/>
        <w:autoSpaceDN w:val="0"/>
        <w:adjustRightInd w:val="0"/>
        <w:spacing w:line="240" w:lineRule="auto"/>
        <w:jc w:val="both"/>
        <w:rPr>
          <w:rFonts w:cs="Helvetica"/>
        </w:rPr>
      </w:pPr>
      <w:r w:rsidRPr="00C722A1">
        <w:rPr>
          <w:rFonts w:cs="Helvetica"/>
        </w:rPr>
        <w:t xml:space="preserve">As development occurs, CWW and/or WW will upsize and augment water supply to the area as required. In the interim, CWW can provide supply to approximately </w:t>
      </w:r>
      <w:r w:rsidR="0038597D">
        <w:rPr>
          <w:rFonts w:cs="Helvetica"/>
        </w:rPr>
        <w:t>1,500</w:t>
      </w:r>
      <w:r w:rsidR="0038597D" w:rsidRPr="00C722A1">
        <w:rPr>
          <w:rFonts w:cs="Helvetica"/>
        </w:rPr>
        <w:t xml:space="preserve"> </w:t>
      </w:r>
      <w:r w:rsidRPr="00C722A1">
        <w:rPr>
          <w:rFonts w:cs="Helvetica"/>
        </w:rPr>
        <w:t>lots adjacent to the existing development south of Taylors Road.</w:t>
      </w:r>
    </w:p>
    <w:p w14:paraId="42997C68" w14:textId="4BB73A9D" w:rsidR="00C722A1" w:rsidRPr="000F1F6D" w:rsidRDefault="000D182F" w:rsidP="000D182F">
      <w:pPr>
        <w:pStyle w:val="Heading3"/>
        <w:numPr>
          <w:ilvl w:val="1"/>
          <w:numId w:val="36"/>
        </w:numPr>
        <w:rPr>
          <w:rFonts w:asciiTheme="minorHAnsi" w:hAnsiTheme="minorHAnsi"/>
          <w:b/>
          <w:color w:val="auto"/>
          <w:sz w:val="28"/>
          <w:szCs w:val="22"/>
        </w:rPr>
      </w:pPr>
      <w:r>
        <w:rPr>
          <w:rFonts w:asciiTheme="minorHAnsi" w:hAnsiTheme="minorHAnsi"/>
          <w:b/>
          <w:color w:val="auto"/>
          <w:sz w:val="28"/>
          <w:szCs w:val="22"/>
        </w:rPr>
        <w:t xml:space="preserve"> </w:t>
      </w:r>
      <w:r w:rsidR="00E07497" w:rsidRPr="000F1F6D">
        <w:rPr>
          <w:rFonts w:asciiTheme="minorHAnsi" w:hAnsiTheme="minorHAnsi"/>
          <w:b/>
          <w:color w:val="auto"/>
          <w:sz w:val="28"/>
          <w:szCs w:val="22"/>
        </w:rPr>
        <w:t xml:space="preserve">Recycled </w:t>
      </w:r>
      <w:r w:rsidR="00C028F5">
        <w:rPr>
          <w:rFonts w:asciiTheme="minorHAnsi" w:hAnsiTheme="minorHAnsi"/>
          <w:b/>
          <w:color w:val="auto"/>
          <w:sz w:val="28"/>
          <w:szCs w:val="22"/>
        </w:rPr>
        <w:t>w</w:t>
      </w:r>
      <w:r w:rsidR="00C722A1" w:rsidRPr="000F1F6D">
        <w:rPr>
          <w:rFonts w:asciiTheme="minorHAnsi" w:hAnsiTheme="minorHAnsi"/>
          <w:b/>
          <w:color w:val="auto"/>
          <w:sz w:val="28"/>
          <w:szCs w:val="22"/>
        </w:rPr>
        <w:t xml:space="preserve">ater </w:t>
      </w:r>
      <w:r w:rsidR="00C028F5">
        <w:rPr>
          <w:rFonts w:asciiTheme="minorHAnsi" w:hAnsiTheme="minorHAnsi"/>
          <w:b/>
          <w:color w:val="auto"/>
          <w:sz w:val="28"/>
          <w:szCs w:val="22"/>
        </w:rPr>
        <w:t>s</w:t>
      </w:r>
      <w:r w:rsidR="00C722A1" w:rsidRPr="000F1F6D">
        <w:rPr>
          <w:rFonts w:asciiTheme="minorHAnsi" w:hAnsiTheme="minorHAnsi"/>
          <w:b/>
          <w:color w:val="auto"/>
          <w:sz w:val="28"/>
          <w:szCs w:val="22"/>
        </w:rPr>
        <w:t>upply</w:t>
      </w:r>
    </w:p>
    <w:p w14:paraId="2E2EE839" w14:textId="77777777" w:rsidR="00C7664B" w:rsidRDefault="00C722A1" w:rsidP="00C7664B">
      <w:pPr>
        <w:pStyle w:val="Default"/>
        <w:spacing w:before="120" w:after="120"/>
        <w:jc w:val="both"/>
        <w:rPr>
          <w:rFonts w:asciiTheme="minorHAnsi" w:hAnsiTheme="minorHAnsi"/>
          <w:color w:val="auto"/>
          <w:sz w:val="22"/>
          <w:szCs w:val="22"/>
        </w:rPr>
      </w:pPr>
      <w:r w:rsidRPr="00C722A1">
        <w:rPr>
          <w:rFonts w:asciiTheme="minorHAnsi" w:hAnsiTheme="minorHAnsi"/>
          <w:color w:val="auto"/>
          <w:sz w:val="22"/>
          <w:szCs w:val="22"/>
        </w:rPr>
        <w:t xml:space="preserve">A Whole of Water Cycle Assessment was undertaken for both Plumpton and Kororoit precincts which assessed the base case and two alternative options for each water management aspect. A reticulated third pipe system will be provided to all households, commercial, industrial and educational users for non-potable uses. The options to provide assets distributed throughout individual catchments and co-located adjacent to or within active open space areas to increase stormwater harvesting potential and create amenity assets has been retained through the design of the Future Urban Structure. </w:t>
      </w:r>
      <w:r w:rsidR="007D493D">
        <w:rPr>
          <w:rFonts w:asciiTheme="minorHAnsi" w:hAnsiTheme="minorHAnsi"/>
          <w:color w:val="auto"/>
          <w:sz w:val="22"/>
          <w:szCs w:val="22"/>
        </w:rPr>
        <w:t>Some</w:t>
      </w:r>
      <w:r w:rsidR="007D493D" w:rsidRPr="00C722A1">
        <w:rPr>
          <w:rFonts w:asciiTheme="minorHAnsi" w:hAnsiTheme="minorHAnsi"/>
          <w:color w:val="auto"/>
          <w:sz w:val="22"/>
          <w:szCs w:val="22"/>
        </w:rPr>
        <w:t xml:space="preserve"> </w:t>
      </w:r>
      <w:r w:rsidRPr="00C722A1">
        <w:rPr>
          <w:rFonts w:asciiTheme="minorHAnsi" w:hAnsiTheme="minorHAnsi"/>
          <w:color w:val="auto"/>
          <w:sz w:val="22"/>
          <w:szCs w:val="22"/>
        </w:rPr>
        <w:t xml:space="preserve">excess supply from stormwater harvesting </w:t>
      </w:r>
      <w:r w:rsidR="007D493D">
        <w:rPr>
          <w:rFonts w:asciiTheme="minorHAnsi" w:hAnsiTheme="minorHAnsi"/>
          <w:color w:val="auto"/>
          <w:sz w:val="22"/>
          <w:szCs w:val="22"/>
        </w:rPr>
        <w:t>could</w:t>
      </w:r>
      <w:r w:rsidR="007D493D" w:rsidRPr="00C722A1">
        <w:rPr>
          <w:rFonts w:asciiTheme="minorHAnsi" w:hAnsiTheme="minorHAnsi"/>
          <w:color w:val="auto"/>
          <w:sz w:val="22"/>
          <w:szCs w:val="22"/>
        </w:rPr>
        <w:t xml:space="preserve"> </w:t>
      </w:r>
      <w:r w:rsidRPr="00C722A1">
        <w:rPr>
          <w:rFonts w:asciiTheme="minorHAnsi" w:hAnsiTheme="minorHAnsi"/>
          <w:color w:val="auto"/>
          <w:sz w:val="22"/>
          <w:szCs w:val="22"/>
        </w:rPr>
        <w:t xml:space="preserve">be conveyed to the recycled water supply. </w:t>
      </w:r>
    </w:p>
    <w:p w14:paraId="10DA7441" w14:textId="79D84892" w:rsidR="00C7664B" w:rsidRPr="000F1F6D" w:rsidRDefault="000D182F" w:rsidP="000D182F">
      <w:pPr>
        <w:pStyle w:val="Default"/>
        <w:numPr>
          <w:ilvl w:val="1"/>
          <w:numId w:val="36"/>
        </w:numPr>
        <w:spacing w:before="120" w:after="120"/>
        <w:jc w:val="both"/>
        <w:rPr>
          <w:rFonts w:asciiTheme="minorHAnsi" w:hAnsiTheme="minorHAnsi"/>
          <w:b/>
          <w:color w:val="auto"/>
          <w:sz w:val="28"/>
          <w:szCs w:val="22"/>
        </w:rPr>
      </w:pPr>
      <w:r>
        <w:rPr>
          <w:rFonts w:asciiTheme="minorHAnsi" w:hAnsiTheme="minorHAnsi"/>
          <w:b/>
          <w:color w:val="auto"/>
          <w:sz w:val="28"/>
          <w:szCs w:val="22"/>
        </w:rPr>
        <w:t xml:space="preserve"> </w:t>
      </w:r>
      <w:r w:rsidR="00E07497" w:rsidRPr="000F1F6D">
        <w:rPr>
          <w:rFonts w:asciiTheme="minorHAnsi" w:hAnsiTheme="minorHAnsi"/>
          <w:b/>
          <w:color w:val="auto"/>
          <w:sz w:val="28"/>
          <w:szCs w:val="22"/>
        </w:rPr>
        <w:t xml:space="preserve">Electricity </w:t>
      </w:r>
      <w:r w:rsidR="00C028F5">
        <w:rPr>
          <w:rFonts w:asciiTheme="minorHAnsi" w:hAnsiTheme="minorHAnsi"/>
          <w:b/>
          <w:color w:val="auto"/>
          <w:sz w:val="28"/>
          <w:szCs w:val="22"/>
        </w:rPr>
        <w:t>s</w:t>
      </w:r>
      <w:r w:rsidR="00C722A1" w:rsidRPr="000F1F6D">
        <w:rPr>
          <w:rFonts w:asciiTheme="minorHAnsi" w:hAnsiTheme="minorHAnsi"/>
          <w:b/>
          <w:color w:val="auto"/>
          <w:sz w:val="28"/>
          <w:szCs w:val="22"/>
        </w:rPr>
        <w:t xml:space="preserve">upply and </w:t>
      </w:r>
      <w:r w:rsidR="00C028F5">
        <w:rPr>
          <w:rFonts w:asciiTheme="minorHAnsi" w:hAnsiTheme="minorHAnsi"/>
          <w:b/>
          <w:color w:val="auto"/>
          <w:sz w:val="28"/>
          <w:szCs w:val="22"/>
        </w:rPr>
        <w:t>t</w:t>
      </w:r>
      <w:r w:rsidR="00E07497" w:rsidRPr="000F1F6D">
        <w:rPr>
          <w:rFonts w:asciiTheme="minorHAnsi" w:hAnsiTheme="minorHAnsi"/>
          <w:b/>
          <w:color w:val="auto"/>
          <w:sz w:val="28"/>
          <w:szCs w:val="22"/>
        </w:rPr>
        <w:t xml:space="preserve">ransmission </w:t>
      </w:r>
      <w:r w:rsidR="00C028F5">
        <w:rPr>
          <w:rFonts w:asciiTheme="minorHAnsi" w:hAnsiTheme="minorHAnsi"/>
          <w:b/>
          <w:color w:val="auto"/>
          <w:sz w:val="28"/>
          <w:szCs w:val="22"/>
        </w:rPr>
        <w:t>i</w:t>
      </w:r>
      <w:r w:rsidR="00C722A1" w:rsidRPr="000F1F6D">
        <w:rPr>
          <w:rFonts w:asciiTheme="minorHAnsi" w:hAnsiTheme="minorHAnsi"/>
          <w:b/>
          <w:color w:val="auto"/>
          <w:sz w:val="28"/>
          <w:szCs w:val="22"/>
        </w:rPr>
        <w:t>nfrastructure</w:t>
      </w:r>
    </w:p>
    <w:p w14:paraId="4478E576" w14:textId="77777777" w:rsidR="00C7664B" w:rsidRPr="00C7664B" w:rsidRDefault="00C722A1" w:rsidP="00C7664B">
      <w:pPr>
        <w:pStyle w:val="Default"/>
        <w:spacing w:before="120" w:after="120"/>
        <w:jc w:val="both"/>
        <w:rPr>
          <w:rFonts w:cs="Helvetica"/>
          <w:sz w:val="22"/>
        </w:rPr>
      </w:pPr>
      <w:r w:rsidRPr="00C7664B">
        <w:rPr>
          <w:rFonts w:cs="Helvetica"/>
          <w:sz w:val="22"/>
        </w:rPr>
        <w:t xml:space="preserve">Jemena </w:t>
      </w:r>
      <w:r w:rsidR="007D493D" w:rsidRPr="00C7664B">
        <w:rPr>
          <w:rFonts w:cs="Helvetica"/>
          <w:sz w:val="22"/>
        </w:rPr>
        <w:t xml:space="preserve">is </w:t>
      </w:r>
      <w:r w:rsidRPr="00C7664B">
        <w:rPr>
          <w:rFonts w:cs="Helvetica"/>
          <w:sz w:val="22"/>
        </w:rPr>
        <w:t xml:space="preserve">the electricity supply authority for the northern part of the </w:t>
      </w:r>
      <w:r w:rsidR="00B27E2D" w:rsidRPr="00C7664B">
        <w:rPr>
          <w:rFonts w:cs="Helvetica"/>
          <w:sz w:val="22"/>
        </w:rPr>
        <w:t xml:space="preserve">Plumpton </w:t>
      </w:r>
      <w:r w:rsidRPr="00C7664B">
        <w:rPr>
          <w:rFonts w:cs="Helvetica"/>
          <w:sz w:val="22"/>
        </w:rPr>
        <w:t xml:space="preserve">precinct, and Powercor </w:t>
      </w:r>
      <w:r w:rsidR="007D493D" w:rsidRPr="00C7664B">
        <w:rPr>
          <w:rFonts w:cs="Helvetica"/>
          <w:sz w:val="22"/>
        </w:rPr>
        <w:t xml:space="preserve">is </w:t>
      </w:r>
      <w:r w:rsidRPr="00C7664B">
        <w:rPr>
          <w:rFonts w:cs="Helvetica"/>
          <w:sz w:val="22"/>
        </w:rPr>
        <w:t xml:space="preserve">the supply authority for the southern part of the </w:t>
      </w:r>
      <w:r w:rsidR="00B27E2D" w:rsidRPr="00C7664B">
        <w:rPr>
          <w:rFonts w:cs="Helvetica"/>
          <w:sz w:val="22"/>
        </w:rPr>
        <w:t xml:space="preserve">Plumpton </w:t>
      </w:r>
      <w:r w:rsidRPr="00C7664B">
        <w:rPr>
          <w:rFonts w:cs="Helvetica"/>
          <w:sz w:val="22"/>
        </w:rPr>
        <w:t>precinct. There are existing high voltage 22kV feeder lines currently providing electricity to the precinct from the Melton Zone Substation in the Powercor supply area and the Sydenham Zone Substation in the Jemena Supply area. There are no electricity supply limitations relating to the future development of the Plumpton precinct.</w:t>
      </w:r>
    </w:p>
    <w:p w14:paraId="6CF479E8" w14:textId="7BB92851" w:rsidR="00C7664B" w:rsidRPr="00C7664B" w:rsidRDefault="00954EA6" w:rsidP="00C7664B">
      <w:pPr>
        <w:pStyle w:val="Default"/>
        <w:spacing w:before="120" w:after="120"/>
        <w:jc w:val="both"/>
        <w:rPr>
          <w:rFonts w:cs="Helvetica"/>
          <w:sz w:val="22"/>
        </w:rPr>
      </w:pPr>
      <w:r w:rsidRPr="00C7664B">
        <w:rPr>
          <w:rFonts w:cs="Helvetica"/>
          <w:sz w:val="22"/>
        </w:rPr>
        <w:t xml:space="preserve">Powercor is the supply authority for the Kororoit precinct. There are existing high voltage 22kV feeder lines currently providing electricity to the precinct from the Melton Zone Substation. </w:t>
      </w:r>
      <w:r w:rsidR="00C722A1" w:rsidRPr="00C7664B">
        <w:rPr>
          <w:rFonts w:cs="Helvetica"/>
          <w:sz w:val="22"/>
        </w:rPr>
        <w:t xml:space="preserve">As Powercor’s existing zone substations begin to approach maximum capacity, a new ‘Rockbank East’ zone substation will be </w:t>
      </w:r>
      <w:r w:rsidR="004C384A">
        <w:rPr>
          <w:rFonts w:cs="Helvetica"/>
          <w:sz w:val="22"/>
        </w:rPr>
        <w:t>required</w:t>
      </w:r>
      <w:r w:rsidR="004C384A" w:rsidRPr="00C7664B">
        <w:rPr>
          <w:rFonts w:cs="Helvetica"/>
          <w:sz w:val="22"/>
        </w:rPr>
        <w:t xml:space="preserve"> </w:t>
      </w:r>
      <w:r w:rsidR="00C722A1" w:rsidRPr="00C7664B">
        <w:rPr>
          <w:rFonts w:cs="Helvetica"/>
          <w:sz w:val="22"/>
        </w:rPr>
        <w:t xml:space="preserve">in proximity to the Kororoit precinct to service the Plumpton, Kororoit and Rockbank precincts. The zone substation will provide 12 new 22kV feeders to supply Plumpton and adjacent precincts. </w:t>
      </w:r>
    </w:p>
    <w:p w14:paraId="68C7FA96" w14:textId="77777777" w:rsidR="00C7664B" w:rsidRPr="00C7664B" w:rsidRDefault="00C722A1" w:rsidP="00C7664B">
      <w:pPr>
        <w:pStyle w:val="Default"/>
        <w:spacing w:before="120" w:after="120"/>
        <w:jc w:val="both"/>
        <w:rPr>
          <w:rFonts w:cs="Helvetica"/>
          <w:sz w:val="22"/>
        </w:rPr>
      </w:pPr>
      <w:r w:rsidRPr="00C7664B">
        <w:rPr>
          <w:rFonts w:cs="Helvetica"/>
          <w:sz w:val="22"/>
        </w:rPr>
        <w:t>The Sydenham zone substation will continue to supply the Jemena authority area in the interim. It is anticipated that a new substation within the Plumpton precinct will be required along with new 66kV distribution and 22kV feeder lines to service ultimate development.</w:t>
      </w:r>
    </w:p>
    <w:p w14:paraId="330BDE72" w14:textId="77777777" w:rsidR="00C7664B" w:rsidRPr="00C7664B" w:rsidRDefault="00C722A1" w:rsidP="00C7664B">
      <w:pPr>
        <w:pStyle w:val="Default"/>
        <w:spacing w:before="120" w:after="120"/>
        <w:jc w:val="both"/>
        <w:rPr>
          <w:rFonts w:cs="Helvetica"/>
          <w:sz w:val="22"/>
        </w:rPr>
      </w:pPr>
      <w:r w:rsidRPr="00C7664B">
        <w:rPr>
          <w:rFonts w:cs="Helvetica"/>
          <w:sz w:val="22"/>
        </w:rPr>
        <w:t xml:space="preserve">Upgrades specific </w:t>
      </w:r>
      <w:r w:rsidR="00B27E2D" w:rsidRPr="00C7664B">
        <w:rPr>
          <w:rFonts w:cs="Helvetica"/>
          <w:sz w:val="22"/>
        </w:rPr>
        <w:t xml:space="preserve">to </w:t>
      </w:r>
      <w:r w:rsidRPr="00C7664B">
        <w:rPr>
          <w:rFonts w:cs="Helvetica"/>
          <w:sz w:val="22"/>
        </w:rPr>
        <w:t>development that is not considered a network upgrade will need to be developer funded. Developers will need to fund works</w:t>
      </w:r>
      <w:r w:rsidR="00B27E2D" w:rsidRPr="00C7664B">
        <w:rPr>
          <w:rFonts w:cs="Helvetica"/>
          <w:sz w:val="22"/>
        </w:rPr>
        <w:t xml:space="preserve"> as outlined in the PSPs. </w:t>
      </w:r>
      <w:r w:rsidRPr="00C7664B">
        <w:rPr>
          <w:rFonts w:cs="Helvetica"/>
          <w:sz w:val="22"/>
        </w:rPr>
        <w:t>Road cross sections have been designed to cater for existing 66kV overhead lines.</w:t>
      </w:r>
    </w:p>
    <w:p w14:paraId="3B932BFF" w14:textId="094C94C7" w:rsidR="00C7664B" w:rsidRPr="00C7664B" w:rsidRDefault="00C722A1" w:rsidP="00C7664B">
      <w:pPr>
        <w:pStyle w:val="Default"/>
        <w:spacing w:before="120" w:after="120"/>
        <w:jc w:val="both"/>
        <w:rPr>
          <w:rFonts w:cs="Helvetica"/>
          <w:sz w:val="22"/>
        </w:rPr>
      </w:pPr>
      <w:r w:rsidRPr="00C7664B">
        <w:rPr>
          <w:rFonts w:cs="Helvetica"/>
          <w:sz w:val="22"/>
        </w:rPr>
        <w:t xml:space="preserve">There is an existing 154m </w:t>
      </w:r>
      <w:r w:rsidR="00B27E2D" w:rsidRPr="00C7664B">
        <w:rPr>
          <w:rFonts w:cs="Helvetica"/>
          <w:sz w:val="22"/>
        </w:rPr>
        <w:t>-</w:t>
      </w:r>
      <w:r w:rsidRPr="00C7664B">
        <w:rPr>
          <w:rFonts w:cs="Helvetica"/>
          <w:sz w:val="22"/>
        </w:rPr>
        <w:t xml:space="preserve">wide high voltage transmission easement </w:t>
      </w:r>
      <w:r w:rsidR="00B27E2D" w:rsidRPr="00C7664B">
        <w:rPr>
          <w:rFonts w:cs="Helvetica"/>
          <w:sz w:val="22"/>
        </w:rPr>
        <w:t xml:space="preserve">owned </w:t>
      </w:r>
      <w:r w:rsidR="00954EA6" w:rsidRPr="00C7664B">
        <w:rPr>
          <w:rFonts w:cs="Helvetica"/>
          <w:sz w:val="22"/>
        </w:rPr>
        <w:t xml:space="preserve">(easement, not land) </w:t>
      </w:r>
      <w:r w:rsidR="00B27E2D" w:rsidRPr="00C7664B">
        <w:rPr>
          <w:rFonts w:cs="Helvetica"/>
          <w:sz w:val="22"/>
        </w:rPr>
        <w:t xml:space="preserve">by Ausnet </w:t>
      </w:r>
      <w:r w:rsidR="005F27F0" w:rsidRPr="00C7664B">
        <w:rPr>
          <w:rFonts w:cs="Helvetica"/>
          <w:sz w:val="22"/>
        </w:rPr>
        <w:t>Services</w:t>
      </w:r>
      <w:r w:rsidR="005F27F0">
        <w:rPr>
          <w:rFonts w:cs="Helvetica"/>
          <w:sz w:val="22"/>
        </w:rPr>
        <w:t xml:space="preserve">, </w:t>
      </w:r>
      <w:r w:rsidRPr="00C7664B">
        <w:rPr>
          <w:rFonts w:cs="Helvetica"/>
          <w:sz w:val="22"/>
        </w:rPr>
        <w:t xml:space="preserve">located </w:t>
      </w:r>
      <w:r w:rsidR="00B27E2D" w:rsidRPr="00C7664B">
        <w:rPr>
          <w:rFonts w:cs="Helvetica"/>
          <w:sz w:val="22"/>
        </w:rPr>
        <w:t xml:space="preserve">in </w:t>
      </w:r>
      <w:r w:rsidRPr="00C7664B">
        <w:rPr>
          <w:rFonts w:cs="Helvetica"/>
          <w:sz w:val="22"/>
        </w:rPr>
        <w:t xml:space="preserve">the east of the </w:t>
      </w:r>
      <w:r w:rsidR="00B27E2D" w:rsidRPr="00C7664B">
        <w:rPr>
          <w:rFonts w:cs="Helvetica"/>
          <w:sz w:val="22"/>
        </w:rPr>
        <w:t xml:space="preserve">Plumpton and Kororoit </w:t>
      </w:r>
      <w:r w:rsidRPr="00C7664B">
        <w:rPr>
          <w:rFonts w:cs="Helvetica"/>
          <w:sz w:val="22"/>
        </w:rPr>
        <w:t>Precinct</w:t>
      </w:r>
      <w:r w:rsidR="00B27E2D" w:rsidRPr="00C7664B">
        <w:rPr>
          <w:rFonts w:cs="Helvetica"/>
          <w:sz w:val="22"/>
        </w:rPr>
        <w:t>s</w:t>
      </w:r>
      <w:r w:rsidRPr="00C7664B">
        <w:rPr>
          <w:rFonts w:cs="Helvetica"/>
          <w:sz w:val="22"/>
        </w:rPr>
        <w:t>. The easement currently contains two 500kV transmission lines</w:t>
      </w:r>
      <w:r w:rsidR="006436C7" w:rsidRPr="00C7664B">
        <w:rPr>
          <w:rFonts w:cs="Helvetica"/>
          <w:sz w:val="22"/>
        </w:rPr>
        <w:t xml:space="preserve">, with an additional </w:t>
      </w:r>
      <w:r w:rsidRPr="00C7664B">
        <w:rPr>
          <w:rFonts w:cs="Helvetica"/>
          <w:sz w:val="22"/>
        </w:rPr>
        <w:t>500kV powerline planned</w:t>
      </w:r>
      <w:r w:rsidR="00B27E2D" w:rsidRPr="00C7664B">
        <w:rPr>
          <w:rFonts w:cs="Helvetica"/>
          <w:sz w:val="22"/>
        </w:rPr>
        <w:t xml:space="preserve"> to the east</w:t>
      </w:r>
      <w:r w:rsidR="006436C7" w:rsidRPr="00C7664B">
        <w:rPr>
          <w:rFonts w:cs="Helvetica"/>
          <w:sz w:val="22"/>
        </w:rPr>
        <w:t xml:space="preserve"> in future, and an additional </w:t>
      </w:r>
      <w:r w:rsidR="00B27E2D" w:rsidRPr="00C7664B">
        <w:rPr>
          <w:rFonts w:cs="Helvetica"/>
          <w:sz w:val="22"/>
        </w:rPr>
        <w:t>220kV powerline to the west</w:t>
      </w:r>
      <w:r w:rsidRPr="00C7664B">
        <w:rPr>
          <w:rFonts w:cs="Helvetica"/>
          <w:sz w:val="22"/>
        </w:rPr>
        <w:t xml:space="preserve">.  </w:t>
      </w:r>
      <w:r w:rsidR="00954EA6" w:rsidRPr="00C7664B">
        <w:rPr>
          <w:rFonts w:cs="Helvetica"/>
          <w:sz w:val="22"/>
        </w:rPr>
        <w:t>The PSP includes c</w:t>
      </w:r>
      <w:r w:rsidRPr="00C7664B">
        <w:rPr>
          <w:rFonts w:cs="Helvetica"/>
          <w:sz w:val="22"/>
        </w:rPr>
        <w:t>oncept plans and associated land use tables to identify the preferred use and development of the easement.</w:t>
      </w:r>
    </w:p>
    <w:p w14:paraId="3DB81CB3" w14:textId="59F458C1" w:rsidR="00C722A1" w:rsidRDefault="00C722A1" w:rsidP="00C7664B">
      <w:pPr>
        <w:pStyle w:val="Default"/>
        <w:spacing w:before="120" w:after="120"/>
        <w:jc w:val="both"/>
        <w:rPr>
          <w:rFonts w:cs="Helvetica"/>
          <w:sz w:val="22"/>
        </w:rPr>
      </w:pPr>
      <w:r w:rsidRPr="00C7664B">
        <w:rPr>
          <w:rFonts w:cs="Helvetica"/>
          <w:sz w:val="22"/>
        </w:rPr>
        <w:t xml:space="preserve">The easement was a constraint on the design of the </w:t>
      </w:r>
      <w:r w:rsidR="00954EA6" w:rsidRPr="00C7664B">
        <w:rPr>
          <w:rFonts w:cs="Helvetica"/>
          <w:sz w:val="22"/>
        </w:rPr>
        <w:t xml:space="preserve">PSPs </w:t>
      </w:r>
      <w:r w:rsidRPr="00C7664B">
        <w:rPr>
          <w:rFonts w:cs="Helvetica"/>
          <w:sz w:val="22"/>
        </w:rPr>
        <w:t xml:space="preserve">as government schools </w:t>
      </w:r>
      <w:r w:rsidR="005F27F0">
        <w:rPr>
          <w:rFonts w:cs="Helvetica"/>
          <w:sz w:val="22"/>
        </w:rPr>
        <w:t>prefer not to</w:t>
      </w:r>
      <w:r w:rsidR="005F27F0" w:rsidRPr="00C7664B">
        <w:rPr>
          <w:rFonts w:cs="Helvetica"/>
          <w:sz w:val="22"/>
        </w:rPr>
        <w:t xml:space="preserve"> </w:t>
      </w:r>
      <w:r w:rsidRPr="00C7664B">
        <w:rPr>
          <w:rFonts w:cs="Helvetica"/>
          <w:sz w:val="22"/>
        </w:rPr>
        <w:t xml:space="preserve">be located within 400m of the easement. </w:t>
      </w:r>
    </w:p>
    <w:p w14:paraId="6741B079" w14:textId="77777777" w:rsidR="00C41287" w:rsidRDefault="00C41287" w:rsidP="00C7664B">
      <w:pPr>
        <w:pStyle w:val="Default"/>
        <w:spacing w:before="120" w:after="120"/>
        <w:jc w:val="both"/>
        <w:rPr>
          <w:rFonts w:cs="Helvetica"/>
          <w:sz w:val="22"/>
        </w:rPr>
      </w:pPr>
    </w:p>
    <w:p w14:paraId="5E1C0C77" w14:textId="77777777" w:rsidR="00C41287" w:rsidRPr="00C7664B" w:rsidRDefault="00C41287" w:rsidP="00C7664B">
      <w:pPr>
        <w:pStyle w:val="Default"/>
        <w:spacing w:before="120" w:after="120"/>
        <w:jc w:val="both"/>
        <w:rPr>
          <w:rFonts w:asciiTheme="minorHAnsi" w:hAnsiTheme="minorHAnsi"/>
          <w:color w:val="auto"/>
          <w:sz w:val="20"/>
          <w:szCs w:val="22"/>
        </w:rPr>
      </w:pPr>
    </w:p>
    <w:p w14:paraId="7F8FA01D" w14:textId="226F4151" w:rsidR="00C722A1" w:rsidRPr="000D182F" w:rsidRDefault="000D182F" w:rsidP="000D182F">
      <w:pPr>
        <w:pStyle w:val="Heading2"/>
      </w:pPr>
      <w:r>
        <w:lastRenderedPageBreak/>
        <w:t xml:space="preserve">15.5 </w:t>
      </w:r>
      <w:r w:rsidR="00E07497" w:rsidRPr="000D182F">
        <w:t xml:space="preserve">Gas </w:t>
      </w:r>
      <w:r w:rsidR="00E8203D" w:rsidRPr="000D182F">
        <w:t xml:space="preserve">supply and high pressure gas </w:t>
      </w:r>
      <w:r w:rsidR="00C722A1" w:rsidRPr="000D182F">
        <w:t>transmission Infrastructure</w:t>
      </w:r>
    </w:p>
    <w:p w14:paraId="43FE78E3" w14:textId="53CE168C" w:rsidR="00C722A1" w:rsidRPr="00C722A1" w:rsidRDefault="00C722A1" w:rsidP="00C722A1">
      <w:pPr>
        <w:spacing w:line="240" w:lineRule="auto"/>
        <w:jc w:val="both"/>
        <w:rPr>
          <w:rFonts w:cs="Helvetica"/>
        </w:rPr>
      </w:pPr>
      <w:r w:rsidRPr="00C722A1">
        <w:rPr>
          <w:rFonts w:cs="Helvetica"/>
        </w:rPr>
        <w:t>SP AusNet is the responsible authority for gas distribution</w:t>
      </w:r>
      <w:r w:rsidR="00A25BA6">
        <w:rPr>
          <w:rFonts w:cs="Helvetica"/>
        </w:rPr>
        <w:t xml:space="preserve"> in both Plumpton and Kororoit</w:t>
      </w:r>
      <w:r w:rsidRPr="00C722A1">
        <w:rPr>
          <w:rFonts w:cs="Helvetica"/>
        </w:rPr>
        <w:t xml:space="preserve">. There is currently minimal reticulated gas supply within </w:t>
      </w:r>
      <w:r w:rsidR="00A25BA6">
        <w:rPr>
          <w:rFonts w:cs="Helvetica"/>
        </w:rPr>
        <w:t>both precincts</w:t>
      </w:r>
      <w:r w:rsidRPr="00C722A1">
        <w:rPr>
          <w:rFonts w:cs="Helvetica"/>
        </w:rPr>
        <w:t xml:space="preserve">. </w:t>
      </w:r>
      <w:r w:rsidRPr="00C722A1">
        <w:t xml:space="preserve"> </w:t>
      </w:r>
      <w:r w:rsidRPr="00C722A1">
        <w:rPr>
          <w:rFonts w:cs="Helvetica"/>
        </w:rPr>
        <w:t>The point</w:t>
      </w:r>
      <w:r w:rsidR="002230E9">
        <w:rPr>
          <w:rFonts w:cs="Helvetica"/>
        </w:rPr>
        <w:t>s</w:t>
      </w:r>
      <w:r w:rsidRPr="00C722A1">
        <w:rPr>
          <w:rFonts w:cs="Helvetica"/>
        </w:rPr>
        <w:t xml:space="preserve"> of supply for the</w:t>
      </w:r>
      <w:r w:rsidR="00A25BA6">
        <w:rPr>
          <w:rFonts w:cs="Helvetica"/>
        </w:rPr>
        <w:t xml:space="preserve"> Plumpton</w:t>
      </w:r>
      <w:r w:rsidRPr="00C722A1">
        <w:rPr>
          <w:rFonts w:cs="Helvetica"/>
        </w:rPr>
        <w:t xml:space="preserve"> precinct are the city gates adjacent to Taylors Road and the Melton Highway respectively and it is expected that with minimal upgrades, these city gates will have sufficient capacity to service the ultimate development of the </w:t>
      </w:r>
      <w:r w:rsidR="002230E9">
        <w:rPr>
          <w:rFonts w:cs="Helvetica"/>
        </w:rPr>
        <w:t>p</w:t>
      </w:r>
      <w:r w:rsidR="002230E9" w:rsidRPr="00C722A1">
        <w:rPr>
          <w:rFonts w:cs="Helvetica"/>
        </w:rPr>
        <w:t>recinct</w:t>
      </w:r>
      <w:r w:rsidR="002230E9">
        <w:rPr>
          <w:rFonts w:cs="Helvetica"/>
        </w:rPr>
        <w:t>s</w:t>
      </w:r>
      <w:r w:rsidRPr="00C722A1">
        <w:rPr>
          <w:rFonts w:cs="Helvetica"/>
        </w:rPr>
        <w:t>. As development proceeds SP AusNet will reticulate gas supply throughout the precinct.</w:t>
      </w:r>
      <w:r w:rsidR="00A25BA6" w:rsidRPr="00A25BA6">
        <w:rPr>
          <w:rFonts w:cs="Helvetica"/>
        </w:rPr>
        <w:t xml:space="preserve"> </w:t>
      </w:r>
      <w:r w:rsidR="00A25BA6" w:rsidRPr="00C722A1">
        <w:rPr>
          <w:rFonts w:cs="Helvetica"/>
        </w:rPr>
        <w:t xml:space="preserve">The point of supply for the </w:t>
      </w:r>
      <w:r w:rsidR="00A25BA6">
        <w:rPr>
          <w:rFonts w:cs="Helvetica"/>
        </w:rPr>
        <w:t xml:space="preserve">Kororoit </w:t>
      </w:r>
      <w:r w:rsidR="00A25BA6" w:rsidRPr="00C722A1">
        <w:rPr>
          <w:rFonts w:cs="Helvetica"/>
        </w:rPr>
        <w:t>precinct is the city gate adjacent to Taylors Road</w:t>
      </w:r>
      <w:r w:rsidR="00A25BA6">
        <w:rPr>
          <w:rFonts w:cs="Helvetica"/>
        </w:rPr>
        <w:t>.</w:t>
      </w:r>
    </w:p>
    <w:p w14:paraId="14707C27" w14:textId="487159DB" w:rsidR="00C722A1" w:rsidRDefault="00C722A1" w:rsidP="00C722A1">
      <w:pPr>
        <w:spacing w:line="240" w:lineRule="auto"/>
        <w:jc w:val="both"/>
        <w:rPr>
          <w:rFonts w:cs="Helvetica"/>
        </w:rPr>
      </w:pPr>
      <w:r w:rsidRPr="00C722A1">
        <w:rPr>
          <w:rFonts w:cs="Helvetica"/>
        </w:rPr>
        <w:t>The APA group is the licensee for the high pressure gas transmission pipeline</w:t>
      </w:r>
      <w:r w:rsidR="002230E9">
        <w:rPr>
          <w:rFonts w:cs="Helvetica"/>
        </w:rPr>
        <w:t>s</w:t>
      </w:r>
      <w:r w:rsidRPr="00C722A1">
        <w:rPr>
          <w:rFonts w:cs="Helvetica"/>
        </w:rPr>
        <w:t xml:space="preserve"> that traverse the precinct</w:t>
      </w:r>
      <w:r w:rsidR="00A25BA6">
        <w:rPr>
          <w:rFonts w:cs="Helvetica"/>
        </w:rPr>
        <w:t>s</w:t>
      </w:r>
      <w:r w:rsidRPr="00C722A1">
        <w:rPr>
          <w:rFonts w:cs="Helvetica"/>
        </w:rPr>
        <w:t xml:space="preserve"> from north to south.  </w:t>
      </w:r>
      <w:r w:rsidR="002230E9">
        <w:rPr>
          <w:rFonts w:cs="Helvetica"/>
        </w:rPr>
        <w:t>The Deer Park to Sunbury</w:t>
      </w:r>
      <w:r w:rsidR="002230E9" w:rsidRPr="00C722A1">
        <w:rPr>
          <w:rFonts w:cs="Helvetica"/>
        </w:rPr>
        <w:t xml:space="preserve"> </w:t>
      </w:r>
      <w:r w:rsidRPr="00C722A1">
        <w:rPr>
          <w:rFonts w:cs="Helvetica"/>
        </w:rPr>
        <w:t>pipeline</w:t>
      </w:r>
      <w:r w:rsidR="002230E9">
        <w:rPr>
          <w:rFonts w:cs="Helvetica"/>
        </w:rPr>
        <w:t xml:space="preserve"> runs through both Kororoit and Plumpton and</w:t>
      </w:r>
      <w:r w:rsidRPr="00C722A1">
        <w:rPr>
          <w:rFonts w:cs="Helvetica"/>
        </w:rPr>
        <w:t xml:space="preserve"> is 150mm in diameter </w:t>
      </w:r>
      <w:r w:rsidR="002230E9">
        <w:rPr>
          <w:rFonts w:cs="Helvetica"/>
        </w:rPr>
        <w:t xml:space="preserve">with </w:t>
      </w:r>
      <w:r w:rsidRPr="00C722A1">
        <w:rPr>
          <w:rFonts w:cs="Helvetica"/>
        </w:rPr>
        <w:t xml:space="preserve">a </w:t>
      </w:r>
      <w:r w:rsidR="002230E9">
        <w:rPr>
          <w:rFonts w:cs="Helvetica"/>
        </w:rPr>
        <w:t xml:space="preserve">‘pipeline </w:t>
      </w:r>
      <w:r w:rsidRPr="00C722A1">
        <w:rPr>
          <w:rFonts w:cs="Helvetica"/>
        </w:rPr>
        <w:t>measurement length</w:t>
      </w:r>
      <w:r w:rsidR="002230E9">
        <w:rPr>
          <w:rFonts w:cs="Helvetica"/>
        </w:rPr>
        <w:t>’</w:t>
      </w:r>
      <w:r w:rsidRPr="00C722A1">
        <w:rPr>
          <w:rFonts w:cs="Helvetica"/>
        </w:rPr>
        <w:t xml:space="preserve"> of 164m. </w:t>
      </w:r>
      <w:r w:rsidR="002230E9">
        <w:rPr>
          <w:rFonts w:cs="Helvetica"/>
        </w:rPr>
        <w:t xml:space="preserve">The Truganina to Plumpton pipeline runs through </w:t>
      </w:r>
      <w:r w:rsidR="00A25BA6">
        <w:rPr>
          <w:rFonts w:cs="Helvetica"/>
        </w:rPr>
        <w:t>the Kororoit precinct</w:t>
      </w:r>
      <w:r w:rsidR="002230E9">
        <w:rPr>
          <w:rFonts w:cs="Helvetica"/>
        </w:rPr>
        <w:t xml:space="preserve"> only, stopping at Taylors Road</w:t>
      </w:r>
      <w:r w:rsidR="0036373D">
        <w:rPr>
          <w:rFonts w:cs="Helvetica"/>
        </w:rPr>
        <w:t>, and is</w:t>
      </w:r>
      <w:r w:rsidR="002230E9">
        <w:rPr>
          <w:rFonts w:cs="Helvetica"/>
        </w:rPr>
        <w:t xml:space="preserve"> </w:t>
      </w:r>
      <w:r w:rsidRPr="00C722A1">
        <w:rPr>
          <w:rFonts w:cs="Helvetica"/>
        </w:rPr>
        <w:t xml:space="preserve">500mm in diameter </w:t>
      </w:r>
      <w:r w:rsidR="0036373D">
        <w:rPr>
          <w:rFonts w:cs="Helvetica"/>
        </w:rPr>
        <w:t>with</w:t>
      </w:r>
      <w:r w:rsidRPr="00C722A1">
        <w:rPr>
          <w:rFonts w:cs="Helvetica"/>
        </w:rPr>
        <w:t xml:space="preserve"> a measure length of 571m. The measurement length for each pipeline is established through </w:t>
      </w:r>
      <w:r w:rsidRPr="00E42AF5">
        <w:rPr>
          <w:rFonts w:cs="Helvetica"/>
          <w:i/>
        </w:rPr>
        <w:t>AS2885: The Australian Pipeline Standard</w:t>
      </w:r>
      <w:r w:rsidRPr="00C722A1">
        <w:rPr>
          <w:rFonts w:cs="Helvetica"/>
        </w:rPr>
        <w:t>. The Standard identifies sensitive uses that should be minimised within the measurement length</w:t>
      </w:r>
      <w:r w:rsidR="00DB570D">
        <w:rPr>
          <w:rFonts w:cs="Helvetica"/>
        </w:rPr>
        <w:t>, and t</w:t>
      </w:r>
      <w:r w:rsidRPr="00C722A1">
        <w:rPr>
          <w:rFonts w:cs="Helvetica"/>
        </w:rPr>
        <w:t>he FUS has remove</w:t>
      </w:r>
      <w:r w:rsidR="00DB570D">
        <w:rPr>
          <w:rFonts w:cs="Helvetica"/>
        </w:rPr>
        <w:t>d</w:t>
      </w:r>
      <w:r w:rsidRPr="00C722A1">
        <w:rPr>
          <w:rFonts w:cs="Helvetica"/>
        </w:rPr>
        <w:t xml:space="preserve"> </w:t>
      </w:r>
      <w:r w:rsidR="00DB570D">
        <w:rPr>
          <w:rFonts w:cs="Helvetica"/>
        </w:rPr>
        <w:t>most uses considered ‘</w:t>
      </w:r>
      <w:r w:rsidRPr="00C722A1">
        <w:rPr>
          <w:rFonts w:cs="Helvetica"/>
        </w:rPr>
        <w:t>sensitive</w:t>
      </w:r>
      <w:r w:rsidR="00DB570D">
        <w:rPr>
          <w:rFonts w:cs="Helvetica"/>
        </w:rPr>
        <w:t>’</w:t>
      </w:r>
      <w:r w:rsidRPr="00C722A1">
        <w:rPr>
          <w:rFonts w:cs="Helvetica"/>
        </w:rPr>
        <w:t xml:space="preserve"> from within the pipeline measurement length. </w:t>
      </w:r>
    </w:p>
    <w:p w14:paraId="6ABCD6DE" w14:textId="19D5F271" w:rsidR="00E8203D" w:rsidRDefault="00E8203D" w:rsidP="00C722A1">
      <w:pPr>
        <w:spacing w:line="240" w:lineRule="auto"/>
        <w:jc w:val="both"/>
        <w:rPr>
          <w:rFonts w:cs="Helvetica"/>
        </w:rPr>
      </w:pPr>
      <w:r>
        <w:rPr>
          <w:rFonts w:cs="Helvetica"/>
        </w:rPr>
        <w:t>The pipeline owner is required to undertake a Safety Management Study on change of land use along a pipeline to assess the risk to the pipeline during and after future development of the area. The SMS recommendations included investigating planning scheme mechanisms which have subsequently been included in the Urban Growth Zo</w:t>
      </w:r>
      <w:r w:rsidR="00636764">
        <w:rPr>
          <w:rFonts w:cs="Helvetica"/>
        </w:rPr>
        <w:t xml:space="preserve">ne schedule as well as in </w:t>
      </w:r>
      <w:r>
        <w:rPr>
          <w:rFonts w:cs="Helvetica"/>
        </w:rPr>
        <w:t xml:space="preserve">the PSP itself, as well as recommendations for APA to follow up.     </w:t>
      </w:r>
    </w:p>
    <w:p w14:paraId="4D1F4996" w14:textId="21297973" w:rsidR="00C722A1" w:rsidRPr="000F1F6D" w:rsidRDefault="000D182F" w:rsidP="000D182F">
      <w:pPr>
        <w:pStyle w:val="Heading2"/>
      </w:pPr>
      <w:r>
        <w:t xml:space="preserve">15.6 </w:t>
      </w:r>
      <w:r w:rsidR="00C722A1" w:rsidRPr="000F1F6D">
        <w:t>Telecommunications</w:t>
      </w:r>
    </w:p>
    <w:p w14:paraId="4456EAF0" w14:textId="0497CF11" w:rsidR="00C722A1" w:rsidRPr="00C722A1" w:rsidRDefault="00C722A1" w:rsidP="00C722A1">
      <w:pPr>
        <w:autoSpaceDE w:val="0"/>
        <w:autoSpaceDN w:val="0"/>
        <w:adjustRightInd w:val="0"/>
        <w:spacing w:line="240" w:lineRule="auto"/>
        <w:jc w:val="both"/>
        <w:rPr>
          <w:rFonts w:cs="Helvetica"/>
        </w:rPr>
      </w:pPr>
      <w:r w:rsidRPr="00C722A1">
        <w:rPr>
          <w:rFonts w:cs="Helvetica"/>
        </w:rPr>
        <w:t>NBN Co is the responsible agency for the delivery of the National Broadband Network (NBN). Telecommunication design and installation in all new residential estates greater than 100 lots</w:t>
      </w:r>
      <w:r w:rsidR="00110412">
        <w:rPr>
          <w:rFonts w:cs="Helvetica"/>
        </w:rPr>
        <w:t>;</w:t>
      </w:r>
      <w:r w:rsidRPr="00C722A1">
        <w:rPr>
          <w:rFonts w:cs="Helvetica"/>
        </w:rPr>
        <w:t xml:space="preserve"> to be developed within three years</w:t>
      </w:r>
      <w:r w:rsidR="00110412">
        <w:rPr>
          <w:rFonts w:cs="Helvetica"/>
        </w:rPr>
        <w:t>;</w:t>
      </w:r>
      <w:r w:rsidRPr="00C722A1">
        <w:rPr>
          <w:rFonts w:cs="Helvetica"/>
        </w:rPr>
        <w:t xml:space="preserve"> and within the NBN Co fibre </w:t>
      </w:r>
      <w:r w:rsidR="00110412" w:rsidRPr="00C722A1">
        <w:rPr>
          <w:rFonts w:cs="Helvetica"/>
        </w:rPr>
        <w:t>footprint</w:t>
      </w:r>
      <w:r w:rsidR="00110412">
        <w:rPr>
          <w:rFonts w:cs="Helvetica"/>
        </w:rPr>
        <w:t xml:space="preserve">; </w:t>
      </w:r>
      <w:r w:rsidRPr="00C722A1">
        <w:rPr>
          <w:rFonts w:cs="Helvetica"/>
        </w:rPr>
        <w:t>will be administered through the NBN Co system. Developers will need to make application to NBN Co for the provision of telecommunications. The developer will then need to design and construct a suitable pit and pipe network for NBN Co to utilise. NBN Co has advised there are no obstacles to the provision of telecommunications for the precinct.</w:t>
      </w:r>
    </w:p>
    <w:p w14:paraId="557FE528" w14:textId="77777777" w:rsidR="005D7A24" w:rsidRDefault="005D7A24"/>
    <w:p w14:paraId="3F8EB0CA" w14:textId="77777777" w:rsidR="00917A97" w:rsidRDefault="00917A97">
      <w:pPr>
        <w:rPr>
          <w:b/>
          <w:sz w:val="32"/>
          <w:szCs w:val="32"/>
          <w:u w:val="single"/>
        </w:rPr>
      </w:pPr>
      <w:r>
        <w:rPr>
          <w:b/>
          <w:sz w:val="32"/>
          <w:szCs w:val="32"/>
          <w:u w:val="single"/>
        </w:rPr>
        <w:br w:type="page"/>
      </w:r>
    </w:p>
    <w:p w14:paraId="0D1A06F0" w14:textId="53D4B6A2" w:rsidR="000C7A6F" w:rsidRPr="000D182F" w:rsidRDefault="000C7A6F" w:rsidP="000D182F">
      <w:pPr>
        <w:pStyle w:val="Heading1"/>
        <w:numPr>
          <w:ilvl w:val="0"/>
          <w:numId w:val="23"/>
        </w:numPr>
        <w:rPr>
          <w:b/>
          <w:sz w:val="24"/>
        </w:rPr>
      </w:pPr>
      <w:r w:rsidRPr="000D182F">
        <w:rPr>
          <w:b/>
        </w:rPr>
        <w:lastRenderedPageBreak/>
        <w:t>References</w:t>
      </w:r>
    </w:p>
    <w:p w14:paraId="3F72A3CF" w14:textId="066C27D9" w:rsidR="005D7A24" w:rsidRDefault="005D7A24">
      <w:r>
        <w:t>The following reports have been used to inform this report. Plans have not been included in this report and reference should be made to the original documents when reading this report. The original documents</w:t>
      </w:r>
      <w:r w:rsidR="00B80385">
        <w:t xml:space="preserve"> commissions for the Plumpton and Kororo</w:t>
      </w:r>
      <w:r w:rsidR="001E0645">
        <w:t>it</w:t>
      </w:r>
      <w:r w:rsidR="00B80385">
        <w:t xml:space="preserve"> PSPs</w:t>
      </w:r>
      <w:r>
        <w:t xml:space="preserve"> are located on </w:t>
      </w:r>
      <w:r w:rsidR="00DC6ED4">
        <w:t xml:space="preserve">the MPA </w:t>
      </w:r>
      <w:r>
        <w:t xml:space="preserve">website at </w:t>
      </w:r>
      <w:hyperlink r:id="rId10" w:history="1">
        <w:r w:rsidRPr="00F248B0">
          <w:rPr>
            <w:rStyle w:val="Hyperlink"/>
          </w:rPr>
          <w:t>www.mpa.vic.gov.au</w:t>
        </w:r>
      </w:hyperlink>
      <w:r>
        <w:t>.</w:t>
      </w:r>
    </w:p>
    <w:p w14:paraId="35D9BDB5" w14:textId="77777777" w:rsidR="008A5D65" w:rsidRPr="00B80385" w:rsidRDefault="008A5D65" w:rsidP="008A5D65">
      <w:pPr>
        <w:rPr>
          <w:rFonts w:ascii="Calibri" w:hAnsi="Calibri" w:cs="Calibri"/>
          <w:sz w:val="20"/>
        </w:rPr>
      </w:pPr>
      <w:r w:rsidRPr="00B80385">
        <w:rPr>
          <w:rFonts w:ascii="Calibri" w:hAnsi="Calibri" w:cs="Calibri"/>
          <w:sz w:val="20"/>
        </w:rPr>
        <w:t xml:space="preserve">Alluvium &amp; Practical Ecology for Melbourne Water (2013) </w:t>
      </w:r>
      <w:r w:rsidRPr="00B80385">
        <w:rPr>
          <w:rFonts w:ascii="Calibri" w:hAnsi="Calibri" w:cs="Calibri"/>
          <w:i/>
          <w:sz w:val="20"/>
        </w:rPr>
        <w:t>Assessment of Riparian Vegetation and Geomorphology: Plumpton Area Development Services Scheme Study Area</w:t>
      </w:r>
      <w:r w:rsidRPr="00B80385">
        <w:rPr>
          <w:rFonts w:ascii="Calibri" w:hAnsi="Calibri" w:cs="Calibri"/>
          <w:sz w:val="20"/>
        </w:rPr>
        <w:t xml:space="preserve"> </w:t>
      </w:r>
    </w:p>
    <w:p w14:paraId="7D4FA0B7" w14:textId="77777777" w:rsidR="008A5D65" w:rsidRPr="00B80385" w:rsidRDefault="008A5D65" w:rsidP="008A5D65">
      <w:pPr>
        <w:rPr>
          <w:sz w:val="20"/>
        </w:rPr>
      </w:pPr>
      <w:r w:rsidRPr="00B80385">
        <w:rPr>
          <w:rFonts w:ascii="Calibri" w:hAnsi="Calibri" w:cs="Calibri"/>
          <w:sz w:val="20"/>
        </w:rPr>
        <w:t xml:space="preserve">Alluvium for Melbourne Water (2014) </w:t>
      </w:r>
      <w:r w:rsidRPr="00B80385">
        <w:rPr>
          <w:rFonts w:ascii="Calibri" w:hAnsi="Calibri" w:cs="Calibri"/>
          <w:i/>
          <w:sz w:val="20"/>
        </w:rPr>
        <w:t>Feasibility Assessment: Protection of Intact Waterways in the Olive Grove Catchment</w:t>
      </w:r>
      <w:r w:rsidRPr="00B80385">
        <w:rPr>
          <w:rFonts w:ascii="Calibri" w:hAnsi="Calibri" w:cs="Calibri"/>
          <w:sz w:val="20"/>
        </w:rPr>
        <w:t xml:space="preserve"> </w:t>
      </w:r>
    </w:p>
    <w:p w14:paraId="72D5961F" w14:textId="77777777" w:rsidR="008A5D65" w:rsidRPr="00B80385" w:rsidRDefault="008A5D65" w:rsidP="008A5D65">
      <w:pPr>
        <w:rPr>
          <w:sz w:val="20"/>
          <w:lang w:val="en-US"/>
        </w:rPr>
      </w:pPr>
      <w:r w:rsidRPr="00B80385">
        <w:rPr>
          <w:sz w:val="20"/>
          <w:lang w:val="en-US"/>
        </w:rPr>
        <w:t xml:space="preserve">Archaeological &amp; Heritage Management Solutions for Metropolitan Planning Authority (2014) </w:t>
      </w:r>
      <w:r w:rsidRPr="00B80385">
        <w:rPr>
          <w:i/>
          <w:sz w:val="20"/>
          <w:lang w:val="en-US"/>
        </w:rPr>
        <w:t>Plumpton Aboriginal Cultural Heritage Assessment</w:t>
      </w:r>
    </w:p>
    <w:p w14:paraId="06ED1708" w14:textId="77777777" w:rsidR="008A5D65" w:rsidRPr="00B80385" w:rsidRDefault="008A5D65" w:rsidP="008A5D65">
      <w:pPr>
        <w:rPr>
          <w:sz w:val="20"/>
          <w:lang w:val="en-US"/>
        </w:rPr>
      </w:pPr>
      <w:r w:rsidRPr="00B80385">
        <w:rPr>
          <w:sz w:val="20"/>
          <w:lang w:val="en-US"/>
        </w:rPr>
        <w:t xml:space="preserve">Archaeological &amp; Heritage Management Solutions for the Metropolitan Planning Authority (2014) </w:t>
      </w:r>
      <w:r w:rsidRPr="00B80385">
        <w:rPr>
          <w:i/>
          <w:sz w:val="20"/>
          <w:lang w:val="en-US"/>
        </w:rPr>
        <w:t>Kororoit Aboriginal Cultural Heritage Assessment</w:t>
      </w:r>
    </w:p>
    <w:p w14:paraId="50993372" w14:textId="77777777" w:rsidR="008A5D65" w:rsidRPr="00B80385" w:rsidRDefault="008A5D65" w:rsidP="008A5D65">
      <w:pPr>
        <w:rPr>
          <w:sz w:val="20"/>
          <w:lang w:val="en-US"/>
        </w:rPr>
      </w:pPr>
      <w:r w:rsidRPr="00B80385">
        <w:rPr>
          <w:sz w:val="20"/>
        </w:rPr>
        <w:t xml:space="preserve">Aurecon for the </w:t>
      </w:r>
      <w:r w:rsidRPr="00B80385">
        <w:rPr>
          <w:sz w:val="20"/>
          <w:lang w:val="en-US"/>
        </w:rPr>
        <w:t xml:space="preserve">for Metropolitan Planning Authority (2014) </w:t>
      </w:r>
      <w:r w:rsidRPr="00B80385">
        <w:rPr>
          <w:i/>
          <w:sz w:val="20"/>
          <w:lang w:val="en-US"/>
        </w:rPr>
        <w:t>Plumpton PSP High Level Utilities and Servicing Report</w:t>
      </w:r>
    </w:p>
    <w:p w14:paraId="20577655" w14:textId="77777777" w:rsidR="008A5D65" w:rsidRPr="00B80385" w:rsidRDefault="008A5D65" w:rsidP="008A5D65">
      <w:pPr>
        <w:rPr>
          <w:sz w:val="20"/>
          <w:lang w:val="en-US"/>
        </w:rPr>
      </w:pPr>
      <w:r w:rsidRPr="00B80385">
        <w:rPr>
          <w:sz w:val="20"/>
        </w:rPr>
        <w:t xml:space="preserve">Aurecon for the </w:t>
      </w:r>
      <w:r w:rsidRPr="00B80385">
        <w:rPr>
          <w:sz w:val="20"/>
          <w:lang w:val="en-US"/>
        </w:rPr>
        <w:t xml:space="preserve">for Metropolitan Planning Authority (2014) </w:t>
      </w:r>
      <w:r w:rsidRPr="00B80385">
        <w:rPr>
          <w:i/>
          <w:sz w:val="20"/>
          <w:lang w:val="en-US"/>
        </w:rPr>
        <w:t>Kororoit PSP High Level Utilities and Servicing Report</w:t>
      </w:r>
    </w:p>
    <w:p w14:paraId="56634D28" w14:textId="77777777" w:rsidR="008A5D65" w:rsidRPr="00B80385" w:rsidRDefault="008A5D65" w:rsidP="008A5D65">
      <w:pPr>
        <w:rPr>
          <w:sz w:val="20"/>
          <w:lang w:val="en-US"/>
        </w:rPr>
      </w:pPr>
      <w:r w:rsidRPr="00B80385">
        <w:rPr>
          <w:sz w:val="20"/>
          <w:lang w:val="en-US"/>
        </w:rPr>
        <w:t>Australian Social and Recreation Research for Metropolitan Planning Authority (2008)</w:t>
      </w:r>
      <w:r w:rsidRPr="00B80385">
        <w:rPr>
          <w:i/>
          <w:sz w:val="20"/>
          <w:lang w:val="en-US"/>
        </w:rPr>
        <w:t xml:space="preserve"> Planning for Community Infrastructure in Growth Area Communities </w:t>
      </w:r>
    </w:p>
    <w:p w14:paraId="3A93CCCD" w14:textId="77777777" w:rsidR="008A5D65" w:rsidRPr="00B80385" w:rsidRDefault="008A5D65" w:rsidP="008A5D65">
      <w:pPr>
        <w:rPr>
          <w:sz w:val="20"/>
          <w:lang w:val="en-US"/>
        </w:rPr>
      </w:pPr>
      <w:r w:rsidRPr="00B80385">
        <w:rPr>
          <w:rFonts w:cs="Arial"/>
          <w:sz w:val="20"/>
        </w:rPr>
        <w:t xml:space="preserve">Biosis </w:t>
      </w:r>
      <w:r w:rsidRPr="00B80385">
        <w:rPr>
          <w:sz w:val="20"/>
          <w:lang w:val="en-US"/>
        </w:rPr>
        <w:t xml:space="preserve">for the Melton City Council (2014) </w:t>
      </w:r>
      <w:r w:rsidRPr="00B80385">
        <w:rPr>
          <w:i/>
          <w:sz w:val="20"/>
          <w:lang w:val="en-US"/>
        </w:rPr>
        <w:t>Kororoit &amp; Plumpton Historical Cultural Heritage Assessment Report</w:t>
      </w:r>
    </w:p>
    <w:p w14:paraId="5324A312" w14:textId="77777777" w:rsidR="008A5D65" w:rsidRPr="00B80385" w:rsidRDefault="008A5D65" w:rsidP="008A5D65">
      <w:pPr>
        <w:rPr>
          <w:rFonts w:cs="Calibri"/>
          <w:i/>
          <w:sz w:val="20"/>
        </w:rPr>
      </w:pPr>
      <w:r w:rsidRPr="00B80385">
        <w:rPr>
          <w:rFonts w:cs="Arial"/>
          <w:sz w:val="20"/>
        </w:rPr>
        <w:t xml:space="preserve">Capire for the Metropolitan Planning Authority (2015) </w:t>
      </w:r>
      <w:r w:rsidRPr="00B80385">
        <w:rPr>
          <w:rFonts w:cs="Arial"/>
          <w:i/>
          <w:sz w:val="20"/>
        </w:rPr>
        <w:t xml:space="preserve">Plumpton and Kororoit </w:t>
      </w:r>
      <w:r w:rsidRPr="00B80385">
        <w:rPr>
          <w:rFonts w:cs="Calibri"/>
          <w:i/>
          <w:sz w:val="20"/>
        </w:rPr>
        <w:t>Open Space and Community Infrastructures Needs Assessment</w:t>
      </w:r>
    </w:p>
    <w:p w14:paraId="3F90D822" w14:textId="77777777" w:rsidR="008A5D65" w:rsidRPr="00B80385" w:rsidRDefault="008A5D65" w:rsidP="008A5D65">
      <w:pPr>
        <w:rPr>
          <w:i/>
          <w:sz w:val="20"/>
        </w:rPr>
      </w:pPr>
      <w:r w:rsidRPr="00B80385">
        <w:rPr>
          <w:sz w:val="20"/>
        </w:rPr>
        <w:t xml:space="preserve">Department of Environment, Land, Water and Planning (2013) </w:t>
      </w:r>
      <w:r w:rsidRPr="00B80385">
        <w:rPr>
          <w:i/>
          <w:sz w:val="20"/>
        </w:rPr>
        <w:t>Sub-Regional Species Strategy for the Growling Grass Frog</w:t>
      </w:r>
    </w:p>
    <w:p w14:paraId="32C06E17" w14:textId="77777777" w:rsidR="008A5D65" w:rsidRPr="00B80385" w:rsidRDefault="008A5D65" w:rsidP="008A5D65">
      <w:pPr>
        <w:rPr>
          <w:i/>
          <w:sz w:val="20"/>
        </w:rPr>
      </w:pPr>
      <w:r w:rsidRPr="00B80385">
        <w:rPr>
          <w:sz w:val="20"/>
        </w:rPr>
        <w:t xml:space="preserve">Department of Environment, Land, Water and Planning (2013) </w:t>
      </w:r>
      <w:r w:rsidRPr="00B80385">
        <w:rPr>
          <w:rFonts w:ascii="Calibri" w:hAnsi="Calibri" w:cs="Calibri"/>
          <w:i/>
          <w:iCs/>
          <w:color w:val="000000"/>
          <w:sz w:val="20"/>
        </w:rPr>
        <w:t>Sub-regional Species Strategy for the Golden Sun Moth</w:t>
      </w:r>
    </w:p>
    <w:p w14:paraId="1B4C24C0" w14:textId="77777777" w:rsidR="008A5D65" w:rsidRPr="00B80385" w:rsidRDefault="008A5D65" w:rsidP="008A5D65">
      <w:pPr>
        <w:rPr>
          <w:i/>
          <w:sz w:val="20"/>
        </w:rPr>
      </w:pPr>
      <w:r w:rsidRPr="00B80385">
        <w:rPr>
          <w:sz w:val="20"/>
        </w:rPr>
        <w:t xml:space="preserve">Department of Environment, Land, Water and Planning (2013) </w:t>
      </w:r>
      <w:r w:rsidRPr="00B80385">
        <w:rPr>
          <w:rFonts w:ascii="Calibri" w:hAnsi="Calibri" w:cs="Calibri"/>
          <w:i/>
          <w:iCs/>
          <w:color w:val="000000"/>
          <w:sz w:val="20"/>
        </w:rPr>
        <w:t xml:space="preserve">Habitat compensation under the Biodiversity Conservation Strategy  </w:t>
      </w:r>
    </w:p>
    <w:p w14:paraId="532A9CA9" w14:textId="77777777" w:rsidR="008A5D65" w:rsidRPr="00B80385" w:rsidRDefault="008A5D65" w:rsidP="008A5D65">
      <w:pPr>
        <w:rPr>
          <w:i/>
          <w:sz w:val="20"/>
        </w:rPr>
      </w:pPr>
      <w:r w:rsidRPr="00B80385">
        <w:rPr>
          <w:sz w:val="20"/>
        </w:rPr>
        <w:t xml:space="preserve">Department of Environment, Land, Water and Planning (2015) </w:t>
      </w:r>
      <w:r w:rsidRPr="00B80385">
        <w:rPr>
          <w:i/>
          <w:sz w:val="20"/>
        </w:rPr>
        <w:t xml:space="preserve">WORKING DOCUMENT </w:t>
      </w:r>
      <w:r w:rsidRPr="00B80385">
        <w:rPr>
          <w:rFonts w:ascii="Calibri" w:hAnsi="Calibri" w:cs="Calibri"/>
          <w:i/>
          <w:iCs/>
          <w:color w:val="000000"/>
          <w:sz w:val="20"/>
        </w:rPr>
        <w:t>Guidance Note: Implementing the Biodiversity Conservation Strategy for Melbourne’s Growth Corridors</w:t>
      </w:r>
      <w:r w:rsidRPr="00B80385">
        <w:rPr>
          <w:rFonts w:ascii="Calibri" w:hAnsi="Calibri" w:cs="Calibri"/>
          <w:iCs/>
          <w:color w:val="000000"/>
          <w:sz w:val="20"/>
        </w:rPr>
        <w:t xml:space="preserve"> </w:t>
      </w:r>
    </w:p>
    <w:p w14:paraId="24C8E11A" w14:textId="77777777" w:rsidR="008A5D65" w:rsidRPr="00B80385" w:rsidRDefault="008A5D65" w:rsidP="008A5D65">
      <w:pPr>
        <w:rPr>
          <w:b/>
          <w:sz w:val="24"/>
          <w:szCs w:val="28"/>
          <w:u w:val="single"/>
        </w:rPr>
      </w:pPr>
      <w:r w:rsidRPr="00B80385">
        <w:rPr>
          <w:sz w:val="20"/>
        </w:rPr>
        <w:t xml:space="preserve">Department of Environment, Land, Water and Planning (2014) </w:t>
      </w:r>
      <w:r w:rsidRPr="00B80385">
        <w:rPr>
          <w:i/>
          <w:sz w:val="20"/>
        </w:rPr>
        <w:t xml:space="preserve">Land Protection under the Biodiversity Conservation Strategy </w:t>
      </w:r>
    </w:p>
    <w:p w14:paraId="497076E4" w14:textId="77777777" w:rsidR="008A5D65" w:rsidRPr="00B80385" w:rsidRDefault="008A5D65" w:rsidP="008A5D65">
      <w:pPr>
        <w:rPr>
          <w:rFonts w:ascii="Calibri" w:hAnsi="Calibri" w:cs="Calibri"/>
          <w:i/>
          <w:sz w:val="20"/>
        </w:rPr>
      </w:pPr>
      <w:r w:rsidRPr="00B80385">
        <w:rPr>
          <w:rFonts w:ascii="Calibri" w:hAnsi="Calibri" w:cs="Calibri"/>
          <w:sz w:val="20"/>
        </w:rPr>
        <w:t xml:space="preserve">Ecology &amp; Heritage Partners </w:t>
      </w:r>
      <w:r w:rsidRPr="00B80385">
        <w:rPr>
          <w:rFonts w:cs="Arial"/>
          <w:sz w:val="20"/>
        </w:rPr>
        <w:t xml:space="preserve">for the Metropolitan Planning Authority </w:t>
      </w:r>
      <w:r w:rsidRPr="00B80385">
        <w:rPr>
          <w:rFonts w:ascii="Calibri" w:hAnsi="Calibri" w:cs="Calibri"/>
          <w:sz w:val="20"/>
        </w:rPr>
        <w:t xml:space="preserve">(2013) </w:t>
      </w:r>
      <w:r w:rsidRPr="00B80385">
        <w:rPr>
          <w:rFonts w:ascii="Calibri" w:hAnsi="Calibri" w:cs="Calibri"/>
          <w:i/>
          <w:sz w:val="20"/>
        </w:rPr>
        <w:t>Plumpton PSP Post Contact Heritage Assessment</w:t>
      </w:r>
    </w:p>
    <w:p w14:paraId="7A8DD780" w14:textId="77777777" w:rsidR="008A5D65" w:rsidRPr="00B80385" w:rsidRDefault="008A5D65" w:rsidP="008A5D65">
      <w:pPr>
        <w:rPr>
          <w:rFonts w:ascii="Calibri" w:hAnsi="Calibri" w:cs="Calibri"/>
          <w:sz w:val="20"/>
        </w:rPr>
      </w:pPr>
      <w:r w:rsidRPr="00B80385">
        <w:rPr>
          <w:rFonts w:ascii="Calibri" w:hAnsi="Calibri" w:cs="Calibri"/>
          <w:sz w:val="20"/>
        </w:rPr>
        <w:t xml:space="preserve">Ecology &amp; Heritage Partners </w:t>
      </w:r>
      <w:r w:rsidRPr="00B80385">
        <w:rPr>
          <w:rFonts w:cs="Arial"/>
          <w:sz w:val="20"/>
        </w:rPr>
        <w:t xml:space="preserve">for the Metropolitan Planning Authority </w:t>
      </w:r>
      <w:r w:rsidRPr="00B80385">
        <w:rPr>
          <w:rFonts w:ascii="Calibri" w:hAnsi="Calibri" w:cs="Calibri"/>
          <w:sz w:val="20"/>
        </w:rPr>
        <w:t xml:space="preserve">(2014) </w:t>
      </w:r>
      <w:r w:rsidRPr="00B80385">
        <w:rPr>
          <w:rFonts w:ascii="Calibri" w:hAnsi="Calibri" w:cs="Calibri"/>
          <w:i/>
          <w:sz w:val="20"/>
        </w:rPr>
        <w:t>Kororoit PSP Post Contact Heritage Assessment</w:t>
      </w:r>
    </w:p>
    <w:p w14:paraId="2E913F10" w14:textId="77777777" w:rsidR="008A5D65" w:rsidRPr="00B80385" w:rsidRDefault="008A5D65" w:rsidP="008A5D65">
      <w:pPr>
        <w:rPr>
          <w:rFonts w:ascii="Calibri" w:hAnsi="Calibri" w:cs="Calibri"/>
          <w:i/>
          <w:sz w:val="20"/>
        </w:rPr>
      </w:pPr>
      <w:r w:rsidRPr="00B80385">
        <w:rPr>
          <w:rFonts w:ascii="Calibri" w:hAnsi="Calibri" w:cs="Calibri"/>
          <w:sz w:val="20"/>
        </w:rPr>
        <w:t xml:space="preserve">Ecology &amp; Heritage Partners </w:t>
      </w:r>
      <w:r w:rsidRPr="00B80385">
        <w:rPr>
          <w:rFonts w:cs="Arial"/>
          <w:sz w:val="20"/>
        </w:rPr>
        <w:t xml:space="preserve">for the Metropolitan Planning Authority </w:t>
      </w:r>
      <w:r w:rsidRPr="00B80385">
        <w:rPr>
          <w:rFonts w:ascii="Calibri" w:hAnsi="Calibri" w:cs="Calibri"/>
          <w:sz w:val="20"/>
        </w:rPr>
        <w:t xml:space="preserve">(2015) </w:t>
      </w:r>
      <w:r w:rsidRPr="00B80385">
        <w:rPr>
          <w:rFonts w:ascii="Calibri" w:hAnsi="Calibri" w:cs="Calibri"/>
          <w:i/>
          <w:sz w:val="20"/>
        </w:rPr>
        <w:t>Deanside Woolshed Complex, Plumpton Historical Heritage Assessment</w:t>
      </w:r>
    </w:p>
    <w:p w14:paraId="152D2281" w14:textId="77777777" w:rsidR="008A5D65" w:rsidRPr="00B80385" w:rsidRDefault="008A5D65" w:rsidP="008A5D65">
      <w:pPr>
        <w:rPr>
          <w:rFonts w:cs="Arial"/>
          <w:sz w:val="20"/>
        </w:rPr>
      </w:pPr>
      <w:r w:rsidRPr="00B80385">
        <w:rPr>
          <w:rFonts w:cs="Arial"/>
          <w:sz w:val="20"/>
        </w:rPr>
        <w:t xml:space="preserve">HillPDA for the Metropolitan Planning Authority (2015) </w:t>
      </w:r>
      <w:r w:rsidRPr="00B80385">
        <w:rPr>
          <w:rFonts w:cs="Arial"/>
          <w:i/>
          <w:sz w:val="20"/>
        </w:rPr>
        <w:t>Plumpton &amp; Kororoit Retail and Employment Land Assessment</w:t>
      </w:r>
    </w:p>
    <w:p w14:paraId="7F917298" w14:textId="77777777" w:rsidR="008A5D65" w:rsidRPr="00B80385" w:rsidRDefault="008A5D65" w:rsidP="008A5D65">
      <w:pPr>
        <w:rPr>
          <w:rFonts w:ascii="Calibri" w:hAnsi="Calibri" w:cs="Calibri"/>
          <w:i/>
          <w:sz w:val="20"/>
        </w:rPr>
      </w:pPr>
      <w:r w:rsidRPr="00B80385">
        <w:rPr>
          <w:rFonts w:ascii="Calibri" w:hAnsi="Calibri" w:cs="Calibri"/>
          <w:sz w:val="20"/>
        </w:rPr>
        <w:lastRenderedPageBreak/>
        <w:t xml:space="preserve">GHD </w:t>
      </w:r>
      <w:r w:rsidRPr="00B80385">
        <w:rPr>
          <w:rFonts w:cs="Arial"/>
          <w:sz w:val="20"/>
        </w:rPr>
        <w:t xml:space="preserve">for the Metropolitan Planning Authority (2013) </w:t>
      </w:r>
      <w:r w:rsidRPr="00B80385">
        <w:rPr>
          <w:rFonts w:cs="Arial"/>
          <w:i/>
          <w:sz w:val="20"/>
        </w:rPr>
        <w:t>Plumpton &amp; Kororoit Precincts Land Capability Assessment</w:t>
      </w:r>
    </w:p>
    <w:p w14:paraId="09E63938" w14:textId="77777777" w:rsidR="008A5D65" w:rsidRPr="00B80385" w:rsidRDefault="008A5D65" w:rsidP="008A5D65">
      <w:pPr>
        <w:rPr>
          <w:rFonts w:ascii="Calibri" w:hAnsi="Calibri" w:cs="Calibri"/>
          <w:sz w:val="20"/>
        </w:rPr>
      </w:pPr>
      <w:r w:rsidRPr="00B80385">
        <w:rPr>
          <w:rFonts w:ascii="Calibri" w:hAnsi="Calibri" w:cs="Calibri"/>
          <w:sz w:val="20"/>
        </w:rPr>
        <w:t xml:space="preserve">Jacobs </w:t>
      </w:r>
      <w:r w:rsidRPr="00B80385">
        <w:rPr>
          <w:rFonts w:cs="Arial"/>
          <w:sz w:val="20"/>
        </w:rPr>
        <w:t xml:space="preserve">for the Metropolitan Planning Authority (2015) </w:t>
      </w:r>
      <w:r w:rsidRPr="00B80385">
        <w:rPr>
          <w:rFonts w:cs="Arial"/>
          <w:i/>
          <w:sz w:val="20"/>
        </w:rPr>
        <w:t>Plumpton &amp; Kororoit Technical Report</w:t>
      </w:r>
    </w:p>
    <w:p w14:paraId="602DC088" w14:textId="77777777" w:rsidR="008A5D65" w:rsidRPr="00B80385" w:rsidRDefault="008A5D65" w:rsidP="008A5D65">
      <w:pPr>
        <w:rPr>
          <w:rFonts w:cs="Arial"/>
          <w:i/>
          <w:sz w:val="20"/>
        </w:rPr>
      </w:pPr>
      <w:r w:rsidRPr="00B80385">
        <w:rPr>
          <w:rFonts w:ascii="Calibri" w:hAnsi="Calibri" w:cs="Calibri"/>
          <w:sz w:val="20"/>
        </w:rPr>
        <w:t xml:space="preserve">Jacobs </w:t>
      </w:r>
      <w:r w:rsidRPr="00B80385">
        <w:rPr>
          <w:rFonts w:cs="Arial"/>
          <w:sz w:val="20"/>
        </w:rPr>
        <w:t xml:space="preserve">for the Metropolitan Planning Authority (2015) </w:t>
      </w:r>
      <w:r w:rsidRPr="00B80385">
        <w:rPr>
          <w:rFonts w:cs="Arial"/>
          <w:i/>
          <w:sz w:val="20"/>
        </w:rPr>
        <w:t>DRAFT Plumpton &amp; Kororoit Technical Report – Update to Transport Modelling Results</w:t>
      </w:r>
    </w:p>
    <w:p w14:paraId="563FFB2B" w14:textId="77777777" w:rsidR="008A5D65" w:rsidRPr="00B80385" w:rsidRDefault="008A5D65" w:rsidP="008A5D65">
      <w:pPr>
        <w:rPr>
          <w:rFonts w:ascii="Calibri" w:hAnsi="Calibri" w:cs="Calibri"/>
          <w:sz w:val="20"/>
        </w:rPr>
      </w:pPr>
      <w:r w:rsidRPr="00B80385">
        <w:rPr>
          <w:rFonts w:ascii="Calibri" w:hAnsi="Calibri" w:cs="Calibri"/>
          <w:sz w:val="20"/>
        </w:rPr>
        <w:t xml:space="preserve">Melbourne Water (2013) </w:t>
      </w:r>
      <w:r w:rsidRPr="00B80385">
        <w:rPr>
          <w:rFonts w:ascii="Calibri" w:hAnsi="Calibri" w:cs="Calibri"/>
          <w:i/>
          <w:sz w:val="20"/>
        </w:rPr>
        <w:t>Waterway Corridors – Guidelines for Greenfield Development Areas within the Port Phillip and Westernport Region</w:t>
      </w:r>
      <w:r w:rsidRPr="00B80385">
        <w:rPr>
          <w:rFonts w:ascii="Calibri" w:hAnsi="Calibri" w:cs="Calibri"/>
          <w:sz w:val="20"/>
        </w:rPr>
        <w:t xml:space="preserve"> </w:t>
      </w:r>
    </w:p>
    <w:p w14:paraId="6F9391AF" w14:textId="77777777" w:rsidR="008A5D65" w:rsidRPr="00B80385" w:rsidRDefault="008A5D65" w:rsidP="008A5D65">
      <w:pPr>
        <w:rPr>
          <w:sz w:val="20"/>
        </w:rPr>
      </w:pPr>
      <w:r w:rsidRPr="00B80385">
        <w:rPr>
          <w:rFonts w:cs="Calibri"/>
          <w:sz w:val="20"/>
        </w:rPr>
        <w:t>Melton City Council (2007) Shire of Melton Heritage Study Stage 2 Volume 1 – The Report</w:t>
      </w:r>
    </w:p>
    <w:p w14:paraId="0B48EA74" w14:textId="77777777" w:rsidR="008A5D65" w:rsidRPr="00B80385" w:rsidRDefault="008A5D65" w:rsidP="008A5D65">
      <w:pPr>
        <w:rPr>
          <w:sz w:val="20"/>
        </w:rPr>
      </w:pPr>
      <w:r w:rsidRPr="00B80385">
        <w:rPr>
          <w:rFonts w:cs="Calibri"/>
          <w:sz w:val="20"/>
        </w:rPr>
        <w:t>Melton City Council (2007) Shire of Melton Heritage Study Stage 2 Volume 2 – The Environmental Thematic History</w:t>
      </w:r>
    </w:p>
    <w:p w14:paraId="07570BA2" w14:textId="77777777" w:rsidR="008A5D65" w:rsidRPr="00B80385" w:rsidRDefault="008A5D65" w:rsidP="008A5D65">
      <w:pPr>
        <w:rPr>
          <w:rFonts w:cs="Segoe UI"/>
          <w:color w:val="000000"/>
          <w:sz w:val="20"/>
        </w:rPr>
      </w:pPr>
      <w:r w:rsidRPr="00B80385">
        <w:rPr>
          <w:rFonts w:cs="Segoe UI"/>
          <w:color w:val="000000"/>
          <w:sz w:val="20"/>
        </w:rPr>
        <w:t xml:space="preserve">Melton City Council (2011) </w:t>
      </w:r>
      <w:r w:rsidRPr="00B80385">
        <w:rPr>
          <w:rFonts w:cs="Segoe UI"/>
          <w:i/>
          <w:color w:val="000000"/>
          <w:sz w:val="20"/>
        </w:rPr>
        <w:t>Design, Construction and Maintenance of Water Sensitive Urban Design</w:t>
      </w:r>
      <w:r w:rsidRPr="00B80385">
        <w:rPr>
          <w:rFonts w:cs="Segoe UI"/>
          <w:color w:val="000000"/>
          <w:sz w:val="20"/>
        </w:rPr>
        <w:t xml:space="preserve"> </w:t>
      </w:r>
    </w:p>
    <w:p w14:paraId="3165EEC3" w14:textId="77777777" w:rsidR="008A5D65" w:rsidRPr="00B80385" w:rsidRDefault="008A5D65" w:rsidP="008A5D65">
      <w:pPr>
        <w:rPr>
          <w:rFonts w:cs="Calibri"/>
          <w:sz w:val="20"/>
        </w:rPr>
      </w:pPr>
      <w:r w:rsidRPr="00B80385">
        <w:rPr>
          <w:rFonts w:cs="Calibri"/>
          <w:sz w:val="20"/>
        </w:rPr>
        <w:t xml:space="preserve">Planning Collaborative for Melton City Council (2011) </w:t>
      </w:r>
      <w:r w:rsidRPr="00B80385">
        <w:rPr>
          <w:rFonts w:cs="Calibri"/>
          <w:i/>
          <w:sz w:val="20"/>
        </w:rPr>
        <w:t>Shire of Melton Dry Stone Walls Study Volume 1 – The Report</w:t>
      </w:r>
    </w:p>
    <w:p w14:paraId="2E858F6C" w14:textId="77777777" w:rsidR="008A5D65" w:rsidRPr="00B80385" w:rsidRDefault="008A5D65" w:rsidP="008A5D65">
      <w:pPr>
        <w:rPr>
          <w:rFonts w:cs="Calibri"/>
          <w:i/>
          <w:sz w:val="20"/>
        </w:rPr>
      </w:pPr>
      <w:r w:rsidRPr="00B80385">
        <w:rPr>
          <w:rFonts w:cs="Calibri"/>
          <w:sz w:val="20"/>
        </w:rPr>
        <w:t xml:space="preserve">Planning Collaborative for Melton City Council (2011) </w:t>
      </w:r>
      <w:r w:rsidRPr="00B80385">
        <w:rPr>
          <w:rFonts w:cs="Calibri"/>
          <w:i/>
          <w:sz w:val="20"/>
        </w:rPr>
        <w:t>Shire of Melton Dry Stone Walls Study Volume 2 – Citation</w:t>
      </w:r>
    </w:p>
    <w:p w14:paraId="54DC013E" w14:textId="77777777" w:rsidR="008A5D65" w:rsidRPr="00B80385" w:rsidRDefault="008A5D65" w:rsidP="008A5D65">
      <w:pPr>
        <w:rPr>
          <w:rFonts w:ascii="Calibri" w:hAnsi="Calibri" w:cs="Calibri"/>
          <w:sz w:val="20"/>
        </w:rPr>
      </w:pPr>
      <w:r w:rsidRPr="00B80385">
        <w:rPr>
          <w:rFonts w:ascii="Calibri" w:hAnsi="Calibri" w:cs="Calibri"/>
          <w:sz w:val="20"/>
        </w:rPr>
        <w:t xml:space="preserve">Rakali Consulting &amp; Holocene Environmental Science for Melbourne Water (2013) </w:t>
      </w:r>
      <w:r w:rsidRPr="00B80385">
        <w:rPr>
          <w:rFonts w:ascii="Calibri" w:hAnsi="Calibri" w:cs="Calibri"/>
          <w:i/>
          <w:sz w:val="20"/>
        </w:rPr>
        <w:t>Rockbank Area Wetland Study</w:t>
      </w:r>
      <w:r w:rsidRPr="00B80385">
        <w:rPr>
          <w:rFonts w:ascii="Calibri" w:hAnsi="Calibri" w:cs="Calibri"/>
          <w:sz w:val="20"/>
        </w:rPr>
        <w:t xml:space="preserve"> </w:t>
      </w:r>
    </w:p>
    <w:p w14:paraId="17288DA7" w14:textId="77777777" w:rsidR="008A5D65" w:rsidRPr="00B80385" w:rsidRDefault="008A5D65" w:rsidP="008A5D65">
      <w:pPr>
        <w:rPr>
          <w:rFonts w:ascii="Calibri" w:hAnsi="Calibri" w:cs="Calibri"/>
          <w:sz w:val="20"/>
        </w:rPr>
      </w:pPr>
      <w:r w:rsidRPr="00B80385">
        <w:rPr>
          <w:rFonts w:ascii="Calibri" w:hAnsi="Calibri" w:cs="Calibri"/>
          <w:sz w:val="20"/>
        </w:rPr>
        <w:t xml:space="preserve">Sports and Recreation Victoria (2014) </w:t>
      </w:r>
      <w:r w:rsidRPr="00B80385">
        <w:rPr>
          <w:rFonts w:ascii="Calibri" w:hAnsi="Calibri" w:cs="Calibri"/>
          <w:i/>
          <w:sz w:val="20"/>
        </w:rPr>
        <w:t>DRAFT Western Metropolitan Regional Trail Strategy Plan</w:t>
      </w:r>
    </w:p>
    <w:p w14:paraId="09CF0940" w14:textId="77777777" w:rsidR="008A5D65" w:rsidRPr="00B80385" w:rsidRDefault="008A5D65" w:rsidP="008A5D65">
      <w:pPr>
        <w:rPr>
          <w:rFonts w:cs="Arial"/>
          <w:sz w:val="20"/>
        </w:rPr>
      </w:pPr>
      <w:r w:rsidRPr="00B80385">
        <w:rPr>
          <w:rFonts w:cs="Arial"/>
          <w:sz w:val="20"/>
        </w:rPr>
        <w:t xml:space="preserve">Storm for the Metropolitan Planning Authority (2015) </w:t>
      </w:r>
      <w:r w:rsidRPr="00B80385">
        <w:rPr>
          <w:rFonts w:cs="Arial"/>
          <w:i/>
          <w:sz w:val="20"/>
        </w:rPr>
        <w:t>Plumpton &amp; Kororoit Whole of Water Cycle Management Assessment</w:t>
      </w:r>
    </w:p>
    <w:p w14:paraId="66A29DF6" w14:textId="77777777" w:rsidR="008A5D65" w:rsidRPr="00B80385" w:rsidRDefault="008A5D65" w:rsidP="008A5D65">
      <w:pPr>
        <w:rPr>
          <w:rFonts w:cs="Arial"/>
          <w:i/>
          <w:sz w:val="20"/>
        </w:rPr>
      </w:pPr>
      <w:r w:rsidRPr="00B80385">
        <w:rPr>
          <w:rFonts w:cs="Arial"/>
          <w:sz w:val="20"/>
        </w:rPr>
        <w:t xml:space="preserve">Tim Nott &amp; Hansen Partnership (2014) </w:t>
      </w:r>
      <w:r w:rsidRPr="00B80385">
        <w:rPr>
          <w:rFonts w:cs="Arial"/>
          <w:i/>
          <w:sz w:val="20"/>
        </w:rPr>
        <w:t>Melton Retail and Activity Centres Strategy</w:t>
      </w:r>
    </w:p>
    <w:p w14:paraId="0792CBAD" w14:textId="77777777" w:rsidR="008A5D65" w:rsidRPr="00B80385" w:rsidRDefault="008A5D65" w:rsidP="008A5D65">
      <w:pPr>
        <w:rPr>
          <w:rFonts w:cs="Arial"/>
          <w:sz w:val="20"/>
        </w:rPr>
      </w:pPr>
      <w:r w:rsidRPr="00B80385">
        <w:rPr>
          <w:rFonts w:cs="Arial"/>
          <w:sz w:val="20"/>
        </w:rPr>
        <w:t xml:space="preserve">Tree Logic for the Metropolitan Planning Authority (2013) </w:t>
      </w:r>
      <w:r w:rsidRPr="00B80385">
        <w:rPr>
          <w:rFonts w:cs="Arial"/>
          <w:i/>
          <w:sz w:val="20"/>
        </w:rPr>
        <w:t>Arboricultural Assessment Plumpton</w:t>
      </w:r>
    </w:p>
    <w:p w14:paraId="259C4F24" w14:textId="77777777" w:rsidR="008A5D65" w:rsidRPr="00B80385" w:rsidRDefault="008A5D65" w:rsidP="008A5D65">
      <w:pPr>
        <w:rPr>
          <w:rFonts w:cs="Arial"/>
          <w:sz w:val="20"/>
        </w:rPr>
      </w:pPr>
      <w:r w:rsidRPr="00B80385">
        <w:rPr>
          <w:rFonts w:cs="Arial"/>
          <w:sz w:val="20"/>
        </w:rPr>
        <w:t xml:space="preserve">Tree Logic for the Metropolitan Planning Authority (2013) </w:t>
      </w:r>
      <w:r w:rsidRPr="00B80385">
        <w:rPr>
          <w:rFonts w:cs="Arial"/>
          <w:i/>
          <w:sz w:val="20"/>
        </w:rPr>
        <w:t>Arboricultural Assessment Kororoit</w:t>
      </w:r>
    </w:p>
    <w:p w14:paraId="3B07CC6F" w14:textId="77777777" w:rsidR="002D4334" w:rsidRDefault="002D4334"/>
    <w:p w14:paraId="2F57678C" w14:textId="77777777" w:rsidR="005D7A24" w:rsidRDefault="005D7A24"/>
    <w:p w14:paraId="472C3FB3" w14:textId="77777777" w:rsidR="005D7A24" w:rsidRPr="00C722A1" w:rsidRDefault="005D7A24"/>
    <w:sectPr w:rsidR="005D7A24" w:rsidRPr="00C722A1" w:rsidSect="002C2C8A">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7D2A5" w14:textId="77777777" w:rsidR="00E617A6" w:rsidRDefault="00E617A6" w:rsidP="00935393">
      <w:pPr>
        <w:spacing w:after="0" w:line="240" w:lineRule="auto"/>
      </w:pPr>
      <w:r>
        <w:separator/>
      </w:r>
    </w:p>
  </w:endnote>
  <w:endnote w:type="continuationSeparator" w:id="0">
    <w:p w14:paraId="285708FC" w14:textId="77777777" w:rsidR="00E617A6" w:rsidRDefault="00E617A6" w:rsidP="00935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umnst777 BT">
    <w:altName w:val="Humnst777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Open Sans">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TT184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46758" w14:textId="6976A586" w:rsidR="00E617A6" w:rsidRDefault="00E617A6">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225843"/>
      <w:docPartObj>
        <w:docPartGallery w:val="Page Numbers (Bottom of Page)"/>
        <w:docPartUnique/>
      </w:docPartObj>
    </w:sdtPr>
    <w:sdtEndPr>
      <w:rPr>
        <w:noProof/>
      </w:rPr>
    </w:sdtEndPr>
    <w:sdtContent>
      <w:p w14:paraId="641AE0BA" w14:textId="1A2FE543" w:rsidR="00E617A6" w:rsidRDefault="00E617A6">
        <w:pPr>
          <w:pStyle w:val="Footer"/>
          <w:jc w:val="right"/>
        </w:pPr>
        <w:r>
          <w:fldChar w:fldCharType="begin"/>
        </w:r>
        <w:r>
          <w:instrText xml:space="preserve"> PAGE   \* MERGEFORMAT </w:instrText>
        </w:r>
        <w:r>
          <w:fldChar w:fldCharType="separate"/>
        </w:r>
        <w:r w:rsidR="002075D9">
          <w:rPr>
            <w:noProof/>
          </w:rPr>
          <w:t>19</w:t>
        </w:r>
        <w:r>
          <w:rPr>
            <w:noProof/>
          </w:rPr>
          <w:fldChar w:fldCharType="end"/>
        </w:r>
      </w:p>
    </w:sdtContent>
  </w:sdt>
  <w:p w14:paraId="79275AB4" w14:textId="77777777" w:rsidR="00E617A6" w:rsidRDefault="00E617A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47D62" w14:textId="77777777" w:rsidR="00E617A6" w:rsidRDefault="00E617A6" w:rsidP="00935393">
      <w:pPr>
        <w:spacing w:after="0" w:line="240" w:lineRule="auto"/>
      </w:pPr>
      <w:r>
        <w:separator/>
      </w:r>
    </w:p>
  </w:footnote>
  <w:footnote w:type="continuationSeparator" w:id="0">
    <w:p w14:paraId="629271A6" w14:textId="77777777" w:rsidR="00E617A6" w:rsidRDefault="00E617A6" w:rsidP="00935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E96"/>
    <w:multiLevelType w:val="multilevel"/>
    <w:tmpl w:val="0BD0A234"/>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C14B28"/>
    <w:multiLevelType w:val="hybridMultilevel"/>
    <w:tmpl w:val="1974F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B545F"/>
    <w:multiLevelType w:val="multilevel"/>
    <w:tmpl w:val="F098AA2E"/>
    <w:lvl w:ilvl="0">
      <w:start w:val="1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CB303E"/>
    <w:multiLevelType w:val="hybridMultilevel"/>
    <w:tmpl w:val="3056BAF2"/>
    <w:lvl w:ilvl="0" w:tplc="0C090001">
      <w:start w:val="1"/>
      <w:numFmt w:val="bullet"/>
      <w:lvlText w:val=""/>
      <w:lvlJc w:val="left"/>
      <w:pPr>
        <w:ind w:left="720" w:hanging="360"/>
      </w:pPr>
      <w:rPr>
        <w:rFonts w:ascii="Symbol" w:hAnsi="Symbol" w:hint="default"/>
        <w:b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AC6AEA"/>
    <w:multiLevelType w:val="hybridMultilevel"/>
    <w:tmpl w:val="E312B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2159F"/>
    <w:multiLevelType w:val="hybridMultilevel"/>
    <w:tmpl w:val="5D562A5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9E1742B"/>
    <w:multiLevelType w:val="hybridMultilevel"/>
    <w:tmpl w:val="F1D2C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D069A"/>
    <w:multiLevelType w:val="hybridMultilevel"/>
    <w:tmpl w:val="06C28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B1251"/>
    <w:multiLevelType w:val="hybridMultilevel"/>
    <w:tmpl w:val="CF1E4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531C2D"/>
    <w:multiLevelType w:val="hybridMultilevel"/>
    <w:tmpl w:val="6706C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DF133C"/>
    <w:multiLevelType w:val="multilevel"/>
    <w:tmpl w:val="2D0EFC52"/>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B12104"/>
    <w:multiLevelType w:val="multilevel"/>
    <w:tmpl w:val="F18295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730FCE"/>
    <w:multiLevelType w:val="multilevel"/>
    <w:tmpl w:val="11F2E936"/>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A1F29D8"/>
    <w:multiLevelType w:val="hybridMultilevel"/>
    <w:tmpl w:val="07361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C82A45"/>
    <w:multiLevelType w:val="hybridMultilevel"/>
    <w:tmpl w:val="B538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891F83"/>
    <w:multiLevelType w:val="multilevel"/>
    <w:tmpl w:val="582853B8"/>
    <w:lvl w:ilvl="0">
      <w:start w:val="9"/>
      <w:numFmt w:val="decimal"/>
      <w:lvlText w:val="%1"/>
      <w:lvlJc w:val="left"/>
      <w:pPr>
        <w:ind w:left="360" w:hanging="360"/>
      </w:pPr>
      <w:rPr>
        <w:rFonts w:hint="default"/>
        <w:b/>
        <w:sz w:val="32"/>
        <w:u w:val="single"/>
      </w:rPr>
    </w:lvl>
    <w:lvl w:ilvl="1">
      <w:start w:val="1"/>
      <w:numFmt w:val="decimal"/>
      <w:lvlText w:val="%1.%2"/>
      <w:lvlJc w:val="left"/>
      <w:pPr>
        <w:ind w:left="360" w:hanging="36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132021"/>
    <w:multiLevelType w:val="hybridMultilevel"/>
    <w:tmpl w:val="94AC087E"/>
    <w:lvl w:ilvl="0" w:tplc="45B8181A">
      <w:numFmt w:val="bullet"/>
      <w:lvlText w:val="-"/>
      <w:lvlJc w:val="left"/>
      <w:pPr>
        <w:ind w:left="720" w:hanging="360"/>
      </w:pPr>
      <w:rPr>
        <w:rFonts w:ascii="Calibri" w:eastAsiaTheme="minorHAnsi" w:hAnsi="Calibri" w:cs="Times New Roman" w:hint="default"/>
        <w:b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62E59"/>
    <w:multiLevelType w:val="hybridMultilevel"/>
    <w:tmpl w:val="60E6BDB0"/>
    <w:lvl w:ilvl="0" w:tplc="BA84DFE8">
      <w:start w:val="1"/>
      <w:numFmt w:val="decimal"/>
      <w:lvlText w:val="%1."/>
      <w:lvlJc w:val="left"/>
      <w:pPr>
        <w:ind w:left="786" w:hanging="360"/>
      </w:pPr>
      <w:rPr>
        <w:rFonts w:hint="default"/>
        <w:sz w:val="3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A4361C"/>
    <w:multiLevelType w:val="hybridMultilevel"/>
    <w:tmpl w:val="FF0E5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CB5224"/>
    <w:multiLevelType w:val="hybridMultilevel"/>
    <w:tmpl w:val="E60E6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2076AA"/>
    <w:multiLevelType w:val="hybridMultilevel"/>
    <w:tmpl w:val="44524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7F3909"/>
    <w:multiLevelType w:val="hybridMultilevel"/>
    <w:tmpl w:val="AB58D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7D7F36"/>
    <w:multiLevelType w:val="hybridMultilevel"/>
    <w:tmpl w:val="140C6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196787"/>
    <w:multiLevelType w:val="multilevel"/>
    <w:tmpl w:val="C7744F3C"/>
    <w:lvl w:ilvl="0">
      <w:start w:val="7"/>
      <w:numFmt w:val="decimal"/>
      <w:lvlText w:val="%1"/>
      <w:lvlJc w:val="left"/>
      <w:pPr>
        <w:ind w:left="360" w:hanging="360"/>
      </w:pPr>
      <w:rPr>
        <w:rFonts w:hint="default"/>
        <w:u w:val="single"/>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791C3F"/>
    <w:multiLevelType w:val="hybridMultilevel"/>
    <w:tmpl w:val="45C88510"/>
    <w:lvl w:ilvl="0" w:tplc="60E49B02">
      <w:start w:val="5"/>
      <w:numFmt w:val="decimal"/>
      <w:lvlText w:val="%1"/>
      <w:lvlJc w:val="left"/>
      <w:pPr>
        <w:ind w:left="720" w:hanging="360"/>
      </w:pPr>
      <w:rPr>
        <w:rFonts w:hint="default"/>
        <w:b/>
        <w:u w:val="singl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AC3FB7"/>
    <w:multiLevelType w:val="hybridMultilevel"/>
    <w:tmpl w:val="133E8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7426AC"/>
    <w:multiLevelType w:val="hybridMultilevel"/>
    <w:tmpl w:val="85383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5F632D"/>
    <w:multiLevelType w:val="hybridMultilevel"/>
    <w:tmpl w:val="BAF01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577DC8"/>
    <w:multiLevelType w:val="multilevel"/>
    <w:tmpl w:val="5A14397C"/>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CB118D9"/>
    <w:multiLevelType w:val="hybridMultilevel"/>
    <w:tmpl w:val="B1082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084C3A"/>
    <w:multiLevelType w:val="multilevel"/>
    <w:tmpl w:val="FC8AF4BE"/>
    <w:lvl w:ilvl="0">
      <w:start w:val="5"/>
      <w:numFmt w:val="decimal"/>
      <w:lvlText w:val="%1"/>
      <w:lvlJc w:val="left"/>
      <w:pPr>
        <w:ind w:left="360" w:hanging="360"/>
      </w:pPr>
      <w:rPr>
        <w:rFonts w:hint="default"/>
        <w:b/>
        <w:sz w:val="32"/>
        <w:u w:val="single"/>
      </w:rPr>
    </w:lvl>
    <w:lvl w:ilvl="1">
      <w:start w:val="1"/>
      <w:numFmt w:val="decimal"/>
      <w:lvlText w:val="%1.%2"/>
      <w:lvlJc w:val="left"/>
      <w:pPr>
        <w:ind w:left="360" w:hanging="360"/>
      </w:pPr>
      <w:rPr>
        <w:rFonts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82875BA"/>
    <w:multiLevelType w:val="hybridMultilevel"/>
    <w:tmpl w:val="B3FEB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F51428"/>
    <w:multiLevelType w:val="multilevel"/>
    <w:tmpl w:val="DFD22E4A"/>
    <w:lvl w:ilvl="0">
      <w:start w:val="7"/>
      <w:numFmt w:val="decimal"/>
      <w:lvlText w:val="%1"/>
      <w:lvlJc w:val="left"/>
      <w:pPr>
        <w:ind w:left="375" w:hanging="375"/>
      </w:pPr>
      <w:rPr>
        <w:rFonts w:ascii="Calibri" w:hAnsi="Calibri" w:cs="Calibri" w:hint="default"/>
        <w:color w:val="000000"/>
      </w:rPr>
    </w:lvl>
    <w:lvl w:ilvl="1">
      <w:start w:val="1"/>
      <w:numFmt w:val="decimal"/>
      <w:lvlText w:val="%1.%2"/>
      <w:lvlJc w:val="left"/>
      <w:pPr>
        <w:ind w:left="375" w:hanging="375"/>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1080" w:hanging="108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2160" w:hanging="2160"/>
      </w:pPr>
      <w:rPr>
        <w:rFonts w:ascii="Calibri" w:hAnsi="Calibri" w:cs="Calibri" w:hint="default"/>
        <w:color w:val="000000"/>
      </w:rPr>
    </w:lvl>
  </w:abstractNum>
  <w:num w:numId="1">
    <w:abstractNumId w:val="6"/>
  </w:num>
  <w:num w:numId="2">
    <w:abstractNumId w:val="9"/>
  </w:num>
  <w:num w:numId="3">
    <w:abstractNumId w:val="14"/>
  </w:num>
  <w:num w:numId="4">
    <w:abstractNumId w:val="1"/>
  </w:num>
  <w:num w:numId="5">
    <w:abstractNumId w:val="3"/>
  </w:num>
  <w:num w:numId="6">
    <w:abstractNumId w:val="20"/>
  </w:num>
  <w:num w:numId="7">
    <w:abstractNumId w:val="27"/>
  </w:num>
  <w:num w:numId="8">
    <w:abstractNumId w:val="16"/>
  </w:num>
  <w:num w:numId="9">
    <w:abstractNumId w:val="13"/>
  </w:num>
  <w:num w:numId="10">
    <w:abstractNumId w:val="4"/>
  </w:num>
  <w:num w:numId="11">
    <w:abstractNumId w:val="22"/>
  </w:num>
  <w:num w:numId="12">
    <w:abstractNumId w:val="31"/>
  </w:num>
  <w:num w:numId="13">
    <w:abstractNumId w:val="26"/>
  </w:num>
  <w:num w:numId="14">
    <w:abstractNumId w:val="29"/>
  </w:num>
  <w:num w:numId="15">
    <w:abstractNumId w:val="5"/>
  </w:num>
  <w:num w:numId="16">
    <w:abstractNumId w:val="7"/>
  </w:num>
  <w:num w:numId="17">
    <w:abstractNumId w:val="18"/>
  </w:num>
  <w:num w:numId="18">
    <w:abstractNumId w:val="24"/>
  </w:num>
  <w:num w:numId="19">
    <w:abstractNumId w:val="30"/>
  </w:num>
  <w:num w:numId="20">
    <w:abstractNumId w:val="23"/>
  </w:num>
  <w:num w:numId="21">
    <w:abstractNumId w:val="15"/>
  </w:num>
  <w:num w:numId="22">
    <w:abstractNumId w:val="25"/>
  </w:num>
  <w:num w:numId="23">
    <w:abstractNumId w:val="17"/>
  </w:num>
  <w:num w:numId="24">
    <w:abstractNumId w:val="11"/>
  </w:num>
  <w:num w:numId="25">
    <w:abstractNumId w:val="11"/>
    <w:lvlOverride w:ilvl="0">
      <w:startOverride w:val="5"/>
    </w:lvlOverride>
    <w:lvlOverride w:ilvl="1">
      <w:startOverride w:val="3"/>
    </w:lvlOverride>
  </w:num>
  <w:num w:numId="26">
    <w:abstractNumId w:val="11"/>
    <w:lvlOverride w:ilvl="0">
      <w:startOverride w:val="5"/>
    </w:lvlOverride>
    <w:lvlOverride w:ilvl="1">
      <w:startOverride w:val="1"/>
    </w:lvlOverride>
  </w:num>
  <w:num w:numId="27">
    <w:abstractNumId w:val="11"/>
    <w:lvlOverride w:ilvl="0">
      <w:startOverride w:val="5"/>
    </w:lvlOverride>
    <w:lvlOverride w:ilvl="1">
      <w:startOverride w:val="12"/>
    </w:lvlOverride>
  </w:num>
  <w:num w:numId="28">
    <w:abstractNumId w:val="0"/>
  </w:num>
  <w:num w:numId="29">
    <w:abstractNumId w:val="32"/>
  </w:num>
  <w:num w:numId="30">
    <w:abstractNumId w:val="10"/>
  </w:num>
  <w:num w:numId="31">
    <w:abstractNumId w:val="21"/>
  </w:num>
  <w:num w:numId="32">
    <w:abstractNumId w:val="8"/>
  </w:num>
  <w:num w:numId="33">
    <w:abstractNumId w:val="19"/>
  </w:num>
  <w:num w:numId="34">
    <w:abstractNumId w:val="28"/>
  </w:num>
  <w:num w:numId="35">
    <w:abstractNumId w:val="12"/>
  </w:num>
  <w:num w:numId="3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0E"/>
    <w:rsid w:val="000033A5"/>
    <w:rsid w:val="00007764"/>
    <w:rsid w:val="00014C57"/>
    <w:rsid w:val="00020FEB"/>
    <w:rsid w:val="000236F7"/>
    <w:rsid w:val="00023FBE"/>
    <w:rsid w:val="00026A0E"/>
    <w:rsid w:val="00037D03"/>
    <w:rsid w:val="00042448"/>
    <w:rsid w:val="00046CDA"/>
    <w:rsid w:val="00047F8D"/>
    <w:rsid w:val="00056E82"/>
    <w:rsid w:val="00057811"/>
    <w:rsid w:val="0006148F"/>
    <w:rsid w:val="00062779"/>
    <w:rsid w:val="000660F0"/>
    <w:rsid w:val="00074606"/>
    <w:rsid w:val="00085DB9"/>
    <w:rsid w:val="00092803"/>
    <w:rsid w:val="000A4032"/>
    <w:rsid w:val="000B3B2A"/>
    <w:rsid w:val="000B6709"/>
    <w:rsid w:val="000C208F"/>
    <w:rsid w:val="000C7A6F"/>
    <w:rsid w:val="000D182F"/>
    <w:rsid w:val="000D349D"/>
    <w:rsid w:val="000D5DDC"/>
    <w:rsid w:val="000E0EF0"/>
    <w:rsid w:val="000E10E2"/>
    <w:rsid w:val="000E4BA5"/>
    <w:rsid w:val="000E76CE"/>
    <w:rsid w:val="000F1F6D"/>
    <w:rsid w:val="000F2FCA"/>
    <w:rsid w:val="000F524D"/>
    <w:rsid w:val="00102F21"/>
    <w:rsid w:val="001035E6"/>
    <w:rsid w:val="001056EC"/>
    <w:rsid w:val="00106DB5"/>
    <w:rsid w:val="00110412"/>
    <w:rsid w:val="0011376C"/>
    <w:rsid w:val="0011522E"/>
    <w:rsid w:val="00115DFB"/>
    <w:rsid w:val="00115FED"/>
    <w:rsid w:val="00117342"/>
    <w:rsid w:val="001209DF"/>
    <w:rsid w:val="0012218F"/>
    <w:rsid w:val="00124EAB"/>
    <w:rsid w:val="00125868"/>
    <w:rsid w:val="00125E4B"/>
    <w:rsid w:val="001273F6"/>
    <w:rsid w:val="001304C1"/>
    <w:rsid w:val="0013473D"/>
    <w:rsid w:val="00136C72"/>
    <w:rsid w:val="00136DAE"/>
    <w:rsid w:val="00140AD6"/>
    <w:rsid w:val="0014551F"/>
    <w:rsid w:val="00155D34"/>
    <w:rsid w:val="00160BB2"/>
    <w:rsid w:val="001746D9"/>
    <w:rsid w:val="00176B9F"/>
    <w:rsid w:val="00176CE8"/>
    <w:rsid w:val="00177AC2"/>
    <w:rsid w:val="00181A44"/>
    <w:rsid w:val="00183A0E"/>
    <w:rsid w:val="0018417A"/>
    <w:rsid w:val="00186C71"/>
    <w:rsid w:val="00187D4E"/>
    <w:rsid w:val="001A0116"/>
    <w:rsid w:val="001A0DBF"/>
    <w:rsid w:val="001A32AA"/>
    <w:rsid w:val="001C02D6"/>
    <w:rsid w:val="001C0FB7"/>
    <w:rsid w:val="001C73F2"/>
    <w:rsid w:val="001C78CF"/>
    <w:rsid w:val="001D329A"/>
    <w:rsid w:val="001E0645"/>
    <w:rsid w:val="001E3E8C"/>
    <w:rsid w:val="001E4DFB"/>
    <w:rsid w:val="001E52CE"/>
    <w:rsid w:val="001E5A81"/>
    <w:rsid w:val="001F3262"/>
    <w:rsid w:val="001F3D37"/>
    <w:rsid w:val="001F605F"/>
    <w:rsid w:val="00205D6D"/>
    <w:rsid w:val="00207002"/>
    <w:rsid w:val="002075D9"/>
    <w:rsid w:val="00220A4F"/>
    <w:rsid w:val="002221F2"/>
    <w:rsid w:val="002230E9"/>
    <w:rsid w:val="002232B2"/>
    <w:rsid w:val="00224D5C"/>
    <w:rsid w:val="0024513D"/>
    <w:rsid w:val="0024670A"/>
    <w:rsid w:val="00246B17"/>
    <w:rsid w:val="00246ED0"/>
    <w:rsid w:val="00250258"/>
    <w:rsid w:val="0025104E"/>
    <w:rsid w:val="00251643"/>
    <w:rsid w:val="0025565B"/>
    <w:rsid w:val="00260099"/>
    <w:rsid w:val="00260BD1"/>
    <w:rsid w:val="00263C53"/>
    <w:rsid w:val="002666D1"/>
    <w:rsid w:val="00266710"/>
    <w:rsid w:val="00274650"/>
    <w:rsid w:val="00282A4A"/>
    <w:rsid w:val="00283EF5"/>
    <w:rsid w:val="00283FB4"/>
    <w:rsid w:val="0028421C"/>
    <w:rsid w:val="00292FF2"/>
    <w:rsid w:val="00293849"/>
    <w:rsid w:val="00295EB2"/>
    <w:rsid w:val="00295FA9"/>
    <w:rsid w:val="00296A18"/>
    <w:rsid w:val="002A142D"/>
    <w:rsid w:val="002A2121"/>
    <w:rsid w:val="002A4ED7"/>
    <w:rsid w:val="002C2C8A"/>
    <w:rsid w:val="002C4934"/>
    <w:rsid w:val="002C4F0B"/>
    <w:rsid w:val="002D2035"/>
    <w:rsid w:val="002D4334"/>
    <w:rsid w:val="002E1745"/>
    <w:rsid w:val="002E37D2"/>
    <w:rsid w:val="002E3CE8"/>
    <w:rsid w:val="002E49BC"/>
    <w:rsid w:val="002E4CD6"/>
    <w:rsid w:val="002E5E3F"/>
    <w:rsid w:val="002F323D"/>
    <w:rsid w:val="002F52CE"/>
    <w:rsid w:val="003001D8"/>
    <w:rsid w:val="003057ED"/>
    <w:rsid w:val="00305ACA"/>
    <w:rsid w:val="0030799C"/>
    <w:rsid w:val="00312833"/>
    <w:rsid w:val="00312CC4"/>
    <w:rsid w:val="003135C6"/>
    <w:rsid w:val="0031501D"/>
    <w:rsid w:val="00316A25"/>
    <w:rsid w:val="00320162"/>
    <w:rsid w:val="00322FD3"/>
    <w:rsid w:val="0032418A"/>
    <w:rsid w:val="00325958"/>
    <w:rsid w:val="00330E54"/>
    <w:rsid w:val="00331283"/>
    <w:rsid w:val="00343B64"/>
    <w:rsid w:val="0034601C"/>
    <w:rsid w:val="00347CB5"/>
    <w:rsid w:val="00350A70"/>
    <w:rsid w:val="00357A10"/>
    <w:rsid w:val="00362AB4"/>
    <w:rsid w:val="0036373D"/>
    <w:rsid w:val="003666D4"/>
    <w:rsid w:val="00366EB3"/>
    <w:rsid w:val="00371374"/>
    <w:rsid w:val="00375596"/>
    <w:rsid w:val="0038597D"/>
    <w:rsid w:val="00392317"/>
    <w:rsid w:val="00393E44"/>
    <w:rsid w:val="003A0D09"/>
    <w:rsid w:val="003A3A42"/>
    <w:rsid w:val="003A7F28"/>
    <w:rsid w:val="003B2ACC"/>
    <w:rsid w:val="003B44A6"/>
    <w:rsid w:val="003B4EB6"/>
    <w:rsid w:val="003B5EC2"/>
    <w:rsid w:val="003C632D"/>
    <w:rsid w:val="003D0A8D"/>
    <w:rsid w:val="003D6D33"/>
    <w:rsid w:val="003E0A9C"/>
    <w:rsid w:val="003E5F7D"/>
    <w:rsid w:val="003E659E"/>
    <w:rsid w:val="003F17A2"/>
    <w:rsid w:val="003F1DBE"/>
    <w:rsid w:val="003F2806"/>
    <w:rsid w:val="003F7722"/>
    <w:rsid w:val="00400766"/>
    <w:rsid w:val="00401EB6"/>
    <w:rsid w:val="0041135A"/>
    <w:rsid w:val="00417956"/>
    <w:rsid w:val="004279F3"/>
    <w:rsid w:val="00431210"/>
    <w:rsid w:val="00440E92"/>
    <w:rsid w:val="004417A2"/>
    <w:rsid w:val="004419D4"/>
    <w:rsid w:val="0044357A"/>
    <w:rsid w:val="004457DB"/>
    <w:rsid w:val="0046348E"/>
    <w:rsid w:val="00463A3B"/>
    <w:rsid w:val="0046721C"/>
    <w:rsid w:val="00473498"/>
    <w:rsid w:val="00477583"/>
    <w:rsid w:val="00477FFA"/>
    <w:rsid w:val="004825C0"/>
    <w:rsid w:val="0048373D"/>
    <w:rsid w:val="00487F0F"/>
    <w:rsid w:val="00490655"/>
    <w:rsid w:val="00491851"/>
    <w:rsid w:val="0049762C"/>
    <w:rsid w:val="004A23F9"/>
    <w:rsid w:val="004C318E"/>
    <w:rsid w:val="004C384A"/>
    <w:rsid w:val="004D1B5C"/>
    <w:rsid w:val="004D3747"/>
    <w:rsid w:val="004D49C9"/>
    <w:rsid w:val="004D56FF"/>
    <w:rsid w:val="004D67AB"/>
    <w:rsid w:val="004E12CE"/>
    <w:rsid w:val="004E18F3"/>
    <w:rsid w:val="004E1EE6"/>
    <w:rsid w:val="004E1F6E"/>
    <w:rsid w:val="004E58A6"/>
    <w:rsid w:val="004E783D"/>
    <w:rsid w:val="004E796F"/>
    <w:rsid w:val="004F2B4F"/>
    <w:rsid w:val="004F510A"/>
    <w:rsid w:val="00501EF3"/>
    <w:rsid w:val="0050655F"/>
    <w:rsid w:val="00507E47"/>
    <w:rsid w:val="005102AC"/>
    <w:rsid w:val="00510C85"/>
    <w:rsid w:val="00511314"/>
    <w:rsid w:val="00512DF0"/>
    <w:rsid w:val="00512F69"/>
    <w:rsid w:val="005148FD"/>
    <w:rsid w:val="00517112"/>
    <w:rsid w:val="005220C9"/>
    <w:rsid w:val="00522480"/>
    <w:rsid w:val="0052349A"/>
    <w:rsid w:val="005314EF"/>
    <w:rsid w:val="00533AD9"/>
    <w:rsid w:val="00535873"/>
    <w:rsid w:val="0054007D"/>
    <w:rsid w:val="005441CB"/>
    <w:rsid w:val="005560CC"/>
    <w:rsid w:val="00566358"/>
    <w:rsid w:val="00573EE3"/>
    <w:rsid w:val="00581C13"/>
    <w:rsid w:val="00591063"/>
    <w:rsid w:val="00597F81"/>
    <w:rsid w:val="005A13F5"/>
    <w:rsid w:val="005A6086"/>
    <w:rsid w:val="005A63FC"/>
    <w:rsid w:val="005B1440"/>
    <w:rsid w:val="005B71D7"/>
    <w:rsid w:val="005C62BF"/>
    <w:rsid w:val="005C6435"/>
    <w:rsid w:val="005D756A"/>
    <w:rsid w:val="005D7A24"/>
    <w:rsid w:val="005E0F46"/>
    <w:rsid w:val="005E3606"/>
    <w:rsid w:val="005E73E8"/>
    <w:rsid w:val="005E785E"/>
    <w:rsid w:val="005F27F0"/>
    <w:rsid w:val="005F28DA"/>
    <w:rsid w:val="005F3EF6"/>
    <w:rsid w:val="005F768E"/>
    <w:rsid w:val="00601671"/>
    <w:rsid w:val="006079D0"/>
    <w:rsid w:val="00610BED"/>
    <w:rsid w:val="00612EEA"/>
    <w:rsid w:val="006227B3"/>
    <w:rsid w:val="006240B0"/>
    <w:rsid w:val="00624CDF"/>
    <w:rsid w:val="006263DF"/>
    <w:rsid w:val="00632B3B"/>
    <w:rsid w:val="006354E4"/>
    <w:rsid w:val="00636764"/>
    <w:rsid w:val="006436C7"/>
    <w:rsid w:val="00644C8D"/>
    <w:rsid w:val="00644EB2"/>
    <w:rsid w:val="006471F9"/>
    <w:rsid w:val="00650932"/>
    <w:rsid w:val="0065276D"/>
    <w:rsid w:val="00661742"/>
    <w:rsid w:val="006635AC"/>
    <w:rsid w:val="00666A3D"/>
    <w:rsid w:val="00670CBB"/>
    <w:rsid w:val="00681BCD"/>
    <w:rsid w:val="0068389B"/>
    <w:rsid w:val="00683E14"/>
    <w:rsid w:val="00686F44"/>
    <w:rsid w:val="00691148"/>
    <w:rsid w:val="00693876"/>
    <w:rsid w:val="00694DD3"/>
    <w:rsid w:val="00696C32"/>
    <w:rsid w:val="00697CE4"/>
    <w:rsid w:val="006A1374"/>
    <w:rsid w:val="006A264F"/>
    <w:rsid w:val="006A4FF8"/>
    <w:rsid w:val="006A760C"/>
    <w:rsid w:val="006B0289"/>
    <w:rsid w:val="006B48CB"/>
    <w:rsid w:val="006B57DD"/>
    <w:rsid w:val="006B7389"/>
    <w:rsid w:val="006C7AE3"/>
    <w:rsid w:val="006D4A4C"/>
    <w:rsid w:val="006D6EA5"/>
    <w:rsid w:val="006F2C70"/>
    <w:rsid w:val="006F4F1A"/>
    <w:rsid w:val="006F504C"/>
    <w:rsid w:val="007143C3"/>
    <w:rsid w:val="007154E6"/>
    <w:rsid w:val="00717FAB"/>
    <w:rsid w:val="00725C23"/>
    <w:rsid w:val="00734D4A"/>
    <w:rsid w:val="00747739"/>
    <w:rsid w:val="00747A6B"/>
    <w:rsid w:val="00753887"/>
    <w:rsid w:val="00770F90"/>
    <w:rsid w:val="00773B70"/>
    <w:rsid w:val="007759AB"/>
    <w:rsid w:val="00784BFE"/>
    <w:rsid w:val="0078773D"/>
    <w:rsid w:val="00787863"/>
    <w:rsid w:val="00787F57"/>
    <w:rsid w:val="00796234"/>
    <w:rsid w:val="007A0CEE"/>
    <w:rsid w:val="007A3DB8"/>
    <w:rsid w:val="007A6290"/>
    <w:rsid w:val="007B1F72"/>
    <w:rsid w:val="007C10DB"/>
    <w:rsid w:val="007C6BDA"/>
    <w:rsid w:val="007D18D4"/>
    <w:rsid w:val="007D1AEA"/>
    <w:rsid w:val="007D273F"/>
    <w:rsid w:val="007D493D"/>
    <w:rsid w:val="007D652D"/>
    <w:rsid w:val="007D7FFD"/>
    <w:rsid w:val="007E3AC9"/>
    <w:rsid w:val="007F1961"/>
    <w:rsid w:val="007F3635"/>
    <w:rsid w:val="0080456E"/>
    <w:rsid w:val="0081152B"/>
    <w:rsid w:val="008246F1"/>
    <w:rsid w:val="00825353"/>
    <w:rsid w:val="00826D32"/>
    <w:rsid w:val="00830C18"/>
    <w:rsid w:val="00830FA0"/>
    <w:rsid w:val="00831161"/>
    <w:rsid w:val="008370B9"/>
    <w:rsid w:val="00837AC7"/>
    <w:rsid w:val="0084073A"/>
    <w:rsid w:val="00841DFB"/>
    <w:rsid w:val="00861828"/>
    <w:rsid w:val="00864140"/>
    <w:rsid w:val="00871D91"/>
    <w:rsid w:val="00885733"/>
    <w:rsid w:val="008869AE"/>
    <w:rsid w:val="00886CD3"/>
    <w:rsid w:val="008957CA"/>
    <w:rsid w:val="008A1C1E"/>
    <w:rsid w:val="008A1FDE"/>
    <w:rsid w:val="008A5D65"/>
    <w:rsid w:val="008A7365"/>
    <w:rsid w:val="008B038F"/>
    <w:rsid w:val="008B3726"/>
    <w:rsid w:val="008B461E"/>
    <w:rsid w:val="008C07A9"/>
    <w:rsid w:val="008C18AB"/>
    <w:rsid w:val="008C3BC5"/>
    <w:rsid w:val="008C46AD"/>
    <w:rsid w:val="008E509E"/>
    <w:rsid w:val="008F5F2B"/>
    <w:rsid w:val="00900E85"/>
    <w:rsid w:val="009060B6"/>
    <w:rsid w:val="0091113F"/>
    <w:rsid w:val="009130DE"/>
    <w:rsid w:val="00917A97"/>
    <w:rsid w:val="00922EB9"/>
    <w:rsid w:val="00930576"/>
    <w:rsid w:val="00930AA7"/>
    <w:rsid w:val="00932248"/>
    <w:rsid w:val="00935393"/>
    <w:rsid w:val="009436EA"/>
    <w:rsid w:val="00950F7C"/>
    <w:rsid w:val="00951FEE"/>
    <w:rsid w:val="00952B5B"/>
    <w:rsid w:val="00954EA6"/>
    <w:rsid w:val="009561FB"/>
    <w:rsid w:val="009565E9"/>
    <w:rsid w:val="0096724A"/>
    <w:rsid w:val="00971C68"/>
    <w:rsid w:val="00972FC5"/>
    <w:rsid w:val="009736A2"/>
    <w:rsid w:val="009739E9"/>
    <w:rsid w:val="00990357"/>
    <w:rsid w:val="00990E56"/>
    <w:rsid w:val="009A4B62"/>
    <w:rsid w:val="009B0250"/>
    <w:rsid w:val="009B141A"/>
    <w:rsid w:val="009C2A24"/>
    <w:rsid w:val="009D4853"/>
    <w:rsid w:val="009E33F9"/>
    <w:rsid w:val="009E3FD4"/>
    <w:rsid w:val="009E7CEF"/>
    <w:rsid w:val="009F0474"/>
    <w:rsid w:val="009F0FDB"/>
    <w:rsid w:val="00A0067D"/>
    <w:rsid w:val="00A00E88"/>
    <w:rsid w:val="00A026D4"/>
    <w:rsid w:val="00A057E6"/>
    <w:rsid w:val="00A07612"/>
    <w:rsid w:val="00A13B0C"/>
    <w:rsid w:val="00A2524C"/>
    <w:rsid w:val="00A2584D"/>
    <w:rsid w:val="00A25BA6"/>
    <w:rsid w:val="00A26B65"/>
    <w:rsid w:val="00A31A47"/>
    <w:rsid w:val="00A409E0"/>
    <w:rsid w:val="00A5248A"/>
    <w:rsid w:val="00A54506"/>
    <w:rsid w:val="00A60841"/>
    <w:rsid w:val="00A636C1"/>
    <w:rsid w:val="00A71DE0"/>
    <w:rsid w:val="00A751AF"/>
    <w:rsid w:val="00A75340"/>
    <w:rsid w:val="00A75351"/>
    <w:rsid w:val="00A7703B"/>
    <w:rsid w:val="00A77E2F"/>
    <w:rsid w:val="00A82301"/>
    <w:rsid w:val="00A84CAF"/>
    <w:rsid w:val="00A87514"/>
    <w:rsid w:val="00A9766C"/>
    <w:rsid w:val="00A97CB7"/>
    <w:rsid w:val="00AA1731"/>
    <w:rsid w:val="00AA21D8"/>
    <w:rsid w:val="00AA277A"/>
    <w:rsid w:val="00AC1228"/>
    <w:rsid w:val="00AC4BBF"/>
    <w:rsid w:val="00AC6B4C"/>
    <w:rsid w:val="00AD066D"/>
    <w:rsid w:val="00AD3629"/>
    <w:rsid w:val="00AD521D"/>
    <w:rsid w:val="00AD7EF1"/>
    <w:rsid w:val="00AE28A0"/>
    <w:rsid w:val="00AE35DD"/>
    <w:rsid w:val="00AE3608"/>
    <w:rsid w:val="00AE6A6C"/>
    <w:rsid w:val="00AF1C23"/>
    <w:rsid w:val="00AF3F8D"/>
    <w:rsid w:val="00B00D46"/>
    <w:rsid w:val="00B0277C"/>
    <w:rsid w:val="00B05694"/>
    <w:rsid w:val="00B064BD"/>
    <w:rsid w:val="00B0758B"/>
    <w:rsid w:val="00B07A25"/>
    <w:rsid w:val="00B2185C"/>
    <w:rsid w:val="00B234A8"/>
    <w:rsid w:val="00B27E2D"/>
    <w:rsid w:val="00B30503"/>
    <w:rsid w:val="00B323D2"/>
    <w:rsid w:val="00B33407"/>
    <w:rsid w:val="00B34ABD"/>
    <w:rsid w:val="00B3526A"/>
    <w:rsid w:val="00B36785"/>
    <w:rsid w:val="00B4041C"/>
    <w:rsid w:val="00B41353"/>
    <w:rsid w:val="00B425DB"/>
    <w:rsid w:val="00B47FF3"/>
    <w:rsid w:val="00B55E55"/>
    <w:rsid w:val="00B55F03"/>
    <w:rsid w:val="00B57603"/>
    <w:rsid w:val="00B609C3"/>
    <w:rsid w:val="00B6662D"/>
    <w:rsid w:val="00B70B1B"/>
    <w:rsid w:val="00B748D1"/>
    <w:rsid w:val="00B80385"/>
    <w:rsid w:val="00B815AF"/>
    <w:rsid w:val="00B8208D"/>
    <w:rsid w:val="00B86FB9"/>
    <w:rsid w:val="00BA450D"/>
    <w:rsid w:val="00BB27A1"/>
    <w:rsid w:val="00BB38E0"/>
    <w:rsid w:val="00BB730B"/>
    <w:rsid w:val="00BB7BC1"/>
    <w:rsid w:val="00BC1EEF"/>
    <w:rsid w:val="00BC5A8A"/>
    <w:rsid w:val="00BC6D7F"/>
    <w:rsid w:val="00BD33E5"/>
    <w:rsid w:val="00BE06D8"/>
    <w:rsid w:val="00BF5641"/>
    <w:rsid w:val="00C001F5"/>
    <w:rsid w:val="00C028F5"/>
    <w:rsid w:val="00C02E24"/>
    <w:rsid w:val="00C040F3"/>
    <w:rsid w:val="00C06346"/>
    <w:rsid w:val="00C34735"/>
    <w:rsid w:val="00C359F5"/>
    <w:rsid w:val="00C41287"/>
    <w:rsid w:val="00C45E22"/>
    <w:rsid w:val="00C52A89"/>
    <w:rsid w:val="00C55077"/>
    <w:rsid w:val="00C6198A"/>
    <w:rsid w:val="00C70641"/>
    <w:rsid w:val="00C722A1"/>
    <w:rsid w:val="00C73CE9"/>
    <w:rsid w:val="00C7664B"/>
    <w:rsid w:val="00C83037"/>
    <w:rsid w:val="00C9323B"/>
    <w:rsid w:val="00C94225"/>
    <w:rsid w:val="00CA559D"/>
    <w:rsid w:val="00CA7225"/>
    <w:rsid w:val="00CA72D9"/>
    <w:rsid w:val="00CC141B"/>
    <w:rsid w:val="00CC2678"/>
    <w:rsid w:val="00CC4FC1"/>
    <w:rsid w:val="00CC5691"/>
    <w:rsid w:val="00CC5F53"/>
    <w:rsid w:val="00CD4005"/>
    <w:rsid w:val="00CD64F6"/>
    <w:rsid w:val="00CE18B0"/>
    <w:rsid w:val="00CF017F"/>
    <w:rsid w:val="00CF0343"/>
    <w:rsid w:val="00CF0D3D"/>
    <w:rsid w:val="00CF2FED"/>
    <w:rsid w:val="00CF4F2C"/>
    <w:rsid w:val="00CF5CDD"/>
    <w:rsid w:val="00D02341"/>
    <w:rsid w:val="00D11451"/>
    <w:rsid w:val="00D1628B"/>
    <w:rsid w:val="00D17656"/>
    <w:rsid w:val="00D2015B"/>
    <w:rsid w:val="00D202D2"/>
    <w:rsid w:val="00D25B20"/>
    <w:rsid w:val="00D25DE9"/>
    <w:rsid w:val="00D31E63"/>
    <w:rsid w:val="00D338DF"/>
    <w:rsid w:val="00D348CB"/>
    <w:rsid w:val="00D47C24"/>
    <w:rsid w:val="00D5086B"/>
    <w:rsid w:val="00D51627"/>
    <w:rsid w:val="00D54C32"/>
    <w:rsid w:val="00D727F6"/>
    <w:rsid w:val="00D7281F"/>
    <w:rsid w:val="00D7438A"/>
    <w:rsid w:val="00D74909"/>
    <w:rsid w:val="00D77A20"/>
    <w:rsid w:val="00D800BE"/>
    <w:rsid w:val="00D822DD"/>
    <w:rsid w:val="00D91D09"/>
    <w:rsid w:val="00DA1A67"/>
    <w:rsid w:val="00DB1A52"/>
    <w:rsid w:val="00DB2317"/>
    <w:rsid w:val="00DB40C3"/>
    <w:rsid w:val="00DB4B5E"/>
    <w:rsid w:val="00DB570D"/>
    <w:rsid w:val="00DC096A"/>
    <w:rsid w:val="00DC1210"/>
    <w:rsid w:val="00DC3C8B"/>
    <w:rsid w:val="00DC4716"/>
    <w:rsid w:val="00DC6ED4"/>
    <w:rsid w:val="00DD0462"/>
    <w:rsid w:val="00DD0FE8"/>
    <w:rsid w:val="00DD1D92"/>
    <w:rsid w:val="00DD2A81"/>
    <w:rsid w:val="00DE0570"/>
    <w:rsid w:val="00DE09EE"/>
    <w:rsid w:val="00DE0A60"/>
    <w:rsid w:val="00DF623D"/>
    <w:rsid w:val="00E00B0E"/>
    <w:rsid w:val="00E02328"/>
    <w:rsid w:val="00E0745E"/>
    <w:rsid w:val="00E07497"/>
    <w:rsid w:val="00E10BE7"/>
    <w:rsid w:val="00E26530"/>
    <w:rsid w:val="00E32A62"/>
    <w:rsid w:val="00E35152"/>
    <w:rsid w:val="00E42AF5"/>
    <w:rsid w:val="00E43988"/>
    <w:rsid w:val="00E45FC4"/>
    <w:rsid w:val="00E50984"/>
    <w:rsid w:val="00E60890"/>
    <w:rsid w:val="00E617A6"/>
    <w:rsid w:val="00E63FD3"/>
    <w:rsid w:val="00E64088"/>
    <w:rsid w:val="00E64E88"/>
    <w:rsid w:val="00E67AF7"/>
    <w:rsid w:val="00E7312E"/>
    <w:rsid w:val="00E74167"/>
    <w:rsid w:val="00E7770F"/>
    <w:rsid w:val="00E77EF5"/>
    <w:rsid w:val="00E8203D"/>
    <w:rsid w:val="00E86D27"/>
    <w:rsid w:val="00E95D97"/>
    <w:rsid w:val="00E96034"/>
    <w:rsid w:val="00E964CA"/>
    <w:rsid w:val="00EA0704"/>
    <w:rsid w:val="00EC1BBD"/>
    <w:rsid w:val="00EC4D24"/>
    <w:rsid w:val="00ED0122"/>
    <w:rsid w:val="00ED23A7"/>
    <w:rsid w:val="00ED2E4C"/>
    <w:rsid w:val="00ED79C2"/>
    <w:rsid w:val="00EE0CE1"/>
    <w:rsid w:val="00EE182A"/>
    <w:rsid w:val="00EE71E5"/>
    <w:rsid w:val="00EF07F0"/>
    <w:rsid w:val="00EF1F04"/>
    <w:rsid w:val="00EF65FB"/>
    <w:rsid w:val="00EF7046"/>
    <w:rsid w:val="00F004DE"/>
    <w:rsid w:val="00F014BB"/>
    <w:rsid w:val="00F07133"/>
    <w:rsid w:val="00F12E10"/>
    <w:rsid w:val="00F1778B"/>
    <w:rsid w:val="00F2741A"/>
    <w:rsid w:val="00F30FB3"/>
    <w:rsid w:val="00F33AFA"/>
    <w:rsid w:val="00F40F51"/>
    <w:rsid w:val="00F42EA6"/>
    <w:rsid w:val="00F46F68"/>
    <w:rsid w:val="00F53BB0"/>
    <w:rsid w:val="00F54E0E"/>
    <w:rsid w:val="00F7542C"/>
    <w:rsid w:val="00F80B6D"/>
    <w:rsid w:val="00F9032A"/>
    <w:rsid w:val="00FA305B"/>
    <w:rsid w:val="00FA3B6B"/>
    <w:rsid w:val="00FB3FED"/>
    <w:rsid w:val="00FC5724"/>
    <w:rsid w:val="00FC63AB"/>
    <w:rsid w:val="00FD18A4"/>
    <w:rsid w:val="00FD4666"/>
    <w:rsid w:val="00FD5BFD"/>
    <w:rsid w:val="00FD5CE1"/>
    <w:rsid w:val="00FE55BE"/>
    <w:rsid w:val="00FE73CF"/>
    <w:rsid w:val="00FF0D7C"/>
    <w:rsid w:val="00FF5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42F917"/>
  <w15:chartTrackingRefBased/>
  <w15:docId w15:val="{E47CFB12-824C-4971-8DAD-A7AEE321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34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176CE8"/>
    <w:pPr>
      <w:keepNext/>
      <w:spacing w:before="120" w:after="120" w:line="240" w:lineRule="auto"/>
      <w:ind w:left="360" w:hanging="360"/>
      <w:jc w:val="both"/>
      <w:outlineLvl w:val="1"/>
    </w:pPr>
    <w:rPr>
      <w:rFonts w:eastAsia="Times New Roman" w:cs="Times New Roman"/>
      <w:b/>
      <w:bCs/>
      <w:iCs/>
      <w:sz w:val="28"/>
      <w:szCs w:val="24"/>
    </w:rPr>
  </w:style>
  <w:style w:type="paragraph" w:styleId="Heading3">
    <w:name w:val="heading 3"/>
    <w:basedOn w:val="Normal"/>
    <w:next w:val="Normal"/>
    <w:link w:val="Heading3Char"/>
    <w:uiPriority w:val="9"/>
    <w:unhideWhenUsed/>
    <w:qFormat/>
    <w:rsid w:val="00C722A1"/>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autoRedefine/>
    <w:uiPriority w:val="9"/>
    <w:unhideWhenUsed/>
    <w:qFormat/>
    <w:rsid w:val="00952B5B"/>
    <w:pPr>
      <w:keepNext/>
      <w:keepLines/>
      <w:spacing w:before="120" w:after="0" w:line="240" w:lineRule="auto"/>
      <w:jc w:val="both"/>
      <w:outlineLvl w:val="3"/>
    </w:pPr>
    <w:rPr>
      <w:rFonts w:eastAsiaTheme="majorEastAsia" w:cstheme="minorHAnsi"/>
      <w:b/>
      <w:bCs/>
      <w:i/>
      <w:iCs/>
      <w:sz w:val="20"/>
      <w:szCs w:val="20"/>
    </w:rPr>
  </w:style>
  <w:style w:type="paragraph" w:styleId="Heading5">
    <w:name w:val="heading 5"/>
    <w:basedOn w:val="Normal"/>
    <w:next w:val="Normal"/>
    <w:link w:val="Heading5Char"/>
    <w:uiPriority w:val="9"/>
    <w:unhideWhenUsed/>
    <w:qFormat/>
    <w:rsid w:val="00952B5B"/>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D46"/>
    <w:pPr>
      <w:ind w:left="720"/>
      <w:contextualSpacing/>
    </w:pPr>
  </w:style>
  <w:style w:type="paragraph" w:customStyle="1" w:styleId="Default">
    <w:name w:val="Default"/>
    <w:rsid w:val="000E76CE"/>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176CE8"/>
    <w:rPr>
      <w:rFonts w:eastAsia="Times New Roman" w:cs="Times New Roman"/>
      <w:b/>
      <w:bCs/>
      <w:iCs/>
      <w:sz w:val="28"/>
      <w:szCs w:val="24"/>
    </w:rPr>
  </w:style>
  <w:style w:type="character" w:customStyle="1" w:styleId="Heading4Char">
    <w:name w:val="Heading 4 Char"/>
    <w:basedOn w:val="DefaultParagraphFont"/>
    <w:link w:val="Heading4"/>
    <w:uiPriority w:val="9"/>
    <w:rsid w:val="00952B5B"/>
    <w:rPr>
      <w:rFonts w:eastAsiaTheme="majorEastAsia" w:cstheme="minorHAnsi"/>
      <w:b/>
      <w:bCs/>
      <w:i/>
      <w:iCs/>
      <w:sz w:val="20"/>
      <w:szCs w:val="20"/>
    </w:rPr>
  </w:style>
  <w:style w:type="character" w:customStyle="1" w:styleId="Heading5Char">
    <w:name w:val="Heading 5 Char"/>
    <w:basedOn w:val="DefaultParagraphFont"/>
    <w:link w:val="Heading5"/>
    <w:uiPriority w:val="9"/>
    <w:rsid w:val="00952B5B"/>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155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3678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36785"/>
    <w:rPr>
      <w:rFonts w:ascii="Calibri" w:hAnsi="Calibri"/>
      <w:szCs w:val="21"/>
    </w:rPr>
  </w:style>
  <w:style w:type="character" w:customStyle="1" w:styleId="Heading3Char">
    <w:name w:val="Heading 3 Char"/>
    <w:basedOn w:val="DefaultParagraphFont"/>
    <w:link w:val="Heading3"/>
    <w:uiPriority w:val="9"/>
    <w:rsid w:val="00C722A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9C2A24"/>
    <w:rPr>
      <w:sz w:val="16"/>
      <w:szCs w:val="16"/>
    </w:rPr>
  </w:style>
  <w:style w:type="paragraph" w:styleId="CommentText">
    <w:name w:val="annotation text"/>
    <w:basedOn w:val="Normal"/>
    <w:link w:val="CommentTextChar"/>
    <w:uiPriority w:val="99"/>
    <w:unhideWhenUsed/>
    <w:rsid w:val="009C2A24"/>
    <w:pPr>
      <w:spacing w:line="240" w:lineRule="auto"/>
    </w:pPr>
    <w:rPr>
      <w:sz w:val="20"/>
      <w:szCs w:val="20"/>
    </w:rPr>
  </w:style>
  <w:style w:type="character" w:customStyle="1" w:styleId="CommentTextChar">
    <w:name w:val="Comment Text Char"/>
    <w:basedOn w:val="DefaultParagraphFont"/>
    <w:link w:val="CommentText"/>
    <w:uiPriority w:val="99"/>
    <w:rsid w:val="009C2A24"/>
    <w:rPr>
      <w:sz w:val="20"/>
      <w:szCs w:val="20"/>
    </w:rPr>
  </w:style>
  <w:style w:type="paragraph" w:styleId="CommentSubject">
    <w:name w:val="annotation subject"/>
    <w:basedOn w:val="CommentText"/>
    <w:next w:val="CommentText"/>
    <w:link w:val="CommentSubjectChar"/>
    <w:uiPriority w:val="99"/>
    <w:semiHidden/>
    <w:unhideWhenUsed/>
    <w:rsid w:val="009C2A24"/>
    <w:rPr>
      <w:b/>
      <w:bCs/>
    </w:rPr>
  </w:style>
  <w:style w:type="character" w:customStyle="1" w:styleId="CommentSubjectChar">
    <w:name w:val="Comment Subject Char"/>
    <w:basedOn w:val="CommentTextChar"/>
    <w:link w:val="CommentSubject"/>
    <w:uiPriority w:val="99"/>
    <w:semiHidden/>
    <w:rsid w:val="009C2A24"/>
    <w:rPr>
      <w:b/>
      <w:bCs/>
      <w:sz w:val="20"/>
      <w:szCs w:val="20"/>
    </w:rPr>
  </w:style>
  <w:style w:type="paragraph" w:styleId="BalloonText">
    <w:name w:val="Balloon Text"/>
    <w:basedOn w:val="Normal"/>
    <w:link w:val="BalloonTextChar"/>
    <w:uiPriority w:val="99"/>
    <w:semiHidden/>
    <w:unhideWhenUsed/>
    <w:rsid w:val="009C2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A24"/>
    <w:rPr>
      <w:rFonts w:ascii="Segoe UI" w:hAnsi="Segoe UI" w:cs="Segoe UI"/>
      <w:sz w:val="18"/>
      <w:szCs w:val="18"/>
    </w:rPr>
  </w:style>
  <w:style w:type="character" w:styleId="Hyperlink">
    <w:name w:val="Hyperlink"/>
    <w:basedOn w:val="DefaultParagraphFont"/>
    <w:uiPriority w:val="99"/>
    <w:unhideWhenUsed/>
    <w:rsid w:val="005D7A24"/>
    <w:rPr>
      <w:color w:val="0563C1" w:themeColor="hyperlink"/>
      <w:u w:val="single"/>
    </w:rPr>
  </w:style>
  <w:style w:type="paragraph" w:customStyle="1" w:styleId="BodyContent">
    <w:name w:val="Body (Content)"/>
    <w:basedOn w:val="Normal"/>
    <w:uiPriority w:val="99"/>
    <w:rsid w:val="00FF5EA6"/>
    <w:pPr>
      <w:suppressAutoHyphens/>
      <w:autoSpaceDE w:val="0"/>
      <w:autoSpaceDN w:val="0"/>
      <w:adjustRightInd w:val="0"/>
      <w:spacing w:before="113" w:after="57" w:line="216" w:lineRule="atLeast"/>
      <w:ind w:left="560"/>
      <w:jc w:val="both"/>
      <w:textAlignment w:val="center"/>
    </w:pPr>
    <w:rPr>
      <w:rFonts w:ascii="Humnst777 BT" w:hAnsi="Humnst777 BT" w:cs="Humnst777 BT"/>
      <w:color w:val="000000"/>
      <w:sz w:val="18"/>
      <w:szCs w:val="18"/>
      <w:lang w:val="en-US"/>
    </w:rPr>
  </w:style>
  <w:style w:type="paragraph" w:styleId="Revision">
    <w:name w:val="Revision"/>
    <w:hidden/>
    <w:uiPriority w:val="99"/>
    <w:semiHidden/>
    <w:rsid w:val="00320162"/>
    <w:pPr>
      <w:spacing w:after="0" w:line="240" w:lineRule="auto"/>
    </w:pPr>
  </w:style>
  <w:style w:type="paragraph" w:styleId="NormalWeb">
    <w:name w:val="Normal (Web)"/>
    <w:basedOn w:val="Normal"/>
    <w:uiPriority w:val="99"/>
    <w:unhideWhenUsed/>
    <w:rsid w:val="004279F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35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93"/>
  </w:style>
  <w:style w:type="paragraph" w:styleId="Footer">
    <w:name w:val="footer"/>
    <w:basedOn w:val="Normal"/>
    <w:link w:val="FooterChar"/>
    <w:uiPriority w:val="99"/>
    <w:unhideWhenUsed/>
    <w:rsid w:val="00935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93"/>
  </w:style>
  <w:style w:type="character" w:customStyle="1" w:styleId="Heading1Char">
    <w:name w:val="Heading 1 Char"/>
    <w:basedOn w:val="DefaultParagraphFont"/>
    <w:link w:val="Heading1"/>
    <w:uiPriority w:val="9"/>
    <w:rsid w:val="0052349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2349A"/>
    <w:pPr>
      <w:outlineLvl w:val="9"/>
    </w:pPr>
    <w:rPr>
      <w:lang w:val="en-US"/>
    </w:rPr>
  </w:style>
  <w:style w:type="paragraph" w:styleId="TOC3">
    <w:name w:val="toc 3"/>
    <w:basedOn w:val="Normal"/>
    <w:next w:val="Normal"/>
    <w:autoRedefine/>
    <w:uiPriority w:val="39"/>
    <w:unhideWhenUsed/>
    <w:rsid w:val="0052349A"/>
    <w:pPr>
      <w:spacing w:after="100"/>
      <w:ind w:left="440"/>
    </w:pPr>
  </w:style>
  <w:style w:type="paragraph" w:styleId="TOC2">
    <w:name w:val="toc 2"/>
    <w:basedOn w:val="Normal"/>
    <w:next w:val="Normal"/>
    <w:autoRedefine/>
    <w:uiPriority w:val="39"/>
    <w:unhideWhenUsed/>
    <w:rsid w:val="0052349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52349A"/>
    <w:pPr>
      <w:spacing w:after="10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29589">
      <w:bodyDiv w:val="1"/>
      <w:marLeft w:val="0"/>
      <w:marRight w:val="0"/>
      <w:marTop w:val="0"/>
      <w:marBottom w:val="0"/>
      <w:divBdr>
        <w:top w:val="none" w:sz="0" w:space="0" w:color="auto"/>
        <w:left w:val="none" w:sz="0" w:space="0" w:color="auto"/>
        <w:bottom w:val="none" w:sz="0" w:space="0" w:color="auto"/>
        <w:right w:val="none" w:sz="0" w:space="0" w:color="auto"/>
      </w:divBdr>
    </w:div>
    <w:div w:id="630671902">
      <w:bodyDiv w:val="1"/>
      <w:marLeft w:val="0"/>
      <w:marRight w:val="0"/>
      <w:marTop w:val="0"/>
      <w:marBottom w:val="0"/>
      <w:divBdr>
        <w:top w:val="none" w:sz="0" w:space="0" w:color="auto"/>
        <w:left w:val="none" w:sz="0" w:space="0" w:color="auto"/>
        <w:bottom w:val="none" w:sz="0" w:space="0" w:color="auto"/>
        <w:right w:val="none" w:sz="0" w:space="0" w:color="auto"/>
      </w:divBdr>
    </w:div>
    <w:div w:id="924806094">
      <w:bodyDiv w:val="1"/>
      <w:marLeft w:val="0"/>
      <w:marRight w:val="0"/>
      <w:marTop w:val="0"/>
      <w:marBottom w:val="0"/>
      <w:divBdr>
        <w:top w:val="none" w:sz="0" w:space="0" w:color="auto"/>
        <w:left w:val="none" w:sz="0" w:space="0" w:color="auto"/>
        <w:bottom w:val="none" w:sz="0" w:space="0" w:color="auto"/>
        <w:right w:val="none" w:sz="0" w:space="0" w:color="auto"/>
      </w:divBdr>
    </w:div>
    <w:div w:id="1750540929">
      <w:bodyDiv w:val="1"/>
      <w:marLeft w:val="0"/>
      <w:marRight w:val="0"/>
      <w:marTop w:val="0"/>
      <w:marBottom w:val="0"/>
      <w:divBdr>
        <w:top w:val="none" w:sz="0" w:space="0" w:color="auto"/>
        <w:left w:val="none" w:sz="0" w:space="0" w:color="auto"/>
        <w:bottom w:val="none" w:sz="0" w:space="0" w:color="auto"/>
        <w:right w:val="none" w:sz="0" w:space="0" w:color="auto"/>
      </w:divBdr>
      <w:divsChild>
        <w:div w:id="378363483">
          <w:marLeft w:val="0"/>
          <w:marRight w:val="0"/>
          <w:marTop w:val="0"/>
          <w:marBottom w:val="0"/>
          <w:divBdr>
            <w:top w:val="none" w:sz="0" w:space="0" w:color="auto"/>
            <w:left w:val="none" w:sz="0" w:space="0" w:color="auto"/>
            <w:bottom w:val="none" w:sz="0" w:space="0" w:color="auto"/>
            <w:right w:val="none" w:sz="0" w:space="0" w:color="auto"/>
          </w:divBdr>
        </w:div>
      </w:divsChild>
    </w:div>
    <w:div w:id="1814566619">
      <w:bodyDiv w:val="1"/>
      <w:marLeft w:val="0"/>
      <w:marRight w:val="0"/>
      <w:marTop w:val="0"/>
      <w:marBottom w:val="0"/>
      <w:divBdr>
        <w:top w:val="none" w:sz="0" w:space="0" w:color="auto"/>
        <w:left w:val="none" w:sz="0" w:space="0" w:color="auto"/>
        <w:bottom w:val="none" w:sz="0" w:space="0" w:color="auto"/>
        <w:right w:val="none" w:sz="0" w:space="0" w:color="auto"/>
      </w:divBdr>
    </w:div>
    <w:div w:id="183337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mpa.vic.gov.au" TargetMode="External"/><Relationship Id="rId4" Type="http://schemas.openxmlformats.org/officeDocument/2006/relationships/settings" Target="settings.xml"/><Relationship Id="rId9" Type="http://schemas.openxmlformats.org/officeDocument/2006/relationships/hyperlink" Target="http://www.vb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02E4-EFC2-477F-9F07-A1828395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44</Pages>
  <Words>16351</Words>
  <Characters>93201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Metropolitan Planning Authority</Company>
  <LinksUpToDate>false</LinksUpToDate>
  <CharactersWithSpaces>109334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Harder</dc:creator>
  <cp:keywords/>
  <dc:description/>
  <cp:lastModifiedBy>Stephanie Harder</cp:lastModifiedBy>
  <cp:revision>70</cp:revision>
  <cp:lastPrinted>2016-05-18T04:27:00Z</cp:lastPrinted>
  <dcterms:created xsi:type="dcterms:W3CDTF">2016-05-12T06:48:00Z</dcterms:created>
  <dcterms:modified xsi:type="dcterms:W3CDTF">2016-06-14T05:44:00Z</dcterms:modified>
</cp:coreProperties>
</file>