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8.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9.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40.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41.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42.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43.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44.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5.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6.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7.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8.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9.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50.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51.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52.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53.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54.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5.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6.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7.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8.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9.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60.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61.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62.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63.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64.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5.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6.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7.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8.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9.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70.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71.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72.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73.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74.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75.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6.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7.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8.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9.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80.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81.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82.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83.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84.xml" ContentType="application/vnd.openxmlformats-officedocument.drawingml.chart+xml"/>
  <Override PartName="/word/charts/style77.xml" ContentType="application/vnd.ms-office.chartstyle+xml"/>
  <Override PartName="/word/charts/colors77.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1F30" w:rsidRPr="00BF20D3" w:rsidRDefault="003C041A" w:rsidP="00F356AA">
      <w:pPr>
        <w:tabs>
          <w:tab w:val="left" w:pos="7392"/>
        </w:tabs>
        <w:rPr>
          <w:b/>
          <w:sz w:val="32"/>
          <w:szCs w:val="32"/>
        </w:rPr>
      </w:pPr>
      <w:r w:rsidRPr="00BF20D3">
        <w:rPr>
          <w:b/>
          <w:noProof/>
          <w:sz w:val="32"/>
          <w:szCs w:val="32"/>
          <w:lang w:eastAsia="en-AU"/>
        </w:rPr>
        <mc:AlternateContent>
          <mc:Choice Requires="wps">
            <w:drawing>
              <wp:anchor distT="45720" distB="45720" distL="114300" distR="114300" simplePos="0" relativeHeight="251663360" behindDoc="0" locked="0" layoutInCell="1" allowOverlap="1" wp14:anchorId="25875C8D" wp14:editId="54F64AF6">
                <wp:simplePos x="0" y="0"/>
                <wp:positionH relativeFrom="column">
                  <wp:posOffset>109855</wp:posOffset>
                </wp:positionH>
                <wp:positionV relativeFrom="paragraph">
                  <wp:posOffset>8162290</wp:posOffset>
                </wp:positionV>
                <wp:extent cx="4552950" cy="578485"/>
                <wp:effectExtent l="0" t="0" r="0" b="12065"/>
                <wp:wrapNone/>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578485"/>
                        </a:xfrm>
                        <a:prstGeom prst="rect">
                          <a:avLst/>
                        </a:prstGeom>
                        <a:noFill/>
                        <a:ln w="9525">
                          <a:noFill/>
                          <a:miter lim="800000"/>
                          <a:headEnd/>
                          <a:tailEnd/>
                        </a:ln>
                      </wps:spPr>
                      <wps:txbx>
                        <w:txbxContent>
                          <w:p w:rsidR="00C22DA1" w:rsidRPr="004333C0" w:rsidRDefault="00C22DA1">
                            <w:pPr>
                              <w:rPr>
                                <w:b/>
                                <w:color w:val="767171" w:themeColor="background2" w:themeShade="80"/>
                                <w:sz w:val="28"/>
                              </w:rPr>
                            </w:pPr>
                            <w:r w:rsidRPr="004333C0">
                              <w:rPr>
                                <w:b/>
                                <w:color w:val="767171" w:themeColor="background2" w:themeShade="80"/>
                                <w:sz w:val="28"/>
                              </w:rPr>
                              <w:t>Prepared by the</w:t>
                            </w:r>
                            <w:r w:rsidR="00932482">
                              <w:rPr>
                                <w:b/>
                                <w:color w:val="767171" w:themeColor="background2" w:themeShade="80"/>
                                <w:sz w:val="28"/>
                              </w:rPr>
                              <w:t xml:space="preserve"> Victorian</w:t>
                            </w:r>
                            <w:r w:rsidRPr="004333C0">
                              <w:rPr>
                                <w:b/>
                                <w:color w:val="767171" w:themeColor="background2" w:themeShade="80"/>
                                <w:sz w:val="28"/>
                              </w:rPr>
                              <w:t xml:space="preserve"> Planning Authority</w:t>
                            </w:r>
                          </w:p>
                          <w:p w:rsidR="00C22DA1" w:rsidRPr="00A20757" w:rsidRDefault="00932482">
                            <w:pPr>
                              <w:rPr>
                                <w:b/>
                                <w:color w:val="767171" w:themeColor="background2" w:themeShade="80"/>
                                <w:sz w:val="28"/>
                              </w:rPr>
                            </w:pPr>
                            <w:r>
                              <w:rPr>
                                <w:b/>
                                <w:color w:val="767171" w:themeColor="background2" w:themeShade="80"/>
                                <w:sz w:val="28"/>
                              </w:rPr>
                              <w:t>September</w:t>
                            </w:r>
                            <w:r w:rsidR="00C22DA1" w:rsidRPr="004333C0">
                              <w:rPr>
                                <w:b/>
                                <w:color w:val="767171" w:themeColor="background2" w:themeShade="80"/>
                                <w:sz w:val="28"/>
                              </w:rPr>
                              <w:t xml:space="preserve"> 2016</w:t>
                            </w:r>
                          </w:p>
                        </w:txbxContent>
                      </wps:txbx>
                      <wps:bodyPr rot="0" vert="horz" wrap="square" lIns="91440" tIns="45720" rIns="9144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5875C8D" id="_x0000_t202" coordsize="21600,21600" o:spt="202" path="m,l,21600r21600,l21600,xe">
                <v:stroke joinstyle="miter"/>
                <v:path gradientshapeok="t" o:connecttype="rect"/>
              </v:shapetype>
              <v:shape id="Text Box 2" o:spid="_x0000_s1026" type="#_x0000_t202" style="position:absolute;margin-left:8.65pt;margin-top:642.7pt;width:358.5pt;height:45.5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" filled="f" stroked="f">
                <v:textbox inset=",,,0">
                  <w:txbxContent>
                    <w:p w:rsidR="00C22DA1" w:rsidRPr="004333C0" w:rsidRDefault="00C22DA1">
                      <w:pPr>
                        <w:rPr>
                          <w:b/>
                          <w:color w:val="767171" w:themeColor="background2" w:themeShade="80"/>
                          <w:sz w:val="28"/>
                        </w:rPr>
                      </w:pPr>
                      <w:r w:rsidRPr="004333C0">
                        <w:rPr>
                          <w:b/>
                          <w:color w:val="767171" w:themeColor="background2" w:themeShade="80"/>
                          <w:sz w:val="28"/>
                        </w:rPr>
                        <w:t>Prepared by the</w:t>
                      </w:r>
                      <w:r w:rsidR="00932482">
                        <w:rPr>
                          <w:b/>
                          <w:color w:val="767171" w:themeColor="background2" w:themeShade="80"/>
                          <w:sz w:val="28"/>
                        </w:rPr>
                        <w:t xml:space="preserve"> Victorian</w:t>
                      </w:r>
                      <w:r w:rsidRPr="004333C0">
                        <w:rPr>
                          <w:b/>
                          <w:color w:val="767171" w:themeColor="background2" w:themeShade="80"/>
                          <w:sz w:val="28"/>
                        </w:rPr>
                        <w:t xml:space="preserve"> Planning Authority</w:t>
                      </w:r>
                    </w:p>
                    <w:p w:rsidR="00C22DA1" w:rsidRPr="00A20757" w:rsidRDefault="00932482">
                      <w:pPr>
                        <w:rPr>
                          <w:b/>
                          <w:color w:val="767171" w:themeColor="background2" w:themeShade="80"/>
                          <w:sz w:val="28"/>
                        </w:rPr>
                      </w:pPr>
                      <w:r>
                        <w:rPr>
                          <w:b/>
                          <w:color w:val="767171" w:themeColor="background2" w:themeShade="80"/>
                          <w:sz w:val="28"/>
                        </w:rPr>
                        <w:t>September</w:t>
                      </w:r>
                      <w:r w:rsidR="00C22DA1" w:rsidRPr="004333C0">
                        <w:rPr>
                          <w:b/>
                          <w:color w:val="767171" w:themeColor="background2" w:themeShade="80"/>
                          <w:sz w:val="28"/>
                        </w:rPr>
                        <w:t xml:space="preserve"> 2016</w:t>
                      </w:r>
                    </w:p>
                  </w:txbxContent>
                </v:textbox>
              </v:shape>
            </w:pict>
          </mc:Fallback>
        </mc:AlternateContent>
      </w:r>
      <w:r w:rsidR="00521242" w:rsidRPr="00BF20D3">
        <w:rPr>
          <w:b/>
          <w:noProof/>
          <w:sz w:val="32"/>
          <w:szCs w:val="32"/>
          <w:lang w:eastAsia="en-AU"/>
        </w:rPr>
        <mc:AlternateContent>
          <mc:Choice Requires="wps">
            <w:drawing>
              <wp:anchor distT="45720" distB="45720" distL="114300" distR="114300" simplePos="0" relativeHeight="251659264" behindDoc="0" locked="0" layoutInCell="1" allowOverlap="1" wp14:anchorId="4DD08117" wp14:editId="52F5284B">
                <wp:simplePos x="0" y="0"/>
                <wp:positionH relativeFrom="margin">
                  <wp:align>right</wp:align>
                </wp:positionH>
                <wp:positionV relativeFrom="paragraph">
                  <wp:posOffset>1854835</wp:posOffset>
                </wp:positionV>
                <wp:extent cx="6210300" cy="112204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300" cy="1122045"/>
                        </a:xfrm>
                        <a:prstGeom prst="rect">
                          <a:avLst/>
                        </a:prstGeom>
                        <a:noFill/>
                        <a:ln w="9525">
                          <a:noFill/>
                          <a:miter lim="800000"/>
                          <a:headEnd/>
                          <a:tailEnd/>
                        </a:ln>
                      </wps:spPr>
                      <wps:txbx>
                        <w:txbxContent>
                          <w:p w:rsidR="00C22DA1" w:rsidRPr="0014025C" w:rsidRDefault="00C22DA1" w:rsidP="00464D36">
                            <w:pPr>
                              <w:spacing w:after="40"/>
                              <w:rPr>
                                <w:b/>
                                <w:color w:val="003C74"/>
                                <w:sz w:val="48"/>
                                <w:szCs w:val="48"/>
                              </w:rPr>
                            </w:pPr>
                            <w:r w:rsidRPr="0014025C">
                              <w:rPr>
                                <w:b/>
                                <w:color w:val="003C74"/>
                                <w:sz w:val="48"/>
                                <w:szCs w:val="48"/>
                              </w:rPr>
                              <w:t xml:space="preserve">The </w:t>
                            </w:r>
                            <w:r w:rsidR="00932482" w:rsidRPr="0014025C">
                              <w:rPr>
                                <w:b/>
                                <w:color w:val="003C74"/>
                                <w:sz w:val="48"/>
                                <w:szCs w:val="48"/>
                              </w:rPr>
                              <w:t xml:space="preserve">VPA’s State of the State – </w:t>
                            </w:r>
                            <w:r w:rsidR="005945E3" w:rsidRPr="0014025C">
                              <w:rPr>
                                <w:b/>
                                <w:color w:val="003C74"/>
                                <w:sz w:val="48"/>
                                <w:szCs w:val="48"/>
                              </w:rPr>
                              <w:t>3</w:t>
                            </w:r>
                            <w:r w:rsidR="005945E3" w:rsidRPr="0014025C">
                              <w:rPr>
                                <w:b/>
                                <w:color w:val="003C74"/>
                                <w:sz w:val="48"/>
                                <w:szCs w:val="48"/>
                                <w:vertAlign w:val="superscript"/>
                              </w:rPr>
                              <w:t>rd</w:t>
                            </w:r>
                            <w:r w:rsidR="005945E3" w:rsidRPr="0014025C">
                              <w:rPr>
                                <w:b/>
                                <w:color w:val="003C74"/>
                                <w:sz w:val="48"/>
                                <w:szCs w:val="48"/>
                              </w:rPr>
                              <w:t xml:space="preserve"> Quarter 2016</w:t>
                            </w:r>
                            <w:r w:rsidRPr="0014025C">
                              <w:rPr>
                                <w:b/>
                                <w:color w:val="003C74"/>
                                <w:sz w:val="48"/>
                                <w:szCs w:val="48"/>
                              </w:rPr>
                              <w:t xml:space="preserve"> </w:t>
                            </w:r>
                          </w:p>
                          <w:p w:rsidR="00C22DA1" w:rsidRPr="00D72F84" w:rsidRDefault="00932482">
                            <w:pPr>
                              <w:rPr>
                                <w:b/>
                                <w:color w:val="3B3838" w:themeColor="background2" w:themeShade="40"/>
                                <w:sz w:val="32"/>
                                <w:szCs w:val="36"/>
                              </w:rPr>
                            </w:pPr>
                            <w:r>
                              <w:rPr>
                                <w:b/>
                                <w:color w:val="3B3838" w:themeColor="background2" w:themeShade="40"/>
                                <w:sz w:val="32"/>
                                <w:szCs w:val="36"/>
                              </w:rPr>
                              <w:t>A V</w:t>
                            </w:r>
                            <w:r w:rsidR="00C22DA1" w:rsidRPr="004333C0">
                              <w:rPr>
                                <w:b/>
                                <w:color w:val="3B3838" w:themeColor="background2" w:themeShade="40"/>
                                <w:sz w:val="32"/>
                                <w:szCs w:val="36"/>
                              </w:rPr>
                              <w:t>PA report on Victoria’s Key Demographic &amp; Economic Met</w:t>
                            </w:r>
                            <w:bookmarkStart w:id="0" w:name="_GoBack"/>
                            <w:bookmarkEnd w:id="0"/>
                            <w:r w:rsidR="00C22DA1" w:rsidRPr="004333C0">
                              <w:rPr>
                                <w:b/>
                                <w:color w:val="3B3838" w:themeColor="background2" w:themeShade="40"/>
                                <w:sz w:val="32"/>
                                <w:szCs w:val="36"/>
                              </w:rPr>
                              <w:t>rics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DD08117" id="_x0000_t202" coordsize="21600,21600" o:spt="202" path="m,l,21600r21600,l21600,xe">
                <v:stroke joinstyle="miter"/>
                <v:path gradientshapeok="t" o:connecttype="rect"/>
              </v:shapetype>
              <v:shape id="_x0000_s1027" type="#_x0000_t202" style="position:absolute;margin-left:437.8pt;margin-top:146.05pt;width:489pt;height:88.35pt;z-index:25165926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" filled="f" stroked="f">
                <v:textbox style="mso-fit-shape-to-text:t">
                  <w:txbxContent>
                    <w:p w:rsidR="00C22DA1" w:rsidRPr="0014025C" w:rsidRDefault="00C22DA1" w:rsidP="00464D36">
                      <w:pPr>
                        <w:spacing w:after="40"/>
                        <w:rPr>
                          <w:b/>
                          <w:color w:val="003C74"/>
                          <w:sz w:val="48"/>
                          <w:szCs w:val="48"/>
                        </w:rPr>
                      </w:pPr>
                      <w:r w:rsidRPr="0014025C">
                        <w:rPr>
                          <w:b/>
                          <w:color w:val="003C74"/>
                          <w:sz w:val="48"/>
                          <w:szCs w:val="48"/>
                        </w:rPr>
                        <w:t xml:space="preserve">The </w:t>
                      </w:r>
                      <w:r w:rsidR="00932482" w:rsidRPr="0014025C">
                        <w:rPr>
                          <w:b/>
                          <w:color w:val="003C74"/>
                          <w:sz w:val="48"/>
                          <w:szCs w:val="48"/>
                        </w:rPr>
                        <w:t xml:space="preserve">VPA’s State of the State – </w:t>
                      </w:r>
                      <w:r w:rsidR="005945E3" w:rsidRPr="0014025C">
                        <w:rPr>
                          <w:b/>
                          <w:color w:val="003C74"/>
                          <w:sz w:val="48"/>
                          <w:szCs w:val="48"/>
                        </w:rPr>
                        <w:t>3</w:t>
                      </w:r>
                      <w:r w:rsidR="005945E3" w:rsidRPr="0014025C">
                        <w:rPr>
                          <w:b/>
                          <w:color w:val="003C74"/>
                          <w:sz w:val="48"/>
                          <w:szCs w:val="48"/>
                          <w:vertAlign w:val="superscript"/>
                        </w:rPr>
                        <w:t>rd</w:t>
                      </w:r>
                      <w:r w:rsidR="005945E3" w:rsidRPr="0014025C">
                        <w:rPr>
                          <w:b/>
                          <w:color w:val="003C74"/>
                          <w:sz w:val="48"/>
                          <w:szCs w:val="48"/>
                        </w:rPr>
                        <w:t xml:space="preserve"> Quarter 2016</w:t>
                      </w:r>
                      <w:r w:rsidRPr="0014025C">
                        <w:rPr>
                          <w:b/>
                          <w:color w:val="003C74"/>
                          <w:sz w:val="48"/>
                          <w:szCs w:val="48"/>
                        </w:rPr>
                        <w:t xml:space="preserve"> </w:t>
                      </w:r>
                    </w:p>
                    <w:p w:rsidR="00C22DA1" w:rsidRPr="00D72F84" w:rsidRDefault="00932482">
                      <w:pPr>
                        <w:rPr>
                          <w:b/>
                          <w:color w:val="3B3838" w:themeColor="background2" w:themeShade="40"/>
                          <w:sz w:val="32"/>
                          <w:szCs w:val="36"/>
                        </w:rPr>
                      </w:pPr>
                      <w:r>
                        <w:rPr>
                          <w:b/>
                          <w:color w:val="3B3838" w:themeColor="background2" w:themeShade="40"/>
                          <w:sz w:val="32"/>
                          <w:szCs w:val="36"/>
                        </w:rPr>
                        <w:t>A V</w:t>
                      </w:r>
                      <w:r w:rsidR="00C22DA1" w:rsidRPr="004333C0">
                        <w:rPr>
                          <w:b/>
                          <w:color w:val="3B3838" w:themeColor="background2" w:themeShade="40"/>
                          <w:sz w:val="32"/>
                          <w:szCs w:val="36"/>
                        </w:rPr>
                        <w:t>PA report on Victoria’s Key Demographic &amp; Economic Met</w:t>
                      </w:r>
                      <w:bookmarkStart w:id="1" w:name="_GoBack"/>
                      <w:bookmarkEnd w:id="1"/>
                      <w:r w:rsidR="00C22DA1" w:rsidRPr="004333C0">
                        <w:rPr>
                          <w:b/>
                          <w:color w:val="3B3838" w:themeColor="background2" w:themeShade="40"/>
                          <w:sz w:val="32"/>
                          <w:szCs w:val="36"/>
                        </w:rPr>
                        <w:t>rics</w:t>
                      </w:r>
                    </w:p>
                  </w:txbxContent>
                </v:textbox>
                <w10:wrap type="square" anchorx="margin"/>
              </v:shape>
            </w:pict>
          </mc:Fallback>
        </mc:AlternateContent>
      </w:r>
      <w:r w:rsidR="00521242" w:rsidRPr="00521242">
        <w:rPr>
          <w:b/>
          <w:noProof/>
          <w:sz w:val="32"/>
          <w:szCs w:val="32"/>
          <w:lang w:eastAsia="en-AU"/>
        </w:rPr>
        <w:drawing>
          <wp:anchor distT="0" distB="0" distL="114300" distR="114300" simplePos="0" relativeHeight="251665919" behindDoc="1" locked="0" layoutInCell="1" allowOverlap="1">
            <wp:simplePos x="807720" y="2834640"/>
            <wp:positionH relativeFrom="margin">
              <wp:align>center</wp:align>
            </wp:positionH>
            <wp:positionV relativeFrom="margin">
              <wp:align>center</wp:align>
            </wp:positionV>
            <wp:extent cx="6209665" cy="8782050"/>
            <wp:effectExtent l="0" t="0" r="635" b="0"/>
            <wp:wrapNone/>
            <wp:docPr id="43" name="Picture 43" descr="\\melfp\drafts\Drawings &amp; Graphics\Communications\Report Elements\State of the State Report_VPA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lfp\drafts\Drawings &amp; Graphics\Communications\Report Elements\State of the State Report_VPA_COVE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09665" cy="8782050"/>
                    </a:xfrm>
                    <a:prstGeom prst="rect">
                      <a:avLst/>
                    </a:prstGeom>
                    <a:noFill/>
                    <a:ln>
                      <a:noFill/>
                    </a:ln>
                  </pic:spPr>
                </pic:pic>
              </a:graphicData>
            </a:graphic>
            <wp14:sizeRelH relativeFrom="page">
              <wp14:pctWidth>0</wp14:pctWidth>
            </wp14:sizeRelH>
            <wp14:sizeRelV relativeFrom="page">
              <wp14:pctHeight>0</wp14:pctHeight>
            </wp14:sizeRelV>
          </wp:anchor>
        </w:drawing>
      </w:r>
      <w:r w:rsidR="00A91F30" w:rsidRPr="00BF20D3">
        <w:rPr>
          <w:b/>
          <w:sz w:val="32"/>
          <w:szCs w:val="32"/>
        </w:rPr>
        <w:br w:type="page"/>
      </w:r>
      <w:r w:rsidR="00F356AA">
        <w:rPr>
          <w:b/>
          <w:sz w:val="32"/>
          <w:szCs w:val="32"/>
        </w:rPr>
        <w:lastRenderedPageBreak/>
        <w:tab/>
      </w:r>
    </w:p>
    <w:sdt>
      <w:sdtPr>
        <w:rPr>
          <w:rFonts w:asciiTheme="minorHAnsi" w:eastAsiaTheme="minorEastAsia" w:hAnsiTheme="minorHAnsi" w:cstheme="minorBidi"/>
          <w:b w:val="0"/>
          <w:caps w:val="0"/>
          <w:color w:val="auto"/>
          <w:sz w:val="22"/>
          <w:szCs w:val="22"/>
        </w:rPr>
        <w:id w:val="-734703578"/>
        <w:docPartObj>
          <w:docPartGallery w:val="Table of Contents"/>
          <w:docPartUnique/>
        </w:docPartObj>
      </w:sdtPr>
      <w:sdtEndPr>
        <w:rPr>
          <w:bCs/>
          <w:noProof/>
        </w:rPr>
      </w:sdtEndPr>
      <w:sdtContent>
        <w:p w:rsidR="00A91F30" w:rsidRPr="00BF20D3" w:rsidRDefault="00A91F30">
          <w:pPr>
            <w:pStyle w:val="TOCHeading"/>
            <w:rPr>
              <w:rFonts w:asciiTheme="minorHAnsi" w:eastAsiaTheme="minorEastAsia" w:hAnsiTheme="minorHAnsi" w:cstheme="minorBidi"/>
              <w:caps w:val="0"/>
              <w:sz w:val="22"/>
              <w:szCs w:val="22"/>
            </w:rPr>
          </w:pPr>
        </w:p>
        <w:p w:rsidR="00626AB9" w:rsidRPr="0014025C" w:rsidRDefault="00626AB9" w:rsidP="00900CE0">
          <w:pPr>
            <w:pStyle w:val="Heading1"/>
            <w:spacing w:after="240"/>
            <w:jc w:val="both"/>
            <w:rPr>
              <w:color w:val="002060"/>
            </w:rPr>
          </w:pPr>
          <w:bookmarkStart w:id="2" w:name="_Toc458605151"/>
          <w:r w:rsidRPr="0014025C">
            <w:rPr>
              <w:color w:val="002060"/>
            </w:rPr>
            <w:t>Contents</w:t>
          </w:r>
          <w:bookmarkEnd w:id="2"/>
        </w:p>
        <w:p w:rsidR="00BF20D3" w:rsidRDefault="00626AB9">
          <w:pPr>
            <w:pStyle w:val="TOC1"/>
            <w:tabs>
              <w:tab w:val="right" w:leader="dot" w:pos="9769"/>
            </w:tabs>
            <w:rPr>
              <w:noProof/>
              <w:lang w:eastAsia="en-AU"/>
            </w:rPr>
          </w:pPr>
          <w:r w:rsidRPr="00BF20D3">
            <w:rPr>
              <w:sz w:val="20"/>
            </w:rPr>
            <w:fldChar w:fldCharType="begin"/>
          </w:r>
          <w:r w:rsidRPr="00BF20D3">
            <w:rPr>
              <w:sz w:val="20"/>
            </w:rPr>
            <w:instrText xml:space="preserve"> TOC \o "1-3" \h \z \u </w:instrText>
          </w:r>
          <w:r w:rsidRPr="00BF20D3">
            <w:rPr>
              <w:sz w:val="20"/>
            </w:rPr>
            <w:fldChar w:fldCharType="separate"/>
          </w:r>
          <w:hyperlink w:anchor="_Toc458605151" w:history="1">
            <w:r w:rsidR="00BF20D3" w:rsidRPr="00122F02">
              <w:rPr>
                <w:rStyle w:val="Hyperlink"/>
                <w:noProof/>
              </w:rPr>
              <w:t>Contents</w:t>
            </w:r>
            <w:r w:rsidR="00BF20D3">
              <w:rPr>
                <w:noProof/>
                <w:webHidden/>
              </w:rPr>
              <w:tab/>
            </w:r>
            <w:r w:rsidR="00BF20D3">
              <w:rPr>
                <w:noProof/>
                <w:webHidden/>
              </w:rPr>
              <w:fldChar w:fldCharType="begin"/>
            </w:r>
            <w:r w:rsidR="00BF20D3">
              <w:rPr>
                <w:noProof/>
                <w:webHidden/>
              </w:rPr>
              <w:instrText xml:space="preserve"> PAGEREF _Toc458605151 \h </w:instrText>
            </w:r>
            <w:r w:rsidR="00BF20D3">
              <w:rPr>
                <w:noProof/>
                <w:webHidden/>
              </w:rPr>
            </w:r>
            <w:r w:rsidR="00BF20D3">
              <w:rPr>
                <w:noProof/>
                <w:webHidden/>
              </w:rPr>
              <w:fldChar w:fldCharType="separate"/>
            </w:r>
            <w:r w:rsidR="00C64905">
              <w:rPr>
                <w:noProof/>
                <w:webHidden/>
              </w:rPr>
              <w:t>1</w:t>
            </w:r>
            <w:r w:rsidR="00BF20D3">
              <w:rPr>
                <w:noProof/>
                <w:webHidden/>
              </w:rPr>
              <w:fldChar w:fldCharType="end"/>
            </w:r>
          </w:hyperlink>
        </w:p>
        <w:p w:rsidR="00BF20D3" w:rsidRDefault="00BF1167">
          <w:pPr>
            <w:pStyle w:val="TOC1"/>
            <w:tabs>
              <w:tab w:val="right" w:leader="dot" w:pos="9769"/>
            </w:tabs>
            <w:rPr>
              <w:noProof/>
              <w:lang w:eastAsia="en-AU"/>
            </w:rPr>
          </w:pPr>
          <w:hyperlink w:anchor="_Toc458605152" w:history="1">
            <w:r w:rsidR="00BF20D3" w:rsidRPr="00122F02">
              <w:rPr>
                <w:rStyle w:val="Hyperlink"/>
                <w:noProof/>
              </w:rPr>
              <w:t>Executive Summary – KEY DEMOGRAPHIC AND ECONOMIC METRICS UPDATE</w:t>
            </w:r>
            <w:r w:rsidR="00BF20D3">
              <w:rPr>
                <w:noProof/>
                <w:webHidden/>
              </w:rPr>
              <w:tab/>
            </w:r>
            <w:r w:rsidR="00BF20D3">
              <w:rPr>
                <w:noProof/>
                <w:webHidden/>
              </w:rPr>
              <w:fldChar w:fldCharType="begin"/>
            </w:r>
            <w:r w:rsidR="00BF20D3">
              <w:rPr>
                <w:noProof/>
                <w:webHidden/>
              </w:rPr>
              <w:instrText xml:space="preserve"> PAGEREF _Toc458605152 \h </w:instrText>
            </w:r>
            <w:r w:rsidR="00BF20D3">
              <w:rPr>
                <w:noProof/>
                <w:webHidden/>
              </w:rPr>
            </w:r>
            <w:r w:rsidR="00BF20D3">
              <w:rPr>
                <w:noProof/>
                <w:webHidden/>
              </w:rPr>
              <w:fldChar w:fldCharType="separate"/>
            </w:r>
            <w:r w:rsidR="00C64905">
              <w:rPr>
                <w:noProof/>
                <w:webHidden/>
              </w:rPr>
              <w:t>2</w:t>
            </w:r>
            <w:r w:rsidR="00BF20D3">
              <w:rPr>
                <w:noProof/>
                <w:webHidden/>
              </w:rPr>
              <w:fldChar w:fldCharType="end"/>
            </w:r>
          </w:hyperlink>
        </w:p>
        <w:p w:rsidR="00BF20D3" w:rsidRDefault="00BF1167">
          <w:pPr>
            <w:pStyle w:val="TOC1"/>
            <w:tabs>
              <w:tab w:val="left" w:pos="440"/>
              <w:tab w:val="right" w:leader="dot" w:pos="9769"/>
            </w:tabs>
            <w:rPr>
              <w:noProof/>
              <w:lang w:eastAsia="en-AU"/>
            </w:rPr>
          </w:pPr>
          <w:hyperlink w:anchor="_Toc458605153" w:history="1">
            <w:r w:rsidR="00BF20D3" w:rsidRPr="00122F02">
              <w:rPr>
                <w:rStyle w:val="Hyperlink"/>
                <w:noProof/>
              </w:rPr>
              <w:t>1.</w:t>
            </w:r>
            <w:r w:rsidR="00BF20D3">
              <w:rPr>
                <w:noProof/>
                <w:lang w:eastAsia="en-AU"/>
              </w:rPr>
              <w:tab/>
            </w:r>
            <w:r w:rsidR="00BF20D3" w:rsidRPr="00122F02">
              <w:rPr>
                <w:rStyle w:val="Hyperlink"/>
                <w:noProof/>
              </w:rPr>
              <w:t>State Populations</w:t>
            </w:r>
            <w:r w:rsidR="00BF20D3">
              <w:rPr>
                <w:noProof/>
                <w:webHidden/>
              </w:rPr>
              <w:tab/>
            </w:r>
            <w:r w:rsidR="00BF20D3">
              <w:rPr>
                <w:noProof/>
                <w:webHidden/>
              </w:rPr>
              <w:fldChar w:fldCharType="begin"/>
            </w:r>
            <w:r w:rsidR="00BF20D3">
              <w:rPr>
                <w:noProof/>
                <w:webHidden/>
              </w:rPr>
              <w:instrText xml:space="preserve"> PAGEREF _Toc458605153 \h </w:instrText>
            </w:r>
            <w:r w:rsidR="00BF20D3">
              <w:rPr>
                <w:noProof/>
                <w:webHidden/>
              </w:rPr>
            </w:r>
            <w:r w:rsidR="00BF20D3">
              <w:rPr>
                <w:noProof/>
                <w:webHidden/>
              </w:rPr>
              <w:fldChar w:fldCharType="separate"/>
            </w:r>
            <w:r w:rsidR="00C64905">
              <w:rPr>
                <w:noProof/>
                <w:webHidden/>
              </w:rPr>
              <w:t>3</w:t>
            </w:r>
            <w:r w:rsidR="00BF20D3">
              <w:rPr>
                <w:noProof/>
                <w:webHidden/>
              </w:rPr>
              <w:fldChar w:fldCharType="end"/>
            </w:r>
          </w:hyperlink>
        </w:p>
        <w:p w:rsidR="00BF20D3" w:rsidRDefault="00BF1167">
          <w:pPr>
            <w:pStyle w:val="TOC1"/>
            <w:tabs>
              <w:tab w:val="left" w:pos="440"/>
              <w:tab w:val="right" w:leader="dot" w:pos="9769"/>
            </w:tabs>
            <w:rPr>
              <w:noProof/>
              <w:lang w:eastAsia="en-AU"/>
            </w:rPr>
          </w:pPr>
          <w:hyperlink w:anchor="_Toc458605154" w:history="1">
            <w:r w:rsidR="00BF20D3" w:rsidRPr="00122F02">
              <w:rPr>
                <w:rStyle w:val="Hyperlink"/>
                <w:noProof/>
              </w:rPr>
              <w:t>2.</w:t>
            </w:r>
            <w:r w:rsidR="00BF20D3">
              <w:rPr>
                <w:noProof/>
                <w:lang w:eastAsia="en-AU"/>
              </w:rPr>
              <w:tab/>
            </w:r>
            <w:r w:rsidR="00BF20D3" w:rsidRPr="00122F02">
              <w:rPr>
                <w:rStyle w:val="Hyperlink"/>
                <w:noProof/>
              </w:rPr>
              <w:t>Population Growth and Projections by Local Government Area</w:t>
            </w:r>
            <w:r w:rsidR="00BF20D3">
              <w:rPr>
                <w:noProof/>
                <w:webHidden/>
              </w:rPr>
              <w:tab/>
            </w:r>
            <w:r w:rsidR="00BF20D3">
              <w:rPr>
                <w:noProof/>
                <w:webHidden/>
              </w:rPr>
              <w:fldChar w:fldCharType="begin"/>
            </w:r>
            <w:r w:rsidR="00BF20D3">
              <w:rPr>
                <w:noProof/>
                <w:webHidden/>
              </w:rPr>
              <w:instrText xml:space="preserve"> PAGEREF _Toc458605154 \h </w:instrText>
            </w:r>
            <w:r w:rsidR="00BF20D3">
              <w:rPr>
                <w:noProof/>
                <w:webHidden/>
              </w:rPr>
            </w:r>
            <w:r w:rsidR="00BF20D3">
              <w:rPr>
                <w:noProof/>
                <w:webHidden/>
              </w:rPr>
              <w:fldChar w:fldCharType="separate"/>
            </w:r>
            <w:r w:rsidR="00C64905">
              <w:rPr>
                <w:noProof/>
                <w:webHidden/>
              </w:rPr>
              <w:t>6</w:t>
            </w:r>
            <w:r w:rsidR="00BF20D3">
              <w:rPr>
                <w:noProof/>
                <w:webHidden/>
              </w:rPr>
              <w:fldChar w:fldCharType="end"/>
            </w:r>
          </w:hyperlink>
        </w:p>
        <w:p w:rsidR="00BF20D3" w:rsidRDefault="00BF1167">
          <w:pPr>
            <w:pStyle w:val="TOC1"/>
            <w:tabs>
              <w:tab w:val="left" w:pos="440"/>
              <w:tab w:val="right" w:leader="dot" w:pos="9769"/>
            </w:tabs>
            <w:rPr>
              <w:noProof/>
              <w:lang w:eastAsia="en-AU"/>
            </w:rPr>
          </w:pPr>
          <w:hyperlink w:anchor="_Toc458605155" w:history="1">
            <w:r w:rsidR="00BF20D3" w:rsidRPr="00122F02">
              <w:rPr>
                <w:rStyle w:val="Hyperlink"/>
                <w:noProof/>
              </w:rPr>
              <w:t>3.</w:t>
            </w:r>
            <w:r w:rsidR="00BF20D3">
              <w:rPr>
                <w:noProof/>
                <w:lang w:eastAsia="en-AU"/>
              </w:rPr>
              <w:tab/>
            </w:r>
            <w:r w:rsidR="00BF20D3" w:rsidRPr="00122F02">
              <w:rPr>
                <w:rStyle w:val="Hyperlink"/>
                <w:noProof/>
              </w:rPr>
              <w:t>Births by Local Government Area</w:t>
            </w:r>
            <w:r w:rsidR="00BF20D3">
              <w:rPr>
                <w:noProof/>
                <w:webHidden/>
              </w:rPr>
              <w:tab/>
            </w:r>
            <w:r w:rsidR="00BF20D3">
              <w:rPr>
                <w:noProof/>
                <w:webHidden/>
              </w:rPr>
              <w:fldChar w:fldCharType="begin"/>
            </w:r>
            <w:r w:rsidR="00BF20D3">
              <w:rPr>
                <w:noProof/>
                <w:webHidden/>
              </w:rPr>
              <w:instrText xml:space="preserve"> PAGEREF _Toc458605155 \h </w:instrText>
            </w:r>
            <w:r w:rsidR="00BF20D3">
              <w:rPr>
                <w:noProof/>
                <w:webHidden/>
              </w:rPr>
            </w:r>
            <w:r w:rsidR="00BF20D3">
              <w:rPr>
                <w:noProof/>
                <w:webHidden/>
              </w:rPr>
              <w:fldChar w:fldCharType="separate"/>
            </w:r>
            <w:r w:rsidR="00C64905">
              <w:rPr>
                <w:noProof/>
                <w:webHidden/>
              </w:rPr>
              <w:t>10</w:t>
            </w:r>
            <w:r w:rsidR="00BF20D3">
              <w:rPr>
                <w:noProof/>
                <w:webHidden/>
              </w:rPr>
              <w:fldChar w:fldCharType="end"/>
            </w:r>
          </w:hyperlink>
        </w:p>
        <w:p w:rsidR="00BF20D3" w:rsidRDefault="00BF1167">
          <w:pPr>
            <w:pStyle w:val="TOC1"/>
            <w:tabs>
              <w:tab w:val="left" w:pos="440"/>
              <w:tab w:val="right" w:leader="dot" w:pos="9769"/>
            </w:tabs>
            <w:rPr>
              <w:noProof/>
              <w:lang w:eastAsia="en-AU"/>
            </w:rPr>
          </w:pPr>
          <w:hyperlink w:anchor="_Toc458605156" w:history="1">
            <w:r w:rsidR="00BF20D3" w:rsidRPr="00122F02">
              <w:rPr>
                <w:rStyle w:val="Hyperlink"/>
                <w:noProof/>
              </w:rPr>
              <w:t>4.</w:t>
            </w:r>
            <w:r w:rsidR="00BF20D3">
              <w:rPr>
                <w:noProof/>
                <w:lang w:eastAsia="en-AU"/>
              </w:rPr>
              <w:tab/>
            </w:r>
            <w:r w:rsidR="00BF20D3" w:rsidRPr="00122F02">
              <w:rPr>
                <w:rStyle w:val="Hyperlink"/>
                <w:noProof/>
              </w:rPr>
              <w:t>Deaths</w:t>
            </w:r>
            <w:r w:rsidR="00BF20D3">
              <w:rPr>
                <w:noProof/>
                <w:webHidden/>
              </w:rPr>
              <w:tab/>
            </w:r>
            <w:r w:rsidR="00BF20D3">
              <w:rPr>
                <w:noProof/>
                <w:webHidden/>
              </w:rPr>
              <w:fldChar w:fldCharType="begin"/>
            </w:r>
            <w:r w:rsidR="00BF20D3">
              <w:rPr>
                <w:noProof/>
                <w:webHidden/>
              </w:rPr>
              <w:instrText xml:space="preserve"> PAGEREF _Toc458605156 \h </w:instrText>
            </w:r>
            <w:r w:rsidR="00BF20D3">
              <w:rPr>
                <w:noProof/>
                <w:webHidden/>
              </w:rPr>
            </w:r>
            <w:r w:rsidR="00BF20D3">
              <w:rPr>
                <w:noProof/>
                <w:webHidden/>
              </w:rPr>
              <w:fldChar w:fldCharType="separate"/>
            </w:r>
            <w:r w:rsidR="00C64905">
              <w:rPr>
                <w:noProof/>
                <w:webHidden/>
              </w:rPr>
              <w:t>12</w:t>
            </w:r>
            <w:r w:rsidR="00BF20D3">
              <w:rPr>
                <w:noProof/>
                <w:webHidden/>
              </w:rPr>
              <w:fldChar w:fldCharType="end"/>
            </w:r>
          </w:hyperlink>
        </w:p>
        <w:p w:rsidR="00BF20D3" w:rsidRDefault="00BF1167">
          <w:pPr>
            <w:pStyle w:val="TOC1"/>
            <w:tabs>
              <w:tab w:val="left" w:pos="440"/>
              <w:tab w:val="right" w:leader="dot" w:pos="9769"/>
            </w:tabs>
            <w:rPr>
              <w:noProof/>
              <w:lang w:eastAsia="en-AU"/>
            </w:rPr>
          </w:pPr>
          <w:hyperlink w:anchor="_Toc458605157" w:history="1">
            <w:r w:rsidR="00BF20D3" w:rsidRPr="00122F02">
              <w:rPr>
                <w:rStyle w:val="Hyperlink"/>
                <w:noProof/>
              </w:rPr>
              <w:t>5.</w:t>
            </w:r>
            <w:r w:rsidR="00BF20D3">
              <w:rPr>
                <w:noProof/>
                <w:lang w:eastAsia="en-AU"/>
              </w:rPr>
              <w:tab/>
            </w:r>
            <w:r w:rsidR="00BF20D3" w:rsidRPr="00122F02">
              <w:rPr>
                <w:rStyle w:val="Hyperlink"/>
                <w:noProof/>
              </w:rPr>
              <w:t>Building Approvals</w:t>
            </w:r>
            <w:r w:rsidR="00BF20D3">
              <w:rPr>
                <w:noProof/>
                <w:webHidden/>
              </w:rPr>
              <w:tab/>
            </w:r>
            <w:r w:rsidR="00BF20D3">
              <w:rPr>
                <w:noProof/>
                <w:webHidden/>
              </w:rPr>
              <w:fldChar w:fldCharType="begin"/>
            </w:r>
            <w:r w:rsidR="00BF20D3">
              <w:rPr>
                <w:noProof/>
                <w:webHidden/>
              </w:rPr>
              <w:instrText xml:space="preserve"> PAGEREF _Toc458605157 \h </w:instrText>
            </w:r>
            <w:r w:rsidR="00BF20D3">
              <w:rPr>
                <w:noProof/>
                <w:webHidden/>
              </w:rPr>
            </w:r>
            <w:r w:rsidR="00BF20D3">
              <w:rPr>
                <w:noProof/>
                <w:webHidden/>
              </w:rPr>
              <w:fldChar w:fldCharType="separate"/>
            </w:r>
            <w:r w:rsidR="00C64905">
              <w:rPr>
                <w:noProof/>
                <w:webHidden/>
              </w:rPr>
              <w:t>14</w:t>
            </w:r>
            <w:r w:rsidR="00BF20D3">
              <w:rPr>
                <w:noProof/>
                <w:webHidden/>
              </w:rPr>
              <w:fldChar w:fldCharType="end"/>
            </w:r>
          </w:hyperlink>
        </w:p>
        <w:p w:rsidR="00BF20D3" w:rsidRDefault="00BF1167">
          <w:pPr>
            <w:pStyle w:val="TOC2"/>
            <w:tabs>
              <w:tab w:val="left" w:pos="660"/>
              <w:tab w:val="right" w:leader="dot" w:pos="9769"/>
            </w:tabs>
            <w:rPr>
              <w:noProof/>
              <w:lang w:eastAsia="en-AU"/>
            </w:rPr>
          </w:pPr>
          <w:hyperlink w:anchor="_Toc458605158" w:history="1">
            <w:r w:rsidR="00BF20D3" w:rsidRPr="00122F02">
              <w:rPr>
                <w:rStyle w:val="Hyperlink"/>
                <w:noProof/>
              </w:rPr>
              <w:t>a)</w:t>
            </w:r>
            <w:r w:rsidR="00BF20D3">
              <w:rPr>
                <w:noProof/>
                <w:lang w:eastAsia="en-AU"/>
              </w:rPr>
              <w:tab/>
            </w:r>
            <w:r w:rsidR="00BF20D3" w:rsidRPr="00122F02">
              <w:rPr>
                <w:rStyle w:val="Hyperlink"/>
                <w:noProof/>
              </w:rPr>
              <w:t>Residential Dwelling Approvals</w:t>
            </w:r>
            <w:r w:rsidR="00BF20D3">
              <w:rPr>
                <w:noProof/>
                <w:webHidden/>
              </w:rPr>
              <w:tab/>
            </w:r>
            <w:r w:rsidR="00BF20D3">
              <w:rPr>
                <w:noProof/>
                <w:webHidden/>
              </w:rPr>
              <w:fldChar w:fldCharType="begin"/>
            </w:r>
            <w:r w:rsidR="00BF20D3">
              <w:rPr>
                <w:noProof/>
                <w:webHidden/>
              </w:rPr>
              <w:instrText xml:space="preserve"> PAGEREF _Toc458605158 \h </w:instrText>
            </w:r>
            <w:r w:rsidR="00BF20D3">
              <w:rPr>
                <w:noProof/>
                <w:webHidden/>
              </w:rPr>
            </w:r>
            <w:r w:rsidR="00BF20D3">
              <w:rPr>
                <w:noProof/>
                <w:webHidden/>
              </w:rPr>
              <w:fldChar w:fldCharType="separate"/>
            </w:r>
            <w:r w:rsidR="00C64905">
              <w:rPr>
                <w:noProof/>
                <w:webHidden/>
              </w:rPr>
              <w:t>15</w:t>
            </w:r>
            <w:r w:rsidR="00BF20D3">
              <w:rPr>
                <w:noProof/>
                <w:webHidden/>
              </w:rPr>
              <w:fldChar w:fldCharType="end"/>
            </w:r>
          </w:hyperlink>
        </w:p>
        <w:p w:rsidR="00BF20D3" w:rsidRDefault="00BF1167">
          <w:pPr>
            <w:pStyle w:val="TOC2"/>
            <w:tabs>
              <w:tab w:val="left" w:pos="660"/>
              <w:tab w:val="right" w:leader="dot" w:pos="9769"/>
            </w:tabs>
            <w:rPr>
              <w:noProof/>
              <w:lang w:eastAsia="en-AU"/>
            </w:rPr>
          </w:pPr>
          <w:hyperlink w:anchor="_Toc458605159" w:history="1">
            <w:r w:rsidR="00BF20D3" w:rsidRPr="00122F02">
              <w:rPr>
                <w:rStyle w:val="Hyperlink"/>
                <w:noProof/>
              </w:rPr>
              <w:t>b)</w:t>
            </w:r>
            <w:r w:rsidR="00BF20D3">
              <w:rPr>
                <w:noProof/>
                <w:lang w:eastAsia="en-AU"/>
              </w:rPr>
              <w:tab/>
            </w:r>
            <w:r w:rsidR="00BF20D3" w:rsidRPr="00122F02">
              <w:rPr>
                <w:rStyle w:val="Hyperlink"/>
                <w:noProof/>
              </w:rPr>
              <w:t>Value of Approvals</w:t>
            </w:r>
            <w:r w:rsidR="00BF20D3">
              <w:rPr>
                <w:noProof/>
                <w:webHidden/>
              </w:rPr>
              <w:tab/>
            </w:r>
            <w:r w:rsidR="00BF20D3">
              <w:rPr>
                <w:noProof/>
                <w:webHidden/>
              </w:rPr>
              <w:fldChar w:fldCharType="begin"/>
            </w:r>
            <w:r w:rsidR="00BF20D3">
              <w:rPr>
                <w:noProof/>
                <w:webHidden/>
              </w:rPr>
              <w:instrText xml:space="preserve"> PAGEREF _Toc458605159 \h </w:instrText>
            </w:r>
            <w:r w:rsidR="00BF20D3">
              <w:rPr>
                <w:noProof/>
                <w:webHidden/>
              </w:rPr>
            </w:r>
            <w:r w:rsidR="00BF20D3">
              <w:rPr>
                <w:noProof/>
                <w:webHidden/>
              </w:rPr>
              <w:fldChar w:fldCharType="separate"/>
            </w:r>
            <w:r w:rsidR="00C64905">
              <w:rPr>
                <w:noProof/>
                <w:webHidden/>
              </w:rPr>
              <w:t>18</w:t>
            </w:r>
            <w:r w:rsidR="00BF20D3">
              <w:rPr>
                <w:noProof/>
                <w:webHidden/>
              </w:rPr>
              <w:fldChar w:fldCharType="end"/>
            </w:r>
          </w:hyperlink>
        </w:p>
        <w:p w:rsidR="00BF20D3" w:rsidRDefault="00BF1167">
          <w:pPr>
            <w:pStyle w:val="TOC3"/>
            <w:tabs>
              <w:tab w:val="left" w:pos="880"/>
              <w:tab w:val="right" w:leader="dot" w:pos="9769"/>
            </w:tabs>
            <w:rPr>
              <w:noProof/>
              <w:lang w:eastAsia="en-AU"/>
            </w:rPr>
          </w:pPr>
          <w:hyperlink w:anchor="_Toc458605160" w:history="1">
            <w:r w:rsidR="00BF20D3" w:rsidRPr="00122F02">
              <w:rPr>
                <w:rStyle w:val="Hyperlink"/>
                <w:noProof/>
              </w:rPr>
              <w:t>i.</w:t>
            </w:r>
            <w:r w:rsidR="00BF20D3">
              <w:rPr>
                <w:noProof/>
                <w:lang w:eastAsia="en-AU"/>
              </w:rPr>
              <w:tab/>
            </w:r>
            <w:r w:rsidR="00BF20D3" w:rsidRPr="00122F02">
              <w:rPr>
                <w:rStyle w:val="Hyperlink"/>
                <w:noProof/>
              </w:rPr>
              <w:t>Commercial Buildings</w:t>
            </w:r>
            <w:r w:rsidR="00BF20D3">
              <w:rPr>
                <w:noProof/>
                <w:webHidden/>
              </w:rPr>
              <w:tab/>
            </w:r>
            <w:r w:rsidR="00BF20D3">
              <w:rPr>
                <w:noProof/>
                <w:webHidden/>
              </w:rPr>
              <w:fldChar w:fldCharType="begin"/>
            </w:r>
            <w:r w:rsidR="00BF20D3">
              <w:rPr>
                <w:noProof/>
                <w:webHidden/>
              </w:rPr>
              <w:instrText xml:space="preserve"> PAGEREF _Toc458605160 \h </w:instrText>
            </w:r>
            <w:r w:rsidR="00BF20D3">
              <w:rPr>
                <w:noProof/>
                <w:webHidden/>
              </w:rPr>
            </w:r>
            <w:r w:rsidR="00BF20D3">
              <w:rPr>
                <w:noProof/>
                <w:webHidden/>
              </w:rPr>
              <w:fldChar w:fldCharType="separate"/>
            </w:r>
            <w:r w:rsidR="00C64905">
              <w:rPr>
                <w:noProof/>
                <w:webHidden/>
              </w:rPr>
              <w:t>20</w:t>
            </w:r>
            <w:r w:rsidR="00BF20D3">
              <w:rPr>
                <w:noProof/>
                <w:webHidden/>
              </w:rPr>
              <w:fldChar w:fldCharType="end"/>
            </w:r>
          </w:hyperlink>
        </w:p>
        <w:p w:rsidR="00BF20D3" w:rsidRDefault="00BF1167">
          <w:pPr>
            <w:pStyle w:val="TOC3"/>
            <w:tabs>
              <w:tab w:val="left" w:pos="880"/>
              <w:tab w:val="right" w:leader="dot" w:pos="9769"/>
            </w:tabs>
            <w:rPr>
              <w:noProof/>
              <w:lang w:eastAsia="en-AU"/>
            </w:rPr>
          </w:pPr>
          <w:hyperlink w:anchor="_Toc458605161" w:history="1">
            <w:r w:rsidR="00BF20D3" w:rsidRPr="00122F02">
              <w:rPr>
                <w:rStyle w:val="Hyperlink"/>
                <w:noProof/>
              </w:rPr>
              <w:t>ii.</w:t>
            </w:r>
            <w:r w:rsidR="00BF20D3">
              <w:rPr>
                <w:noProof/>
                <w:lang w:eastAsia="en-AU"/>
              </w:rPr>
              <w:tab/>
            </w:r>
            <w:r w:rsidR="00BF20D3" w:rsidRPr="00122F02">
              <w:rPr>
                <w:rStyle w:val="Hyperlink"/>
                <w:noProof/>
              </w:rPr>
              <w:t>Industrial buildings</w:t>
            </w:r>
            <w:r w:rsidR="00BF20D3">
              <w:rPr>
                <w:noProof/>
                <w:webHidden/>
              </w:rPr>
              <w:tab/>
            </w:r>
            <w:r w:rsidR="00BF20D3">
              <w:rPr>
                <w:noProof/>
                <w:webHidden/>
              </w:rPr>
              <w:fldChar w:fldCharType="begin"/>
            </w:r>
            <w:r w:rsidR="00BF20D3">
              <w:rPr>
                <w:noProof/>
                <w:webHidden/>
              </w:rPr>
              <w:instrText xml:space="preserve"> PAGEREF _Toc458605161 \h </w:instrText>
            </w:r>
            <w:r w:rsidR="00BF20D3">
              <w:rPr>
                <w:noProof/>
                <w:webHidden/>
              </w:rPr>
            </w:r>
            <w:r w:rsidR="00BF20D3">
              <w:rPr>
                <w:noProof/>
                <w:webHidden/>
              </w:rPr>
              <w:fldChar w:fldCharType="separate"/>
            </w:r>
            <w:r w:rsidR="00C64905">
              <w:rPr>
                <w:noProof/>
                <w:webHidden/>
              </w:rPr>
              <w:t>22</w:t>
            </w:r>
            <w:r w:rsidR="00BF20D3">
              <w:rPr>
                <w:noProof/>
                <w:webHidden/>
              </w:rPr>
              <w:fldChar w:fldCharType="end"/>
            </w:r>
          </w:hyperlink>
        </w:p>
        <w:p w:rsidR="00BF20D3" w:rsidRDefault="00BF1167">
          <w:pPr>
            <w:pStyle w:val="TOC3"/>
            <w:tabs>
              <w:tab w:val="left" w:pos="880"/>
              <w:tab w:val="right" w:leader="dot" w:pos="9769"/>
            </w:tabs>
            <w:rPr>
              <w:noProof/>
              <w:lang w:eastAsia="en-AU"/>
            </w:rPr>
          </w:pPr>
          <w:hyperlink w:anchor="_Toc458605162" w:history="1">
            <w:r w:rsidR="00BF20D3" w:rsidRPr="00122F02">
              <w:rPr>
                <w:rStyle w:val="Hyperlink"/>
                <w:noProof/>
              </w:rPr>
              <w:t>iii.</w:t>
            </w:r>
            <w:r w:rsidR="00BF20D3">
              <w:rPr>
                <w:noProof/>
                <w:lang w:eastAsia="en-AU"/>
              </w:rPr>
              <w:tab/>
            </w:r>
            <w:r w:rsidR="00BF20D3" w:rsidRPr="00122F02">
              <w:rPr>
                <w:rStyle w:val="Hyperlink"/>
                <w:noProof/>
              </w:rPr>
              <w:t>Other Non-Residential Buildings</w:t>
            </w:r>
            <w:r w:rsidR="00BF20D3">
              <w:rPr>
                <w:noProof/>
                <w:webHidden/>
              </w:rPr>
              <w:tab/>
            </w:r>
            <w:r w:rsidR="00BF20D3">
              <w:rPr>
                <w:noProof/>
                <w:webHidden/>
              </w:rPr>
              <w:fldChar w:fldCharType="begin"/>
            </w:r>
            <w:r w:rsidR="00BF20D3">
              <w:rPr>
                <w:noProof/>
                <w:webHidden/>
              </w:rPr>
              <w:instrText xml:space="preserve"> PAGEREF _Toc458605162 \h </w:instrText>
            </w:r>
            <w:r w:rsidR="00BF20D3">
              <w:rPr>
                <w:noProof/>
                <w:webHidden/>
              </w:rPr>
            </w:r>
            <w:r w:rsidR="00BF20D3">
              <w:rPr>
                <w:noProof/>
                <w:webHidden/>
              </w:rPr>
              <w:fldChar w:fldCharType="separate"/>
            </w:r>
            <w:r w:rsidR="00C64905">
              <w:rPr>
                <w:noProof/>
                <w:webHidden/>
              </w:rPr>
              <w:t>24</w:t>
            </w:r>
            <w:r w:rsidR="00BF20D3">
              <w:rPr>
                <w:noProof/>
                <w:webHidden/>
              </w:rPr>
              <w:fldChar w:fldCharType="end"/>
            </w:r>
          </w:hyperlink>
        </w:p>
        <w:p w:rsidR="00BF20D3" w:rsidRDefault="00BF1167">
          <w:pPr>
            <w:pStyle w:val="TOC1"/>
            <w:tabs>
              <w:tab w:val="left" w:pos="440"/>
              <w:tab w:val="right" w:leader="dot" w:pos="9769"/>
            </w:tabs>
            <w:rPr>
              <w:noProof/>
              <w:lang w:eastAsia="en-AU"/>
            </w:rPr>
          </w:pPr>
          <w:hyperlink w:anchor="_Toc458605163" w:history="1">
            <w:r w:rsidR="00BF20D3" w:rsidRPr="00122F02">
              <w:rPr>
                <w:rStyle w:val="Hyperlink"/>
                <w:noProof/>
              </w:rPr>
              <w:t>6.</w:t>
            </w:r>
            <w:r w:rsidR="00BF20D3">
              <w:rPr>
                <w:noProof/>
                <w:lang w:eastAsia="en-AU"/>
              </w:rPr>
              <w:tab/>
            </w:r>
            <w:r w:rsidR="00BF20D3" w:rsidRPr="00122F02">
              <w:rPr>
                <w:rStyle w:val="Hyperlink"/>
                <w:noProof/>
              </w:rPr>
              <w:t>Crane Counts</w:t>
            </w:r>
            <w:r w:rsidR="00BF20D3">
              <w:rPr>
                <w:noProof/>
                <w:webHidden/>
              </w:rPr>
              <w:tab/>
            </w:r>
            <w:r w:rsidR="00BF20D3">
              <w:rPr>
                <w:noProof/>
                <w:webHidden/>
              </w:rPr>
              <w:fldChar w:fldCharType="begin"/>
            </w:r>
            <w:r w:rsidR="00BF20D3">
              <w:rPr>
                <w:noProof/>
                <w:webHidden/>
              </w:rPr>
              <w:instrText xml:space="preserve"> PAGEREF _Toc458605163 \h </w:instrText>
            </w:r>
            <w:r w:rsidR="00BF20D3">
              <w:rPr>
                <w:noProof/>
                <w:webHidden/>
              </w:rPr>
            </w:r>
            <w:r w:rsidR="00BF20D3">
              <w:rPr>
                <w:noProof/>
                <w:webHidden/>
              </w:rPr>
              <w:fldChar w:fldCharType="separate"/>
            </w:r>
            <w:r w:rsidR="00C64905">
              <w:rPr>
                <w:noProof/>
                <w:webHidden/>
              </w:rPr>
              <w:t>26</w:t>
            </w:r>
            <w:r w:rsidR="00BF20D3">
              <w:rPr>
                <w:noProof/>
                <w:webHidden/>
              </w:rPr>
              <w:fldChar w:fldCharType="end"/>
            </w:r>
          </w:hyperlink>
        </w:p>
        <w:p w:rsidR="00BF20D3" w:rsidRDefault="00BF1167">
          <w:pPr>
            <w:pStyle w:val="TOC1"/>
            <w:tabs>
              <w:tab w:val="left" w:pos="440"/>
              <w:tab w:val="right" w:leader="dot" w:pos="9769"/>
            </w:tabs>
            <w:rPr>
              <w:noProof/>
              <w:lang w:eastAsia="en-AU"/>
            </w:rPr>
          </w:pPr>
          <w:hyperlink w:anchor="_Toc458605164" w:history="1">
            <w:r w:rsidR="00BF20D3" w:rsidRPr="00122F02">
              <w:rPr>
                <w:rStyle w:val="Hyperlink"/>
                <w:noProof/>
              </w:rPr>
              <w:t>7.</w:t>
            </w:r>
            <w:r w:rsidR="00BF20D3">
              <w:rPr>
                <w:noProof/>
                <w:lang w:eastAsia="en-AU"/>
              </w:rPr>
              <w:tab/>
            </w:r>
            <w:r w:rsidR="00BF20D3" w:rsidRPr="00122F02">
              <w:rPr>
                <w:rStyle w:val="Hyperlink"/>
                <w:noProof/>
              </w:rPr>
              <w:t>Construction Pipeline</w:t>
            </w:r>
            <w:r w:rsidR="00BF20D3">
              <w:rPr>
                <w:noProof/>
                <w:webHidden/>
              </w:rPr>
              <w:tab/>
            </w:r>
            <w:r w:rsidR="00BF20D3">
              <w:rPr>
                <w:noProof/>
                <w:webHidden/>
              </w:rPr>
              <w:fldChar w:fldCharType="begin"/>
            </w:r>
            <w:r w:rsidR="00BF20D3">
              <w:rPr>
                <w:noProof/>
                <w:webHidden/>
              </w:rPr>
              <w:instrText xml:space="preserve"> PAGEREF _Toc458605164 \h </w:instrText>
            </w:r>
            <w:r w:rsidR="00BF20D3">
              <w:rPr>
                <w:noProof/>
                <w:webHidden/>
              </w:rPr>
            </w:r>
            <w:r w:rsidR="00BF20D3">
              <w:rPr>
                <w:noProof/>
                <w:webHidden/>
              </w:rPr>
              <w:fldChar w:fldCharType="separate"/>
            </w:r>
            <w:r w:rsidR="00C64905">
              <w:rPr>
                <w:noProof/>
                <w:webHidden/>
              </w:rPr>
              <w:t>27</w:t>
            </w:r>
            <w:r w:rsidR="00BF20D3">
              <w:rPr>
                <w:noProof/>
                <w:webHidden/>
              </w:rPr>
              <w:fldChar w:fldCharType="end"/>
            </w:r>
          </w:hyperlink>
        </w:p>
        <w:p w:rsidR="00BF20D3" w:rsidRDefault="00BF1167">
          <w:pPr>
            <w:pStyle w:val="TOC1"/>
            <w:tabs>
              <w:tab w:val="left" w:pos="440"/>
              <w:tab w:val="right" w:leader="dot" w:pos="9769"/>
            </w:tabs>
            <w:rPr>
              <w:noProof/>
              <w:lang w:eastAsia="en-AU"/>
            </w:rPr>
          </w:pPr>
          <w:hyperlink w:anchor="_Toc458605165" w:history="1">
            <w:r w:rsidR="00BF20D3" w:rsidRPr="00122F02">
              <w:rPr>
                <w:rStyle w:val="Hyperlink"/>
                <w:noProof/>
              </w:rPr>
              <w:t>8.</w:t>
            </w:r>
            <w:r w:rsidR="00BF20D3">
              <w:rPr>
                <w:noProof/>
                <w:lang w:eastAsia="en-AU"/>
              </w:rPr>
              <w:tab/>
            </w:r>
            <w:r w:rsidR="009928AA">
              <w:rPr>
                <w:rStyle w:val="Hyperlink"/>
                <w:noProof/>
              </w:rPr>
              <w:t>Greenfield</w:t>
            </w:r>
            <w:r w:rsidR="00BF20D3" w:rsidRPr="00122F02">
              <w:rPr>
                <w:rStyle w:val="Hyperlink"/>
                <w:noProof/>
              </w:rPr>
              <w:t xml:space="preserve"> Developments in Melbourne’s Outer Growth Areas</w:t>
            </w:r>
            <w:r w:rsidR="00BF20D3">
              <w:rPr>
                <w:noProof/>
                <w:webHidden/>
              </w:rPr>
              <w:tab/>
            </w:r>
            <w:r w:rsidR="00BF20D3">
              <w:rPr>
                <w:noProof/>
                <w:webHidden/>
              </w:rPr>
              <w:fldChar w:fldCharType="begin"/>
            </w:r>
            <w:r w:rsidR="00BF20D3">
              <w:rPr>
                <w:noProof/>
                <w:webHidden/>
              </w:rPr>
              <w:instrText xml:space="preserve"> PAGEREF _Toc458605165 \h </w:instrText>
            </w:r>
            <w:r w:rsidR="00BF20D3">
              <w:rPr>
                <w:noProof/>
                <w:webHidden/>
              </w:rPr>
            </w:r>
            <w:r w:rsidR="00BF20D3">
              <w:rPr>
                <w:noProof/>
                <w:webHidden/>
              </w:rPr>
              <w:fldChar w:fldCharType="separate"/>
            </w:r>
            <w:r w:rsidR="00C64905">
              <w:rPr>
                <w:noProof/>
                <w:webHidden/>
              </w:rPr>
              <w:t>28</w:t>
            </w:r>
            <w:r w:rsidR="00BF20D3">
              <w:rPr>
                <w:noProof/>
                <w:webHidden/>
              </w:rPr>
              <w:fldChar w:fldCharType="end"/>
            </w:r>
          </w:hyperlink>
        </w:p>
        <w:p w:rsidR="00BF20D3" w:rsidRDefault="00BF1167">
          <w:pPr>
            <w:pStyle w:val="TOC2"/>
            <w:tabs>
              <w:tab w:val="left" w:pos="660"/>
              <w:tab w:val="right" w:leader="dot" w:pos="9769"/>
            </w:tabs>
            <w:rPr>
              <w:noProof/>
              <w:lang w:eastAsia="en-AU"/>
            </w:rPr>
          </w:pPr>
          <w:hyperlink w:anchor="_Toc458605166" w:history="1">
            <w:r w:rsidR="00BF20D3" w:rsidRPr="00122F02">
              <w:rPr>
                <w:rStyle w:val="Hyperlink"/>
                <w:noProof/>
              </w:rPr>
              <w:t>a)</w:t>
            </w:r>
            <w:r w:rsidR="00BF20D3">
              <w:rPr>
                <w:noProof/>
                <w:lang w:eastAsia="en-AU"/>
              </w:rPr>
              <w:tab/>
            </w:r>
            <w:r w:rsidR="00BF20D3" w:rsidRPr="00122F02">
              <w:rPr>
                <w:rStyle w:val="Hyperlink"/>
                <w:noProof/>
              </w:rPr>
              <w:t>Sales Rates</w:t>
            </w:r>
            <w:r w:rsidR="00BF20D3">
              <w:rPr>
                <w:noProof/>
                <w:webHidden/>
              </w:rPr>
              <w:tab/>
            </w:r>
            <w:r w:rsidR="00BF20D3">
              <w:rPr>
                <w:noProof/>
                <w:webHidden/>
              </w:rPr>
              <w:fldChar w:fldCharType="begin"/>
            </w:r>
            <w:r w:rsidR="00BF20D3">
              <w:rPr>
                <w:noProof/>
                <w:webHidden/>
              </w:rPr>
              <w:instrText xml:space="preserve"> PAGEREF _Toc458605166 \h </w:instrText>
            </w:r>
            <w:r w:rsidR="00BF20D3">
              <w:rPr>
                <w:noProof/>
                <w:webHidden/>
              </w:rPr>
            </w:r>
            <w:r w:rsidR="00BF20D3">
              <w:rPr>
                <w:noProof/>
                <w:webHidden/>
              </w:rPr>
              <w:fldChar w:fldCharType="separate"/>
            </w:r>
            <w:r w:rsidR="00C64905">
              <w:rPr>
                <w:noProof/>
                <w:webHidden/>
              </w:rPr>
              <w:t>28</w:t>
            </w:r>
            <w:r w:rsidR="00BF20D3">
              <w:rPr>
                <w:noProof/>
                <w:webHidden/>
              </w:rPr>
              <w:fldChar w:fldCharType="end"/>
            </w:r>
          </w:hyperlink>
        </w:p>
        <w:p w:rsidR="00BF20D3" w:rsidRDefault="00BF1167">
          <w:pPr>
            <w:pStyle w:val="TOC2"/>
            <w:tabs>
              <w:tab w:val="left" w:pos="660"/>
              <w:tab w:val="right" w:leader="dot" w:pos="9769"/>
            </w:tabs>
            <w:rPr>
              <w:noProof/>
              <w:lang w:eastAsia="en-AU"/>
            </w:rPr>
          </w:pPr>
          <w:hyperlink w:anchor="_Toc458605167" w:history="1">
            <w:r w:rsidR="00BF20D3" w:rsidRPr="00122F02">
              <w:rPr>
                <w:rStyle w:val="Hyperlink"/>
                <w:noProof/>
              </w:rPr>
              <w:t>b)</w:t>
            </w:r>
            <w:r w:rsidR="00BF20D3">
              <w:rPr>
                <w:noProof/>
                <w:lang w:eastAsia="en-AU"/>
              </w:rPr>
              <w:tab/>
            </w:r>
            <w:r w:rsidR="00BF20D3" w:rsidRPr="00122F02">
              <w:rPr>
                <w:rStyle w:val="Hyperlink"/>
                <w:noProof/>
              </w:rPr>
              <w:t>Supply and Stock</w:t>
            </w:r>
            <w:r w:rsidR="00BF20D3">
              <w:rPr>
                <w:noProof/>
                <w:webHidden/>
              </w:rPr>
              <w:tab/>
            </w:r>
            <w:r w:rsidR="00BF20D3">
              <w:rPr>
                <w:noProof/>
                <w:webHidden/>
              </w:rPr>
              <w:fldChar w:fldCharType="begin"/>
            </w:r>
            <w:r w:rsidR="00BF20D3">
              <w:rPr>
                <w:noProof/>
                <w:webHidden/>
              </w:rPr>
              <w:instrText xml:space="preserve"> PAGEREF _Toc458605167 \h </w:instrText>
            </w:r>
            <w:r w:rsidR="00BF20D3">
              <w:rPr>
                <w:noProof/>
                <w:webHidden/>
              </w:rPr>
            </w:r>
            <w:r w:rsidR="00BF20D3">
              <w:rPr>
                <w:noProof/>
                <w:webHidden/>
              </w:rPr>
              <w:fldChar w:fldCharType="separate"/>
            </w:r>
            <w:r w:rsidR="00C64905">
              <w:rPr>
                <w:noProof/>
                <w:webHidden/>
              </w:rPr>
              <w:t>29</w:t>
            </w:r>
            <w:r w:rsidR="00BF20D3">
              <w:rPr>
                <w:noProof/>
                <w:webHidden/>
              </w:rPr>
              <w:fldChar w:fldCharType="end"/>
            </w:r>
          </w:hyperlink>
        </w:p>
        <w:p w:rsidR="00BF20D3" w:rsidRPr="00BF20D3" w:rsidRDefault="00BF1167">
          <w:pPr>
            <w:pStyle w:val="TOC2"/>
            <w:tabs>
              <w:tab w:val="left" w:pos="660"/>
              <w:tab w:val="right" w:leader="dot" w:pos="9769"/>
            </w:tabs>
            <w:rPr>
              <w:noProof/>
              <w:lang w:eastAsia="en-AU"/>
            </w:rPr>
          </w:pPr>
          <w:hyperlink w:anchor="_Toc458605168" w:history="1">
            <w:r w:rsidR="00BF20D3" w:rsidRPr="00BF20D3">
              <w:rPr>
                <w:rStyle w:val="Hyperlink"/>
                <w:noProof/>
              </w:rPr>
              <w:t>c)</w:t>
            </w:r>
            <w:r w:rsidR="00BF20D3" w:rsidRPr="00BF20D3">
              <w:rPr>
                <w:noProof/>
                <w:lang w:eastAsia="en-AU"/>
              </w:rPr>
              <w:tab/>
            </w:r>
            <w:r w:rsidR="00BF20D3" w:rsidRPr="00BF20D3">
              <w:rPr>
                <w:rStyle w:val="Hyperlink"/>
                <w:noProof/>
              </w:rPr>
              <w:t>Price of Greenfield Lots</w:t>
            </w:r>
            <w:r w:rsidR="00BF20D3" w:rsidRPr="00BF20D3">
              <w:rPr>
                <w:noProof/>
                <w:webHidden/>
              </w:rPr>
              <w:tab/>
            </w:r>
            <w:r w:rsidR="00BF20D3" w:rsidRPr="00BF20D3">
              <w:rPr>
                <w:noProof/>
                <w:webHidden/>
              </w:rPr>
              <w:fldChar w:fldCharType="begin"/>
            </w:r>
            <w:r w:rsidR="00BF20D3" w:rsidRPr="00BF20D3">
              <w:rPr>
                <w:noProof/>
                <w:webHidden/>
              </w:rPr>
              <w:instrText xml:space="preserve"> PAGEREF _Toc458605168 \h </w:instrText>
            </w:r>
            <w:r w:rsidR="00BF20D3" w:rsidRPr="00BF20D3">
              <w:rPr>
                <w:noProof/>
                <w:webHidden/>
              </w:rPr>
            </w:r>
            <w:r w:rsidR="00BF20D3" w:rsidRPr="00BF20D3">
              <w:rPr>
                <w:noProof/>
                <w:webHidden/>
              </w:rPr>
              <w:fldChar w:fldCharType="separate"/>
            </w:r>
            <w:r w:rsidR="00C64905">
              <w:rPr>
                <w:noProof/>
                <w:webHidden/>
              </w:rPr>
              <w:t>30</w:t>
            </w:r>
            <w:r w:rsidR="00BF20D3" w:rsidRPr="00BF20D3">
              <w:rPr>
                <w:noProof/>
                <w:webHidden/>
              </w:rPr>
              <w:fldChar w:fldCharType="end"/>
            </w:r>
          </w:hyperlink>
        </w:p>
        <w:p w:rsidR="00BF20D3" w:rsidRPr="00BF20D3" w:rsidRDefault="00BF1167">
          <w:pPr>
            <w:pStyle w:val="TOC2"/>
            <w:tabs>
              <w:tab w:val="left" w:pos="660"/>
              <w:tab w:val="right" w:leader="dot" w:pos="9769"/>
            </w:tabs>
            <w:rPr>
              <w:noProof/>
              <w:lang w:eastAsia="en-AU"/>
            </w:rPr>
          </w:pPr>
          <w:hyperlink w:anchor="_Toc458605169" w:history="1">
            <w:r w:rsidR="00BF20D3" w:rsidRPr="00BF20D3">
              <w:rPr>
                <w:rStyle w:val="Hyperlink"/>
                <w:noProof/>
              </w:rPr>
              <w:t>d)</w:t>
            </w:r>
            <w:r w:rsidR="00BF20D3" w:rsidRPr="00BF20D3">
              <w:rPr>
                <w:noProof/>
                <w:lang w:eastAsia="en-AU"/>
              </w:rPr>
              <w:tab/>
            </w:r>
            <w:r w:rsidR="00BF20D3" w:rsidRPr="00BF20D3">
              <w:rPr>
                <w:rStyle w:val="Hyperlink"/>
                <w:noProof/>
              </w:rPr>
              <w:t>Supply of PSP land</w:t>
            </w:r>
            <w:r w:rsidR="00BF20D3" w:rsidRPr="00BF20D3">
              <w:rPr>
                <w:noProof/>
                <w:webHidden/>
              </w:rPr>
              <w:tab/>
            </w:r>
            <w:r w:rsidR="00BF20D3" w:rsidRPr="00BF20D3">
              <w:rPr>
                <w:noProof/>
                <w:webHidden/>
              </w:rPr>
              <w:fldChar w:fldCharType="begin"/>
            </w:r>
            <w:r w:rsidR="00BF20D3" w:rsidRPr="00BF20D3">
              <w:rPr>
                <w:noProof/>
                <w:webHidden/>
              </w:rPr>
              <w:instrText xml:space="preserve"> PAGEREF _Toc458605169 \h </w:instrText>
            </w:r>
            <w:r w:rsidR="00BF20D3" w:rsidRPr="00BF20D3">
              <w:rPr>
                <w:noProof/>
                <w:webHidden/>
              </w:rPr>
            </w:r>
            <w:r w:rsidR="00BF20D3" w:rsidRPr="00BF20D3">
              <w:rPr>
                <w:noProof/>
                <w:webHidden/>
              </w:rPr>
              <w:fldChar w:fldCharType="separate"/>
            </w:r>
            <w:r w:rsidR="00C64905">
              <w:rPr>
                <w:noProof/>
                <w:webHidden/>
              </w:rPr>
              <w:t>31</w:t>
            </w:r>
            <w:r w:rsidR="00BF20D3" w:rsidRPr="00BF20D3">
              <w:rPr>
                <w:noProof/>
                <w:webHidden/>
              </w:rPr>
              <w:fldChar w:fldCharType="end"/>
            </w:r>
          </w:hyperlink>
        </w:p>
        <w:p w:rsidR="00BF20D3" w:rsidRDefault="00BF1167">
          <w:pPr>
            <w:pStyle w:val="TOC1"/>
            <w:tabs>
              <w:tab w:val="left" w:pos="440"/>
              <w:tab w:val="right" w:leader="dot" w:pos="9769"/>
            </w:tabs>
            <w:rPr>
              <w:noProof/>
              <w:lang w:eastAsia="en-AU"/>
            </w:rPr>
          </w:pPr>
          <w:hyperlink w:anchor="_Toc458605170" w:history="1">
            <w:r w:rsidR="00BF20D3" w:rsidRPr="00122F02">
              <w:rPr>
                <w:rStyle w:val="Hyperlink"/>
                <w:noProof/>
              </w:rPr>
              <w:t>9.</w:t>
            </w:r>
            <w:r w:rsidR="00BF20D3">
              <w:rPr>
                <w:noProof/>
                <w:lang w:eastAsia="en-AU"/>
              </w:rPr>
              <w:tab/>
            </w:r>
            <w:r w:rsidR="00BF20D3" w:rsidRPr="00122F02">
              <w:rPr>
                <w:rStyle w:val="Hyperlink"/>
                <w:noProof/>
              </w:rPr>
              <w:t>Property Sales</w:t>
            </w:r>
            <w:r w:rsidR="00BF20D3">
              <w:rPr>
                <w:noProof/>
                <w:webHidden/>
              </w:rPr>
              <w:tab/>
            </w:r>
            <w:r w:rsidR="00BF20D3">
              <w:rPr>
                <w:noProof/>
                <w:webHidden/>
              </w:rPr>
              <w:fldChar w:fldCharType="begin"/>
            </w:r>
            <w:r w:rsidR="00BF20D3">
              <w:rPr>
                <w:noProof/>
                <w:webHidden/>
              </w:rPr>
              <w:instrText xml:space="preserve"> PAGEREF _Toc458605170 \h </w:instrText>
            </w:r>
            <w:r w:rsidR="00BF20D3">
              <w:rPr>
                <w:noProof/>
                <w:webHidden/>
              </w:rPr>
            </w:r>
            <w:r w:rsidR="00BF20D3">
              <w:rPr>
                <w:noProof/>
                <w:webHidden/>
              </w:rPr>
              <w:fldChar w:fldCharType="separate"/>
            </w:r>
            <w:r w:rsidR="00C64905">
              <w:rPr>
                <w:noProof/>
                <w:webHidden/>
              </w:rPr>
              <w:t>32</w:t>
            </w:r>
            <w:r w:rsidR="00BF20D3">
              <w:rPr>
                <w:noProof/>
                <w:webHidden/>
              </w:rPr>
              <w:fldChar w:fldCharType="end"/>
            </w:r>
          </w:hyperlink>
        </w:p>
        <w:p w:rsidR="00BF20D3" w:rsidRDefault="00BF1167">
          <w:pPr>
            <w:pStyle w:val="TOC1"/>
            <w:tabs>
              <w:tab w:val="left" w:pos="660"/>
              <w:tab w:val="right" w:leader="dot" w:pos="9769"/>
            </w:tabs>
            <w:rPr>
              <w:noProof/>
              <w:lang w:eastAsia="en-AU"/>
            </w:rPr>
          </w:pPr>
          <w:hyperlink w:anchor="_Toc458605171" w:history="1">
            <w:r w:rsidR="00BF20D3" w:rsidRPr="00122F02">
              <w:rPr>
                <w:rStyle w:val="Hyperlink"/>
                <w:noProof/>
              </w:rPr>
              <w:t>10.</w:t>
            </w:r>
            <w:r w:rsidR="00BF20D3">
              <w:rPr>
                <w:noProof/>
                <w:lang w:eastAsia="en-AU"/>
              </w:rPr>
              <w:tab/>
            </w:r>
            <w:r w:rsidR="00BF20D3" w:rsidRPr="00122F02">
              <w:rPr>
                <w:rStyle w:val="Hyperlink"/>
                <w:noProof/>
              </w:rPr>
              <w:t>Rents</w:t>
            </w:r>
            <w:r w:rsidR="00BF20D3">
              <w:rPr>
                <w:noProof/>
                <w:webHidden/>
              </w:rPr>
              <w:tab/>
            </w:r>
            <w:r w:rsidR="00BF20D3">
              <w:rPr>
                <w:noProof/>
                <w:webHidden/>
              </w:rPr>
              <w:fldChar w:fldCharType="begin"/>
            </w:r>
            <w:r w:rsidR="00BF20D3">
              <w:rPr>
                <w:noProof/>
                <w:webHidden/>
              </w:rPr>
              <w:instrText xml:space="preserve"> PAGEREF _Toc458605171 \h </w:instrText>
            </w:r>
            <w:r w:rsidR="00BF20D3">
              <w:rPr>
                <w:noProof/>
                <w:webHidden/>
              </w:rPr>
            </w:r>
            <w:r w:rsidR="00BF20D3">
              <w:rPr>
                <w:noProof/>
                <w:webHidden/>
              </w:rPr>
              <w:fldChar w:fldCharType="separate"/>
            </w:r>
            <w:r w:rsidR="00C64905">
              <w:rPr>
                <w:noProof/>
                <w:webHidden/>
              </w:rPr>
              <w:t>38</w:t>
            </w:r>
            <w:r w:rsidR="00BF20D3">
              <w:rPr>
                <w:noProof/>
                <w:webHidden/>
              </w:rPr>
              <w:fldChar w:fldCharType="end"/>
            </w:r>
          </w:hyperlink>
        </w:p>
        <w:p w:rsidR="00BF20D3" w:rsidRDefault="00BF1167">
          <w:pPr>
            <w:pStyle w:val="TOC1"/>
            <w:tabs>
              <w:tab w:val="left" w:pos="660"/>
              <w:tab w:val="right" w:leader="dot" w:pos="9769"/>
            </w:tabs>
            <w:rPr>
              <w:noProof/>
              <w:lang w:eastAsia="en-AU"/>
            </w:rPr>
          </w:pPr>
          <w:hyperlink w:anchor="_Toc458605172" w:history="1">
            <w:r w:rsidR="00BF20D3" w:rsidRPr="00122F02">
              <w:rPr>
                <w:rStyle w:val="Hyperlink"/>
                <w:noProof/>
              </w:rPr>
              <w:t>11.</w:t>
            </w:r>
            <w:r w:rsidR="00BF20D3">
              <w:rPr>
                <w:noProof/>
                <w:lang w:eastAsia="en-AU"/>
              </w:rPr>
              <w:tab/>
            </w:r>
            <w:r w:rsidR="00BF20D3" w:rsidRPr="00122F02">
              <w:rPr>
                <w:rStyle w:val="Hyperlink"/>
                <w:noProof/>
              </w:rPr>
              <w:t>Residential Rental Bonds</w:t>
            </w:r>
            <w:r w:rsidR="00BF20D3">
              <w:rPr>
                <w:noProof/>
                <w:webHidden/>
              </w:rPr>
              <w:tab/>
            </w:r>
            <w:r w:rsidR="00BF20D3">
              <w:rPr>
                <w:noProof/>
                <w:webHidden/>
              </w:rPr>
              <w:fldChar w:fldCharType="begin"/>
            </w:r>
            <w:r w:rsidR="00BF20D3">
              <w:rPr>
                <w:noProof/>
                <w:webHidden/>
              </w:rPr>
              <w:instrText xml:space="preserve"> PAGEREF _Toc458605172 \h </w:instrText>
            </w:r>
            <w:r w:rsidR="00BF20D3">
              <w:rPr>
                <w:noProof/>
                <w:webHidden/>
              </w:rPr>
            </w:r>
            <w:r w:rsidR="00BF20D3">
              <w:rPr>
                <w:noProof/>
                <w:webHidden/>
              </w:rPr>
              <w:fldChar w:fldCharType="separate"/>
            </w:r>
            <w:r w:rsidR="00C64905">
              <w:rPr>
                <w:noProof/>
                <w:webHidden/>
              </w:rPr>
              <w:t>44</w:t>
            </w:r>
            <w:r w:rsidR="00BF20D3">
              <w:rPr>
                <w:noProof/>
                <w:webHidden/>
              </w:rPr>
              <w:fldChar w:fldCharType="end"/>
            </w:r>
          </w:hyperlink>
        </w:p>
        <w:p w:rsidR="00BF20D3" w:rsidRDefault="00BF1167">
          <w:pPr>
            <w:pStyle w:val="TOC1"/>
            <w:tabs>
              <w:tab w:val="left" w:pos="660"/>
              <w:tab w:val="right" w:leader="dot" w:pos="9769"/>
            </w:tabs>
            <w:rPr>
              <w:noProof/>
              <w:lang w:eastAsia="en-AU"/>
            </w:rPr>
          </w:pPr>
          <w:hyperlink w:anchor="_Toc458605173" w:history="1">
            <w:r w:rsidR="00BF20D3" w:rsidRPr="00122F02">
              <w:rPr>
                <w:rStyle w:val="Hyperlink"/>
                <w:noProof/>
              </w:rPr>
              <w:t>12.</w:t>
            </w:r>
            <w:r w:rsidR="00BF20D3">
              <w:rPr>
                <w:noProof/>
                <w:lang w:eastAsia="en-AU"/>
              </w:rPr>
              <w:tab/>
            </w:r>
            <w:r w:rsidR="00BF20D3" w:rsidRPr="00122F02">
              <w:rPr>
                <w:rStyle w:val="Hyperlink"/>
                <w:noProof/>
              </w:rPr>
              <w:t>Unemployment</w:t>
            </w:r>
            <w:r w:rsidR="00BF20D3">
              <w:rPr>
                <w:noProof/>
                <w:webHidden/>
              </w:rPr>
              <w:tab/>
            </w:r>
            <w:r w:rsidR="00BF20D3">
              <w:rPr>
                <w:noProof/>
                <w:webHidden/>
              </w:rPr>
              <w:fldChar w:fldCharType="begin"/>
            </w:r>
            <w:r w:rsidR="00BF20D3">
              <w:rPr>
                <w:noProof/>
                <w:webHidden/>
              </w:rPr>
              <w:instrText xml:space="preserve"> PAGEREF _Toc458605173 \h </w:instrText>
            </w:r>
            <w:r w:rsidR="00BF20D3">
              <w:rPr>
                <w:noProof/>
                <w:webHidden/>
              </w:rPr>
            </w:r>
            <w:r w:rsidR="00BF20D3">
              <w:rPr>
                <w:noProof/>
                <w:webHidden/>
              </w:rPr>
              <w:fldChar w:fldCharType="separate"/>
            </w:r>
            <w:r w:rsidR="00C64905">
              <w:rPr>
                <w:noProof/>
                <w:webHidden/>
              </w:rPr>
              <w:t>48</w:t>
            </w:r>
            <w:r w:rsidR="00BF20D3">
              <w:rPr>
                <w:noProof/>
                <w:webHidden/>
              </w:rPr>
              <w:fldChar w:fldCharType="end"/>
            </w:r>
          </w:hyperlink>
        </w:p>
        <w:p w:rsidR="00BF20D3" w:rsidRDefault="00BF1167">
          <w:pPr>
            <w:pStyle w:val="TOC1"/>
            <w:tabs>
              <w:tab w:val="left" w:pos="660"/>
              <w:tab w:val="right" w:leader="dot" w:pos="9769"/>
            </w:tabs>
            <w:rPr>
              <w:noProof/>
              <w:lang w:eastAsia="en-AU"/>
            </w:rPr>
          </w:pPr>
          <w:hyperlink w:anchor="_Toc458605174" w:history="1">
            <w:r w:rsidR="00BF20D3" w:rsidRPr="00122F02">
              <w:rPr>
                <w:rStyle w:val="Hyperlink"/>
                <w:noProof/>
              </w:rPr>
              <w:t>13.</w:t>
            </w:r>
            <w:r w:rsidR="00BF20D3">
              <w:rPr>
                <w:noProof/>
                <w:lang w:eastAsia="en-AU"/>
              </w:rPr>
              <w:tab/>
            </w:r>
            <w:r w:rsidR="00BF20D3" w:rsidRPr="00122F02">
              <w:rPr>
                <w:rStyle w:val="Hyperlink"/>
                <w:noProof/>
              </w:rPr>
              <w:t>Employment Mix of Victoria</w:t>
            </w:r>
            <w:r w:rsidR="00BF20D3">
              <w:rPr>
                <w:noProof/>
                <w:webHidden/>
              </w:rPr>
              <w:tab/>
            </w:r>
            <w:r w:rsidR="00BF20D3">
              <w:rPr>
                <w:noProof/>
                <w:webHidden/>
              </w:rPr>
              <w:fldChar w:fldCharType="begin"/>
            </w:r>
            <w:r w:rsidR="00BF20D3">
              <w:rPr>
                <w:noProof/>
                <w:webHidden/>
              </w:rPr>
              <w:instrText xml:space="preserve"> PAGEREF _Toc458605174 \h </w:instrText>
            </w:r>
            <w:r w:rsidR="00BF20D3">
              <w:rPr>
                <w:noProof/>
                <w:webHidden/>
              </w:rPr>
            </w:r>
            <w:r w:rsidR="00BF20D3">
              <w:rPr>
                <w:noProof/>
                <w:webHidden/>
              </w:rPr>
              <w:fldChar w:fldCharType="separate"/>
            </w:r>
            <w:r w:rsidR="00C64905">
              <w:rPr>
                <w:noProof/>
                <w:webHidden/>
              </w:rPr>
              <w:t>54</w:t>
            </w:r>
            <w:r w:rsidR="00BF20D3">
              <w:rPr>
                <w:noProof/>
                <w:webHidden/>
              </w:rPr>
              <w:fldChar w:fldCharType="end"/>
            </w:r>
          </w:hyperlink>
        </w:p>
        <w:p w:rsidR="00BF20D3" w:rsidRDefault="00BF1167">
          <w:pPr>
            <w:pStyle w:val="TOC1"/>
            <w:tabs>
              <w:tab w:val="right" w:leader="dot" w:pos="9769"/>
            </w:tabs>
            <w:rPr>
              <w:noProof/>
              <w:lang w:eastAsia="en-AU"/>
            </w:rPr>
          </w:pPr>
          <w:hyperlink w:anchor="_Toc458605175" w:history="1">
            <w:r w:rsidR="00BF20D3" w:rsidRPr="00122F02">
              <w:rPr>
                <w:rStyle w:val="Hyperlink"/>
                <w:noProof/>
              </w:rPr>
              <w:t>APPENDICES</w:t>
            </w:r>
            <w:r w:rsidR="00BF20D3">
              <w:rPr>
                <w:noProof/>
                <w:webHidden/>
              </w:rPr>
              <w:tab/>
            </w:r>
            <w:r w:rsidR="00BF20D3">
              <w:rPr>
                <w:noProof/>
                <w:webHidden/>
              </w:rPr>
              <w:fldChar w:fldCharType="begin"/>
            </w:r>
            <w:r w:rsidR="00BF20D3">
              <w:rPr>
                <w:noProof/>
                <w:webHidden/>
              </w:rPr>
              <w:instrText xml:space="preserve"> PAGEREF _Toc458605175 \h </w:instrText>
            </w:r>
            <w:r w:rsidR="00BF20D3">
              <w:rPr>
                <w:noProof/>
                <w:webHidden/>
              </w:rPr>
            </w:r>
            <w:r w:rsidR="00BF20D3">
              <w:rPr>
                <w:noProof/>
                <w:webHidden/>
              </w:rPr>
              <w:fldChar w:fldCharType="separate"/>
            </w:r>
            <w:r w:rsidR="00C64905">
              <w:rPr>
                <w:noProof/>
                <w:webHidden/>
              </w:rPr>
              <w:t>56</w:t>
            </w:r>
            <w:r w:rsidR="00BF20D3">
              <w:rPr>
                <w:noProof/>
                <w:webHidden/>
              </w:rPr>
              <w:fldChar w:fldCharType="end"/>
            </w:r>
          </w:hyperlink>
        </w:p>
        <w:p w:rsidR="00626AB9" w:rsidRPr="00BF20D3" w:rsidRDefault="00626AB9">
          <w:r w:rsidRPr="00BF20D3">
            <w:rPr>
              <w:b/>
              <w:bCs/>
              <w:noProof/>
              <w:sz w:val="20"/>
            </w:rPr>
            <w:fldChar w:fldCharType="end"/>
          </w:r>
        </w:p>
      </w:sdtContent>
    </w:sdt>
    <w:p w:rsidR="00626AB9" w:rsidRPr="00BF20D3" w:rsidRDefault="00626AB9">
      <w:pPr>
        <w:rPr>
          <w:b/>
        </w:rPr>
      </w:pPr>
    </w:p>
    <w:p w:rsidR="00626AB9" w:rsidRPr="00BF20D3" w:rsidRDefault="00626AB9"/>
    <w:p w:rsidR="001A12FA" w:rsidRPr="00BF20D3" w:rsidRDefault="001A12FA">
      <w:pPr>
        <w:rPr>
          <w:rFonts w:asciiTheme="majorHAnsi" w:eastAsiaTheme="majorEastAsia" w:hAnsiTheme="majorHAnsi" w:cstheme="majorBidi"/>
          <w:b/>
          <w:caps/>
          <w:sz w:val="24"/>
          <w:szCs w:val="36"/>
        </w:rPr>
      </w:pPr>
      <w:bookmarkStart w:id="3" w:name="_Toc437436622"/>
      <w:r w:rsidRPr="00BF20D3">
        <w:rPr>
          <w:b/>
          <w:sz w:val="24"/>
        </w:rPr>
        <w:br w:type="page"/>
      </w:r>
    </w:p>
    <w:p w:rsidR="00F258E5" w:rsidRPr="0014025C" w:rsidRDefault="00F258E5" w:rsidP="0072166A">
      <w:pPr>
        <w:pStyle w:val="Heading1"/>
        <w:rPr>
          <w:color w:val="002060"/>
        </w:rPr>
      </w:pPr>
      <w:bookmarkStart w:id="4" w:name="_Toc458605152"/>
      <w:r w:rsidRPr="0014025C">
        <w:rPr>
          <w:color w:val="002060"/>
        </w:rPr>
        <w:lastRenderedPageBreak/>
        <w:t xml:space="preserve">Executive Summary – KEY DEMOGRAPHIC </w:t>
      </w:r>
      <w:r w:rsidR="00055988" w:rsidRPr="0014025C">
        <w:rPr>
          <w:color w:val="002060"/>
        </w:rPr>
        <w:t xml:space="preserve">AND ECONOMIC </w:t>
      </w:r>
      <w:r w:rsidRPr="0014025C">
        <w:rPr>
          <w:color w:val="002060"/>
        </w:rPr>
        <w:t>METRICS UPDATE</w:t>
      </w:r>
      <w:bookmarkEnd w:id="4"/>
    </w:p>
    <w:p w:rsidR="002F348B" w:rsidRPr="00BF20D3" w:rsidRDefault="002F348B" w:rsidP="00133B2E">
      <w:pPr>
        <w:pStyle w:val="ListParagraph"/>
        <w:numPr>
          <w:ilvl w:val="0"/>
          <w:numId w:val="5"/>
        </w:numPr>
        <w:tabs>
          <w:tab w:val="left" w:pos="426"/>
        </w:tabs>
        <w:spacing w:before="240" w:after="120"/>
        <w:ind w:left="425" w:hanging="425"/>
        <w:rPr>
          <w:sz w:val="20"/>
        </w:rPr>
      </w:pPr>
      <w:r w:rsidRPr="00BF20D3">
        <w:rPr>
          <w:sz w:val="20"/>
        </w:rPr>
        <w:t>A</w:t>
      </w:r>
      <w:r w:rsidR="00AC6980" w:rsidRPr="00BF20D3">
        <w:rPr>
          <w:sz w:val="20"/>
        </w:rPr>
        <w:t>s a</w:t>
      </w:r>
      <w:r w:rsidRPr="00BF20D3">
        <w:rPr>
          <w:sz w:val="20"/>
        </w:rPr>
        <w:t xml:space="preserve">t </w:t>
      </w:r>
      <w:r w:rsidR="00572759">
        <w:rPr>
          <w:sz w:val="20"/>
        </w:rPr>
        <w:t>end of 2015</w:t>
      </w:r>
      <w:r w:rsidRPr="00BF20D3">
        <w:rPr>
          <w:sz w:val="20"/>
        </w:rPr>
        <w:t xml:space="preserve">, Victoria had a population of </w:t>
      </w:r>
      <w:r w:rsidR="00D9799B" w:rsidRPr="00BF20D3">
        <w:rPr>
          <w:sz w:val="20"/>
        </w:rPr>
        <w:t xml:space="preserve">5,996,285 </w:t>
      </w:r>
      <w:r w:rsidRPr="00BF20D3">
        <w:rPr>
          <w:sz w:val="20"/>
        </w:rPr>
        <w:t>and</w:t>
      </w:r>
      <w:r w:rsidR="00D9799B" w:rsidRPr="00BF20D3">
        <w:rPr>
          <w:sz w:val="20"/>
        </w:rPr>
        <w:t xml:space="preserve"> was growing at a rate of over</w:t>
      </w:r>
      <w:r w:rsidRPr="00BF20D3">
        <w:rPr>
          <w:sz w:val="20"/>
        </w:rPr>
        <w:t xml:space="preserve"> 100,000 people per year. This is the strongest population growth of any </w:t>
      </w:r>
      <w:r w:rsidR="00055988" w:rsidRPr="00BF20D3">
        <w:rPr>
          <w:sz w:val="20"/>
        </w:rPr>
        <w:t xml:space="preserve">Australian </w:t>
      </w:r>
      <w:r w:rsidRPr="00BF20D3">
        <w:rPr>
          <w:sz w:val="20"/>
        </w:rPr>
        <w:t>state or territory.</w:t>
      </w:r>
      <w:r w:rsidR="00DD2EB9" w:rsidRPr="00BF20D3">
        <w:rPr>
          <w:sz w:val="20"/>
        </w:rPr>
        <w:t xml:space="preserve"> It is likely Victoria crossed the 6 million person mark</w:t>
      </w:r>
      <w:r w:rsidR="00D9799B" w:rsidRPr="00BF20D3">
        <w:rPr>
          <w:sz w:val="20"/>
        </w:rPr>
        <w:t xml:space="preserve"> in early January</w:t>
      </w:r>
      <w:r w:rsidR="00DD2EB9" w:rsidRPr="00BF20D3">
        <w:rPr>
          <w:sz w:val="20"/>
        </w:rPr>
        <w:t>.</w:t>
      </w:r>
    </w:p>
    <w:p w:rsidR="00457D55" w:rsidRPr="00BF20D3" w:rsidRDefault="00457D55" w:rsidP="00133B2E">
      <w:pPr>
        <w:pStyle w:val="ListParagraph"/>
        <w:numPr>
          <w:ilvl w:val="0"/>
          <w:numId w:val="5"/>
        </w:numPr>
        <w:tabs>
          <w:tab w:val="left" w:pos="426"/>
        </w:tabs>
        <w:spacing w:before="240" w:after="120"/>
        <w:ind w:left="425" w:hanging="425"/>
        <w:rPr>
          <w:sz w:val="20"/>
        </w:rPr>
      </w:pPr>
      <w:r w:rsidRPr="00BF20D3">
        <w:rPr>
          <w:sz w:val="20"/>
        </w:rPr>
        <w:t>At present, approximately 75% of the State’s population live in metropolitan Melbourne and 25% in Regional Victoria.</w:t>
      </w:r>
    </w:p>
    <w:p w:rsidR="002F348B" w:rsidRPr="00BF20D3" w:rsidRDefault="002F348B" w:rsidP="00133B2E">
      <w:pPr>
        <w:pStyle w:val="ListParagraph"/>
        <w:numPr>
          <w:ilvl w:val="0"/>
          <w:numId w:val="5"/>
        </w:numPr>
        <w:tabs>
          <w:tab w:val="left" w:pos="426"/>
        </w:tabs>
        <w:spacing w:before="240" w:after="120"/>
        <w:ind w:left="425" w:hanging="425"/>
        <w:rPr>
          <w:sz w:val="20"/>
        </w:rPr>
      </w:pPr>
      <w:r w:rsidRPr="00BF20D3">
        <w:rPr>
          <w:sz w:val="20"/>
        </w:rPr>
        <w:t>Victoria has had the highest interstate migrati</w:t>
      </w:r>
      <w:r w:rsidR="00DD2EB9" w:rsidRPr="00BF20D3">
        <w:rPr>
          <w:sz w:val="20"/>
        </w:rPr>
        <w:t xml:space="preserve">on in living memory with more than </w:t>
      </w:r>
      <w:r w:rsidR="00D9799B" w:rsidRPr="00BF20D3">
        <w:rPr>
          <w:sz w:val="20"/>
        </w:rPr>
        <w:t>13</w:t>
      </w:r>
      <w:r w:rsidRPr="00BF20D3">
        <w:rPr>
          <w:sz w:val="20"/>
        </w:rPr>
        <w:t>,000 people moving from interstate</w:t>
      </w:r>
      <w:r w:rsidR="00A570F0" w:rsidRPr="00BF20D3">
        <w:rPr>
          <w:sz w:val="20"/>
        </w:rPr>
        <w:t xml:space="preserve"> in the past year</w:t>
      </w:r>
      <w:r w:rsidRPr="00BF20D3">
        <w:rPr>
          <w:sz w:val="20"/>
        </w:rPr>
        <w:t>.</w:t>
      </w:r>
    </w:p>
    <w:p w:rsidR="002F348B" w:rsidRPr="00BF20D3" w:rsidRDefault="00A570F0" w:rsidP="00133B2E">
      <w:pPr>
        <w:pStyle w:val="ListParagraph"/>
        <w:numPr>
          <w:ilvl w:val="0"/>
          <w:numId w:val="5"/>
        </w:numPr>
        <w:tabs>
          <w:tab w:val="left" w:pos="426"/>
        </w:tabs>
        <w:spacing w:before="240" w:after="120"/>
        <w:ind w:left="425" w:hanging="425"/>
        <w:rPr>
          <w:sz w:val="20"/>
        </w:rPr>
      </w:pPr>
      <w:r w:rsidRPr="00BF20D3">
        <w:rPr>
          <w:sz w:val="20"/>
        </w:rPr>
        <w:t>Within Melbourne, t</w:t>
      </w:r>
      <w:r w:rsidR="002F348B" w:rsidRPr="00BF20D3">
        <w:rPr>
          <w:sz w:val="20"/>
        </w:rPr>
        <w:t xml:space="preserve">he </w:t>
      </w:r>
      <w:r w:rsidR="00133B2E" w:rsidRPr="00BF20D3">
        <w:rPr>
          <w:sz w:val="20"/>
        </w:rPr>
        <w:t>outer</w:t>
      </w:r>
      <w:r w:rsidR="002F348B" w:rsidRPr="00BF20D3">
        <w:rPr>
          <w:sz w:val="20"/>
        </w:rPr>
        <w:t xml:space="preserve"> </w:t>
      </w:r>
      <w:r w:rsidRPr="00BF20D3">
        <w:rPr>
          <w:sz w:val="20"/>
        </w:rPr>
        <w:t xml:space="preserve">growth area </w:t>
      </w:r>
      <w:r w:rsidR="002F348B" w:rsidRPr="00BF20D3">
        <w:rPr>
          <w:sz w:val="20"/>
        </w:rPr>
        <w:t xml:space="preserve">Local government areas and the </w:t>
      </w:r>
      <w:r w:rsidRPr="00BF20D3">
        <w:rPr>
          <w:sz w:val="20"/>
        </w:rPr>
        <w:t>C</w:t>
      </w:r>
      <w:r w:rsidR="002F348B" w:rsidRPr="00BF20D3">
        <w:rPr>
          <w:sz w:val="20"/>
        </w:rPr>
        <w:t>ity of Melbourne are t</w:t>
      </w:r>
      <w:r w:rsidRPr="00BF20D3">
        <w:rPr>
          <w:sz w:val="20"/>
        </w:rPr>
        <w:t>he fastest growing areas</w:t>
      </w:r>
      <w:r w:rsidR="002F348B" w:rsidRPr="00BF20D3">
        <w:rPr>
          <w:sz w:val="20"/>
        </w:rPr>
        <w:t>.</w:t>
      </w:r>
    </w:p>
    <w:p w:rsidR="002F348B" w:rsidRPr="00BF20D3" w:rsidRDefault="002F348B" w:rsidP="00133B2E">
      <w:pPr>
        <w:pStyle w:val="ListParagraph"/>
        <w:numPr>
          <w:ilvl w:val="0"/>
          <w:numId w:val="5"/>
        </w:numPr>
        <w:tabs>
          <w:tab w:val="left" w:pos="426"/>
        </w:tabs>
        <w:spacing w:before="240" w:after="120"/>
        <w:ind w:left="425" w:hanging="425"/>
        <w:rPr>
          <w:sz w:val="20"/>
        </w:rPr>
      </w:pPr>
      <w:r w:rsidRPr="00BF20D3">
        <w:rPr>
          <w:sz w:val="20"/>
        </w:rPr>
        <w:t xml:space="preserve">In 2014, </w:t>
      </w:r>
      <w:r w:rsidR="006E5E26" w:rsidRPr="00BF20D3">
        <w:rPr>
          <w:sz w:val="20"/>
        </w:rPr>
        <w:t xml:space="preserve">Victoria recorded 74,222 births. </w:t>
      </w:r>
      <w:r w:rsidR="00A570F0" w:rsidRPr="00BF20D3">
        <w:rPr>
          <w:sz w:val="20"/>
        </w:rPr>
        <w:t xml:space="preserve"> </w:t>
      </w:r>
      <w:r w:rsidR="006E5E26" w:rsidRPr="00BF20D3">
        <w:rPr>
          <w:sz w:val="20"/>
        </w:rPr>
        <w:t>Since 2012, Victoria has been experiencing a baby boom with 15,000 more births per year than were recorded in</w:t>
      </w:r>
      <w:r w:rsidR="00AC6980" w:rsidRPr="00BF20D3">
        <w:rPr>
          <w:sz w:val="20"/>
        </w:rPr>
        <w:t xml:space="preserve"> the</w:t>
      </w:r>
      <w:r w:rsidR="00932482">
        <w:rPr>
          <w:sz w:val="20"/>
        </w:rPr>
        <w:t xml:space="preserve"> early 2000</w:t>
      </w:r>
      <w:r w:rsidR="006E5E26" w:rsidRPr="00BF20D3">
        <w:rPr>
          <w:sz w:val="20"/>
        </w:rPr>
        <w:t xml:space="preserve">s. </w:t>
      </w:r>
    </w:p>
    <w:p w:rsidR="006E5E26" w:rsidRPr="00BF20D3" w:rsidRDefault="006E5E26" w:rsidP="00133B2E">
      <w:pPr>
        <w:pStyle w:val="ListParagraph"/>
        <w:numPr>
          <w:ilvl w:val="0"/>
          <w:numId w:val="5"/>
        </w:numPr>
        <w:tabs>
          <w:tab w:val="left" w:pos="426"/>
        </w:tabs>
        <w:spacing w:before="240" w:after="120"/>
        <w:ind w:left="425" w:hanging="425"/>
        <w:rPr>
          <w:sz w:val="20"/>
        </w:rPr>
      </w:pPr>
      <w:r w:rsidRPr="00BF20D3">
        <w:rPr>
          <w:sz w:val="20"/>
        </w:rPr>
        <w:t xml:space="preserve">Almost 38,000 people died in Victoria in 2014. </w:t>
      </w:r>
    </w:p>
    <w:p w:rsidR="00321043" w:rsidRPr="00BF20D3" w:rsidRDefault="00DD2EB9" w:rsidP="00133B2E">
      <w:pPr>
        <w:pStyle w:val="ListParagraph"/>
        <w:numPr>
          <w:ilvl w:val="0"/>
          <w:numId w:val="5"/>
        </w:numPr>
        <w:tabs>
          <w:tab w:val="left" w:pos="426"/>
        </w:tabs>
        <w:spacing w:before="240" w:after="120"/>
        <w:ind w:left="425" w:hanging="425"/>
        <w:rPr>
          <w:sz w:val="20"/>
        </w:rPr>
      </w:pPr>
      <w:r w:rsidRPr="00BF20D3">
        <w:rPr>
          <w:sz w:val="20"/>
        </w:rPr>
        <w:t>There</w:t>
      </w:r>
      <w:r w:rsidR="00030C92" w:rsidRPr="00BF20D3">
        <w:rPr>
          <w:sz w:val="20"/>
        </w:rPr>
        <w:t xml:space="preserve"> were </w:t>
      </w:r>
      <w:r w:rsidR="00C33B4C" w:rsidRPr="00BF20D3">
        <w:rPr>
          <w:sz w:val="20"/>
        </w:rPr>
        <w:t xml:space="preserve">almost </w:t>
      </w:r>
      <w:r w:rsidR="00030C92" w:rsidRPr="00BF20D3">
        <w:rPr>
          <w:sz w:val="20"/>
        </w:rPr>
        <w:t>$</w:t>
      </w:r>
      <w:r w:rsidR="006E5E26" w:rsidRPr="00BF20D3">
        <w:rPr>
          <w:sz w:val="20"/>
        </w:rPr>
        <w:t>3</w:t>
      </w:r>
      <w:r w:rsidR="00C33B4C" w:rsidRPr="00BF20D3">
        <w:rPr>
          <w:sz w:val="20"/>
        </w:rPr>
        <w:t>1</w:t>
      </w:r>
      <w:r w:rsidR="006E5E26" w:rsidRPr="00BF20D3">
        <w:rPr>
          <w:sz w:val="20"/>
        </w:rPr>
        <w:t xml:space="preserve"> billion worth of building approvals approved in </w:t>
      </w:r>
      <w:r w:rsidRPr="00BF20D3">
        <w:rPr>
          <w:sz w:val="20"/>
        </w:rPr>
        <w:t>2015</w:t>
      </w:r>
      <w:r w:rsidR="00C33B4C" w:rsidRPr="00BF20D3">
        <w:rPr>
          <w:sz w:val="20"/>
        </w:rPr>
        <w:t>/16</w:t>
      </w:r>
      <w:r w:rsidRPr="00BF20D3">
        <w:rPr>
          <w:sz w:val="20"/>
        </w:rPr>
        <w:t xml:space="preserve"> </w:t>
      </w:r>
      <w:r w:rsidR="00A570F0" w:rsidRPr="00BF20D3">
        <w:rPr>
          <w:sz w:val="20"/>
        </w:rPr>
        <w:t>across Victoria</w:t>
      </w:r>
      <w:r w:rsidR="006E5E26" w:rsidRPr="00BF20D3">
        <w:rPr>
          <w:sz w:val="20"/>
        </w:rPr>
        <w:t xml:space="preserve">. This compares to </w:t>
      </w:r>
      <w:r w:rsidR="00321043" w:rsidRPr="00BF20D3">
        <w:rPr>
          <w:sz w:val="20"/>
        </w:rPr>
        <w:t xml:space="preserve">$28.7 billion </w:t>
      </w:r>
      <w:r w:rsidR="00A570F0" w:rsidRPr="00BF20D3">
        <w:rPr>
          <w:sz w:val="20"/>
        </w:rPr>
        <w:t>for the full</w:t>
      </w:r>
      <w:r w:rsidR="00321043" w:rsidRPr="00BF20D3">
        <w:rPr>
          <w:sz w:val="20"/>
        </w:rPr>
        <w:t xml:space="preserve"> 2014/15</w:t>
      </w:r>
      <w:r w:rsidR="00A570F0" w:rsidRPr="00BF20D3">
        <w:rPr>
          <w:sz w:val="20"/>
        </w:rPr>
        <w:t xml:space="preserve"> year</w:t>
      </w:r>
      <w:r w:rsidR="00321043" w:rsidRPr="00BF20D3">
        <w:rPr>
          <w:sz w:val="20"/>
        </w:rPr>
        <w:t>.</w:t>
      </w:r>
      <w:r w:rsidR="00A570F0" w:rsidRPr="00BF20D3">
        <w:rPr>
          <w:sz w:val="20"/>
        </w:rPr>
        <w:t xml:space="preserve"> </w:t>
      </w:r>
      <w:r w:rsidR="00321043" w:rsidRPr="00BF20D3">
        <w:rPr>
          <w:sz w:val="20"/>
        </w:rPr>
        <w:t xml:space="preserve"> The </w:t>
      </w:r>
      <w:r w:rsidR="00A570F0" w:rsidRPr="00BF20D3">
        <w:rPr>
          <w:sz w:val="20"/>
        </w:rPr>
        <w:t>large</w:t>
      </w:r>
      <w:r w:rsidR="00321043" w:rsidRPr="00BF20D3">
        <w:rPr>
          <w:sz w:val="20"/>
        </w:rPr>
        <w:t xml:space="preserve"> majority </w:t>
      </w:r>
      <w:r w:rsidR="00185F40" w:rsidRPr="00BF20D3">
        <w:rPr>
          <w:sz w:val="20"/>
        </w:rPr>
        <w:t>(72</w:t>
      </w:r>
      <w:r w:rsidR="00A570F0" w:rsidRPr="00BF20D3">
        <w:rPr>
          <w:sz w:val="20"/>
        </w:rPr>
        <w:t xml:space="preserve">%) </w:t>
      </w:r>
      <w:r w:rsidR="00321043" w:rsidRPr="00BF20D3">
        <w:rPr>
          <w:sz w:val="20"/>
        </w:rPr>
        <w:t xml:space="preserve">is for residential construction. </w:t>
      </w:r>
      <w:r w:rsidR="006E5E26" w:rsidRPr="00BF20D3">
        <w:rPr>
          <w:sz w:val="20"/>
        </w:rPr>
        <w:t xml:space="preserve"> </w:t>
      </w:r>
    </w:p>
    <w:p w:rsidR="00321043" w:rsidRPr="00BF20D3" w:rsidRDefault="00321043" w:rsidP="00133B2E">
      <w:pPr>
        <w:pStyle w:val="ListParagraph"/>
        <w:numPr>
          <w:ilvl w:val="0"/>
          <w:numId w:val="5"/>
        </w:numPr>
        <w:tabs>
          <w:tab w:val="left" w:pos="426"/>
        </w:tabs>
        <w:spacing w:before="240" w:after="120"/>
        <w:ind w:left="425" w:hanging="425"/>
        <w:rPr>
          <w:sz w:val="20"/>
        </w:rPr>
      </w:pPr>
      <w:r w:rsidRPr="00BF20D3">
        <w:rPr>
          <w:sz w:val="20"/>
        </w:rPr>
        <w:t xml:space="preserve">The number of new dwellings approved in </w:t>
      </w:r>
      <w:r w:rsidR="00C33B4C" w:rsidRPr="00BF20D3">
        <w:rPr>
          <w:sz w:val="20"/>
        </w:rPr>
        <w:t>2015</w:t>
      </w:r>
      <w:r w:rsidR="006358DE">
        <w:rPr>
          <w:sz w:val="20"/>
        </w:rPr>
        <w:t>/16</w:t>
      </w:r>
      <w:r w:rsidR="00C33B4C" w:rsidRPr="00BF20D3">
        <w:rPr>
          <w:sz w:val="20"/>
        </w:rPr>
        <w:t xml:space="preserve"> w</w:t>
      </w:r>
      <w:r w:rsidR="009928AA">
        <w:rPr>
          <w:sz w:val="20"/>
        </w:rPr>
        <w:t>as</w:t>
      </w:r>
      <w:r w:rsidR="00C33B4C" w:rsidRPr="00BF20D3">
        <w:rPr>
          <w:sz w:val="20"/>
        </w:rPr>
        <w:t xml:space="preserve"> 67</w:t>
      </w:r>
      <w:r w:rsidR="00185F40" w:rsidRPr="00BF20D3">
        <w:rPr>
          <w:sz w:val="20"/>
        </w:rPr>
        <w:t>,</w:t>
      </w:r>
      <w:r w:rsidR="00C33B4C" w:rsidRPr="00BF20D3">
        <w:rPr>
          <w:sz w:val="20"/>
        </w:rPr>
        <w:t>003</w:t>
      </w:r>
      <w:r w:rsidR="00A570F0" w:rsidRPr="00BF20D3">
        <w:rPr>
          <w:sz w:val="20"/>
        </w:rPr>
        <w:t xml:space="preserve"> across Victoria</w:t>
      </w:r>
      <w:r w:rsidRPr="00BF20D3">
        <w:rPr>
          <w:sz w:val="20"/>
        </w:rPr>
        <w:t xml:space="preserve">. This was made up of </w:t>
      </w:r>
      <w:r w:rsidR="00C33B4C" w:rsidRPr="00BF20D3">
        <w:rPr>
          <w:sz w:val="20"/>
        </w:rPr>
        <w:t>35</w:t>
      </w:r>
      <w:r w:rsidR="00185F40" w:rsidRPr="00BF20D3">
        <w:rPr>
          <w:sz w:val="20"/>
        </w:rPr>
        <w:t>,</w:t>
      </w:r>
      <w:r w:rsidR="00C33B4C" w:rsidRPr="00BF20D3">
        <w:rPr>
          <w:sz w:val="20"/>
        </w:rPr>
        <w:t>864</w:t>
      </w:r>
      <w:r w:rsidR="00185F40" w:rsidRPr="00BF20D3">
        <w:rPr>
          <w:sz w:val="20"/>
        </w:rPr>
        <w:t xml:space="preserve"> </w:t>
      </w:r>
      <w:r w:rsidRPr="00BF20D3">
        <w:rPr>
          <w:sz w:val="20"/>
        </w:rPr>
        <w:t>detached houses</w:t>
      </w:r>
      <w:r w:rsidR="00A570F0" w:rsidRPr="00BF20D3">
        <w:rPr>
          <w:sz w:val="20"/>
        </w:rPr>
        <w:t xml:space="preserve"> (</w:t>
      </w:r>
      <w:r w:rsidR="00185F40" w:rsidRPr="00BF20D3">
        <w:rPr>
          <w:sz w:val="20"/>
        </w:rPr>
        <w:t>53</w:t>
      </w:r>
      <w:r w:rsidR="00133B2E" w:rsidRPr="00BF20D3">
        <w:rPr>
          <w:sz w:val="20"/>
        </w:rPr>
        <w:t>%)</w:t>
      </w:r>
      <w:r w:rsidRPr="00BF20D3">
        <w:rPr>
          <w:sz w:val="20"/>
        </w:rPr>
        <w:t xml:space="preserve">, </w:t>
      </w:r>
      <w:r w:rsidR="00C33B4C" w:rsidRPr="00BF20D3">
        <w:rPr>
          <w:sz w:val="20"/>
        </w:rPr>
        <w:t xml:space="preserve">10,571 </w:t>
      </w:r>
      <w:r w:rsidRPr="00BF20D3">
        <w:rPr>
          <w:sz w:val="20"/>
        </w:rPr>
        <w:t>semi-detache</w:t>
      </w:r>
      <w:r w:rsidR="00AC6980" w:rsidRPr="00BF20D3">
        <w:rPr>
          <w:sz w:val="20"/>
        </w:rPr>
        <w:t>d dwellings</w:t>
      </w:r>
      <w:r w:rsidR="00C33B4C" w:rsidRPr="00BF20D3">
        <w:rPr>
          <w:sz w:val="20"/>
        </w:rPr>
        <w:t xml:space="preserve"> (16</w:t>
      </w:r>
      <w:r w:rsidR="00133B2E" w:rsidRPr="00BF20D3">
        <w:rPr>
          <w:sz w:val="20"/>
        </w:rPr>
        <w:t>%)</w:t>
      </w:r>
      <w:r w:rsidR="00AC6980" w:rsidRPr="00BF20D3">
        <w:rPr>
          <w:sz w:val="20"/>
        </w:rPr>
        <w:t xml:space="preserve"> and </w:t>
      </w:r>
      <w:r w:rsidR="00C33B4C" w:rsidRPr="00BF20D3">
        <w:rPr>
          <w:sz w:val="20"/>
        </w:rPr>
        <w:t>20</w:t>
      </w:r>
      <w:r w:rsidR="00185F40" w:rsidRPr="00BF20D3">
        <w:rPr>
          <w:sz w:val="20"/>
        </w:rPr>
        <w:t>,5</w:t>
      </w:r>
      <w:r w:rsidR="00C33B4C" w:rsidRPr="00BF20D3">
        <w:rPr>
          <w:sz w:val="20"/>
        </w:rPr>
        <w:t>68</w:t>
      </w:r>
      <w:r w:rsidR="00AC6980" w:rsidRPr="00BF20D3">
        <w:rPr>
          <w:sz w:val="20"/>
        </w:rPr>
        <w:t xml:space="preserve"> units or a</w:t>
      </w:r>
      <w:r w:rsidRPr="00BF20D3">
        <w:rPr>
          <w:sz w:val="20"/>
        </w:rPr>
        <w:t>partments</w:t>
      </w:r>
      <w:r w:rsidR="00C33B4C" w:rsidRPr="00BF20D3">
        <w:rPr>
          <w:sz w:val="20"/>
        </w:rPr>
        <w:t xml:space="preserve"> (31</w:t>
      </w:r>
      <w:r w:rsidR="00133B2E" w:rsidRPr="00BF20D3">
        <w:rPr>
          <w:sz w:val="20"/>
        </w:rPr>
        <w:t>%)</w:t>
      </w:r>
      <w:r w:rsidRPr="00BF20D3">
        <w:rPr>
          <w:sz w:val="20"/>
        </w:rPr>
        <w:t xml:space="preserve">. </w:t>
      </w:r>
    </w:p>
    <w:p w:rsidR="00321043" w:rsidRPr="00BF20D3" w:rsidRDefault="00321043" w:rsidP="00133B2E">
      <w:pPr>
        <w:pStyle w:val="ListParagraph"/>
        <w:numPr>
          <w:ilvl w:val="0"/>
          <w:numId w:val="5"/>
        </w:numPr>
        <w:tabs>
          <w:tab w:val="left" w:pos="426"/>
        </w:tabs>
        <w:spacing w:before="240" w:after="120"/>
        <w:ind w:left="425" w:hanging="425"/>
        <w:rPr>
          <w:sz w:val="20"/>
        </w:rPr>
      </w:pPr>
      <w:r w:rsidRPr="00BF20D3">
        <w:rPr>
          <w:sz w:val="20"/>
        </w:rPr>
        <w:t>Additionally</w:t>
      </w:r>
      <w:r w:rsidR="009928AA">
        <w:rPr>
          <w:sz w:val="20"/>
        </w:rPr>
        <w:t>,</w:t>
      </w:r>
      <w:r w:rsidRPr="00BF20D3">
        <w:rPr>
          <w:sz w:val="20"/>
        </w:rPr>
        <w:t xml:space="preserve"> there </w:t>
      </w:r>
      <w:r w:rsidR="00AC6980" w:rsidRPr="00BF20D3">
        <w:rPr>
          <w:sz w:val="20"/>
        </w:rPr>
        <w:t xml:space="preserve">were </w:t>
      </w:r>
      <w:r w:rsidR="00C33B4C" w:rsidRPr="00BF20D3">
        <w:rPr>
          <w:sz w:val="20"/>
        </w:rPr>
        <w:t>approvals for $2</w:t>
      </w:r>
      <w:r w:rsidR="00185F40" w:rsidRPr="00BF20D3">
        <w:rPr>
          <w:sz w:val="20"/>
        </w:rPr>
        <w:t>.</w:t>
      </w:r>
      <w:r w:rsidR="00C33B4C" w:rsidRPr="00BF20D3">
        <w:rPr>
          <w:sz w:val="20"/>
        </w:rPr>
        <w:t>71</w:t>
      </w:r>
      <w:r w:rsidRPr="00BF20D3">
        <w:rPr>
          <w:sz w:val="20"/>
        </w:rPr>
        <w:t xml:space="preserve"> </w:t>
      </w:r>
      <w:r w:rsidR="00185F40" w:rsidRPr="00BF20D3">
        <w:rPr>
          <w:sz w:val="20"/>
        </w:rPr>
        <w:t>b</w:t>
      </w:r>
      <w:r w:rsidRPr="00BF20D3">
        <w:rPr>
          <w:sz w:val="20"/>
        </w:rPr>
        <w:t>illion wor</w:t>
      </w:r>
      <w:r w:rsidR="00185F40" w:rsidRPr="00BF20D3">
        <w:rPr>
          <w:sz w:val="20"/>
        </w:rPr>
        <w:t xml:space="preserve">th of </w:t>
      </w:r>
      <w:r w:rsidR="009928AA">
        <w:rPr>
          <w:sz w:val="20"/>
        </w:rPr>
        <w:t>c</w:t>
      </w:r>
      <w:r w:rsidR="00185F40" w:rsidRPr="00BF20D3">
        <w:rPr>
          <w:sz w:val="20"/>
        </w:rPr>
        <w:t>ommercial buildings, $</w:t>
      </w:r>
      <w:r w:rsidR="00C33B4C" w:rsidRPr="00BF20D3">
        <w:rPr>
          <w:sz w:val="20"/>
        </w:rPr>
        <w:t>1.5</w:t>
      </w:r>
      <w:r w:rsidRPr="00BF20D3">
        <w:rPr>
          <w:sz w:val="20"/>
        </w:rPr>
        <w:t xml:space="preserve"> </w:t>
      </w:r>
      <w:r w:rsidR="00C33B4C" w:rsidRPr="00BF20D3">
        <w:rPr>
          <w:sz w:val="20"/>
        </w:rPr>
        <w:t>b</w:t>
      </w:r>
      <w:r w:rsidRPr="00BF20D3">
        <w:rPr>
          <w:sz w:val="20"/>
        </w:rPr>
        <w:t>illion</w:t>
      </w:r>
      <w:r w:rsidR="00C33B4C" w:rsidRPr="00BF20D3">
        <w:rPr>
          <w:sz w:val="20"/>
        </w:rPr>
        <w:t xml:space="preserve"> of </w:t>
      </w:r>
      <w:r w:rsidR="009928AA">
        <w:rPr>
          <w:sz w:val="20"/>
        </w:rPr>
        <w:t>i</w:t>
      </w:r>
      <w:r w:rsidR="00C33B4C" w:rsidRPr="00BF20D3">
        <w:rPr>
          <w:sz w:val="20"/>
        </w:rPr>
        <w:t>ndustrial building and $4</w:t>
      </w:r>
      <w:r w:rsidR="00185F40" w:rsidRPr="00BF20D3">
        <w:rPr>
          <w:sz w:val="20"/>
        </w:rPr>
        <w:t>.4</w:t>
      </w:r>
      <w:r w:rsidR="00C33B4C" w:rsidRPr="00BF20D3">
        <w:rPr>
          <w:sz w:val="20"/>
        </w:rPr>
        <w:t>5</w:t>
      </w:r>
      <w:r w:rsidR="00185F40" w:rsidRPr="00BF20D3">
        <w:rPr>
          <w:sz w:val="20"/>
        </w:rPr>
        <w:t xml:space="preserve"> b</w:t>
      </w:r>
      <w:r w:rsidRPr="00BF20D3">
        <w:rPr>
          <w:sz w:val="20"/>
        </w:rPr>
        <w:t xml:space="preserve">illion worth of other non-residential buildings. </w:t>
      </w:r>
    </w:p>
    <w:p w:rsidR="00F07DB1" w:rsidRPr="00BF20D3" w:rsidRDefault="00321043" w:rsidP="00133B2E">
      <w:pPr>
        <w:pStyle w:val="ListParagraph"/>
        <w:numPr>
          <w:ilvl w:val="0"/>
          <w:numId w:val="5"/>
        </w:numPr>
        <w:tabs>
          <w:tab w:val="left" w:pos="426"/>
        </w:tabs>
        <w:spacing w:before="240" w:after="120"/>
        <w:ind w:left="425" w:hanging="425"/>
        <w:rPr>
          <w:sz w:val="20"/>
        </w:rPr>
      </w:pPr>
      <w:r w:rsidRPr="00BF20D3">
        <w:rPr>
          <w:sz w:val="20"/>
        </w:rPr>
        <w:t xml:space="preserve">The median sales price of a detached home in </w:t>
      </w:r>
      <w:r w:rsidR="00C33B4C" w:rsidRPr="00BF20D3">
        <w:rPr>
          <w:sz w:val="20"/>
        </w:rPr>
        <w:t>eight</w:t>
      </w:r>
      <w:r w:rsidRPr="00BF20D3">
        <w:rPr>
          <w:sz w:val="20"/>
        </w:rPr>
        <w:t xml:space="preserve"> local government areas in Melbourne exceed a million dollars</w:t>
      </w:r>
      <w:r w:rsidR="00185F40" w:rsidRPr="00BF20D3">
        <w:rPr>
          <w:sz w:val="20"/>
        </w:rPr>
        <w:t xml:space="preserve"> in 201</w:t>
      </w:r>
      <w:r w:rsidR="00C33B4C" w:rsidRPr="00BF20D3">
        <w:rPr>
          <w:sz w:val="20"/>
        </w:rPr>
        <w:t>6 so far</w:t>
      </w:r>
      <w:r w:rsidRPr="00BF20D3">
        <w:rPr>
          <w:sz w:val="20"/>
        </w:rPr>
        <w:t>.</w:t>
      </w:r>
      <w:r w:rsidR="00C33B4C" w:rsidRPr="00BF20D3">
        <w:rPr>
          <w:sz w:val="20"/>
        </w:rPr>
        <w:t xml:space="preserve"> The data is</w:t>
      </w:r>
      <w:r w:rsidR="009928AA">
        <w:rPr>
          <w:sz w:val="20"/>
        </w:rPr>
        <w:t>,</w:t>
      </w:r>
      <w:r w:rsidR="00C33B4C" w:rsidRPr="00BF20D3">
        <w:rPr>
          <w:sz w:val="20"/>
        </w:rPr>
        <w:t xml:space="preserve"> however</w:t>
      </w:r>
      <w:r w:rsidR="009928AA">
        <w:rPr>
          <w:sz w:val="20"/>
        </w:rPr>
        <w:t>,</w:t>
      </w:r>
      <w:r w:rsidR="00C33B4C" w:rsidRPr="00BF20D3">
        <w:rPr>
          <w:sz w:val="20"/>
        </w:rPr>
        <w:t xml:space="preserve"> incomplete and may not fully reflect recent market changes.</w:t>
      </w:r>
      <w:r w:rsidRPr="00BF20D3">
        <w:rPr>
          <w:sz w:val="20"/>
        </w:rPr>
        <w:t xml:space="preserve"> </w:t>
      </w:r>
    </w:p>
    <w:p w:rsidR="00F07DB1" w:rsidRPr="00BF20D3" w:rsidRDefault="00F07DB1" w:rsidP="00133B2E">
      <w:pPr>
        <w:pStyle w:val="ListParagraph"/>
        <w:numPr>
          <w:ilvl w:val="0"/>
          <w:numId w:val="5"/>
        </w:numPr>
        <w:tabs>
          <w:tab w:val="left" w:pos="426"/>
        </w:tabs>
        <w:spacing w:before="240" w:after="120"/>
        <w:ind w:left="425" w:hanging="425"/>
        <w:rPr>
          <w:sz w:val="20"/>
        </w:rPr>
      </w:pPr>
      <w:r w:rsidRPr="00BF20D3">
        <w:rPr>
          <w:sz w:val="20"/>
        </w:rPr>
        <w:t>Prices were more affordable for semi-detached dwellings and units. Also</w:t>
      </w:r>
      <w:r w:rsidR="00591DB5">
        <w:rPr>
          <w:sz w:val="20"/>
        </w:rPr>
        <w:t>,</w:t>
      </w:r>
      <w:r w:rsidRPr="00BF20D3">
        <w:rPr>
          <w:sz w:val="20"/>
        </w:rPr>
        <w:t xml:space="preserve"> in </w:t>
      </w:r>
      <w:r w:rsidR="00133B2E" w:rsidRPr="00BF20D3">
        <w:rPr>
          <w:sz w:val="20"/>
        </w:rPr>
        <w:t>many</w:t>
      </w:r>
      <w:r w:rsidRPr="00BF20D3">
        <w:rPr>
          <w:sz w:val="20"/>
        </w:rPr>
        <w:t xml:space="preserve"> rural areas prices remain more affordable than metropolitan areas.</w:t>
      </w:r>
    </w:p>
    <w:p w:rsidR="00CF5153" w:rsidRPr="00BF20D3" w:rsidRDefault="00690B60" w:rsidP="00133B2E">
      <w:pPr>
        <w:pStyle w:val="ListParagraph"/>
        <w:numPr>
          <w:ilvl w:val="0"/>
          <w:numId w:val="5"/>
        </w:numPr>
        <w:tabs>
          <w:tab w:val="left" w:pos="426"/>
        </w:tabs>
        <w:spacing w:before="240" w:after="120"/>
        <w:ind w:left="425" w:hanging="425"/>
        <w:rPr>
          <w:sz w:val="20"/>
        </w:rPr>
      </w:pPr>
      <w:r w:rsidRPr="00BF20D3">
        <w:rPr>
          <w:sz w:val="20"/>
        </w:rPr>
        <w:t>Median r</w:t>
      </w:r>
      <w:r w:rsidR="00F07DB1" w:rsidRPr="00BF20D3">
        <w:rPr>
          <w:sz w:val="20"/>
        </w:rPr>
        <w:t>ents for the whole metropolitan of Melbourne ra</w:t>
      </w:r>
      <w:r w:rsidR="00F238A7" w:rsidRPr="00BF20D3">
        <w:rPr>
          <w:sz w:val="20"/>
        </w:rPr>
        <w:t>nged from $320 for a one</w:t>
      </w:r>
      <w:r w:rsidR="00591DB5">
        <w:rPr>
          <w:sz w:val="20"/>
        </w:rPr>
        <w:t>-</w:t>
      </w:r>
      <w:r w:rsidR="00F238A7" w:rsidRPr="00BF20D3">
        <w:rPr>
          <w:sz w:val="20"/>
        </w:rPr>
        <w:t>bedroom flat to $44</w:t>
      </w:r>
      <w:r w:rsidR="00F07DB1" w:rsidRPr="00BF20D3">
        <w:rPr>
          <w:sz w:val="20"/>
        </w:rPr>
        <w:t>0 for</w:t>
      </w:r>
      <w:r w:rsidR="00932482">
        <w:rPr>
          <w:sz w:val="20"/>
        </w:rPr>
        <w:t xml:space="preserve"> a</w:t>
      </w:r>
      <w:r w:rsidR="000348E1">
        <w:rPr>
          <w:sz w:val="20"/>
        </w:rPr>
        <w:t xml:space="preserve"> four-</w:t>
      </w:r>
      <w:r w:rsidR="00F07DB1" w:rsidRPr="00BF20D3">
        <w:rPr>
          <w:sz w:val="20"/>
        </w:rPr>
        <w:t>bedroom house. Ther</w:t>
      </w:r>
      <w:r w:rsidR="00133B2E" w:rsidRPr="00BF20D3">
        <w:rPr>
          <w:sz w:val="20"/>
        </w:rPr>
        <w:t xml:space="preserve">e was large variation at the </w:t>
      </w:r>
      <w:r w:rsidR="000348E1">
        <w:rPr>
          <w:sz w:val="20"/>
        </w:rPr>
        <w:t>l</w:t>
      </w:r>
      <w:r w:rsidR="00133B2E" w:rsidRPr="00BF20D3">
        <w:rPr>
          <w:sz w:val="20"/>
        </w:rPr>
        <w:t xml:space="preserve">ocal </w:t>
      </w:r>
      <w:r w:rsidR="000348E1">
        <w:rPr>
          <w:sz w:val="20"/>
        </w:rPr>
        <w:t>g</w:t>
      </w:r>
      <w:r w:rsidR="00133B2E" w:rsidRPr="00BF20D3">
        <w:rPr>
          <w:sz w:val="20"/>
        </w:rPr>
        <w:t>overnment</w:t>
      </w:r>
      <w:r w:rsidR="00F07DB1" w:rsidRPr="00BF20D3">
        <w:rPr>
          <w:sz w:val="20"/>
        </w:rPr>
        <w:t xml:space="preserve"> level based on the proximity to the city of the rental property.</w:t>
      </w:r>
    </w:p>
    <w:p w:rsidR="00A570F0" w:rsidRPr="00BF20D3" w:rsidRDefault="00A570F0" w:rsidP="00133B2E">
      <w:pPr>
        <w:pStyle w:val="ListParagraph"/>
        <w:numPr>
          <w:ilvl w:val="0"/>
          <w:numId w:val="5"/>
        </w:numPr>
        <w:tabs>
          <w:tab w:val="left" w:pos="426"/>
        </w:tabs>
        <w:spacing w:before="240" w:after="120"/>
        <w:ind w:left="425" w:hanging="425"/>
        <w:rPr>
          <w:sz w:val="20"/>
        </w:rPr>
      </w:pPr>
      <w:r w:rsidRPr="00BF20D3">
        <w:rPr>
          <w:sz w:val="20"/>
        </w:rPr>
        <w:t>Housing lots in Melbourne’s greenfields have been selling in record number</w:t>
      </w:r>
      <w:r w:rsidR="00F238A7" w:rsidRPr="00BF20D3">
        <w:rPr>
          <w:sz w:val="20"/>
        </w:rPr>
        <w:t>s</w:t>
      </w:r>
      <w:r w:rsidR="000348E1">
        <w:rPr>
          <w:sz w:val="20"/>
        </w:rPr>
        <w:t>,</w:t>
      </w:r>
      <w:r w:rsidR="00F238A7" w:rsidRPr="00BF20D3">
        <w:rPr>
          <w:sz w:val="20"/>
        </w:rPr>
        <w:t xml:space="preserve"> with </w:t>
      </w:r>
      <w:r w:rsidR="000348E1">
        <w:rPr>
          <w:sz w:val="20"/>
        </w:rPr>
        <w:t xml:space="preserve">more than </w:t>
      </w:r>
      <w:r w:rsidR="00F238A7" w:rsidRPr="00BF20D3">
        <w:rPr>
          <w:sz w:val="20"/>
        </w:rPr>
        <w:t>22</w:t>
      </w:r>
      <w:r w:rsidRPr="00BF20D3">
        <w:rPr>
          <w:sz w:val="20"/>
        </w:rPr>
        <w:t>,</w:t>
      </w:r>
      <w:r w:rsidR="00A20757" w:rsidRPr="00BF20D3">
        <w:rPr>
          <w:sz w:val="20"/>
        </w:rPr>
        <w:t>0</w:t>
      </w:r>
      <w:r w:rsidRPr="00BF20D3">
        <w:rPr>
          <w:sz w:val="20"/>
        </w:rPr>
        <w:t xml:space="preserve">00 sales in the </w:t>
      </w:r>
      <w:r w:rsidR="00A20757" w:rsidRPr="00BF20D3">
        <w:rPr>
          <w:sz w:val="20"/>
        </w:rPr>
        <w:t xml:space="preserve">past </w:t>
      </w:r>
      <w:r w:rsidR="000348E1">
        <w:rPr>
          <w:sz w:val="20"/>
        </w:rPr>
        <w:t>four</w:t>
      </w:r>
      <w:r w:rsidR="00A20757" w:rsidRPr="00BF20D3">
        <w:rPr>
          <w:sz w:val="20"/>
        </w:rPr>
        <w:t xml:space="preserve"> quarters; averaging </w:t>
      </w:r>
      <w:r w:rsidRPr="00BF20D3">
        <w:rPr>
          <w:sz w:val="20"/>
        </w:rPr>
        <w:t xml:space="preserve">60 sales per day. </w:t>
      </w:r>
      <w:r w:rsidR="00133B2E" w:rsidRPr="00BF20D3">
        <w:rPr>
          <w:sz w:val="20"/>
        </w:rPr>
        <w:t xml:space="preserve"> </w:t>
      </w:r>
      <w:r w:rsidRPr="00BF20D3">
        <w:rPr>
          <w:sz w:val="20"/>
        </w:rPr>
        <w:t>The Melbourne greenfield</w:t>
      </w:r>
      <w:r w:rsidR="00133B2E" w:rsidRPr="00BF20D3">
        <w:rPr>
          <w:sz w:val="20"/>
        </w:rPr>
        <w:t>s</w:t>
      </w:r>
      <w:r w:rsidRPr="00BF20D3">
        <w:rPr>
          <w:sz w:val="20"/>
        </w:rPr>
        <w:t xml:space="preserve"> market is clearly the strongest in Australia.</w:t>
      </w:r>
    </w:p>
    <w:p w:rsidR="00A570F0" w:rsidRPr="00BF20D3" w:rsidRDefault="00A570F0" w:rsidP="00133B2E">
      <w:pPr>
        <w:pStyle w:val="ListParagraph"/>
        <w:numPr>
          <w:ilvl w:val="0"/>
          <w:numId w:val="5"/>
        </w:numPr>
        <w:tabs>
          <w:tab w:val="left" w:pos="426"/>
        </w:tabs>
        <w:spacing w:before="240" w:after="120"/>
        <w:ind w:left="425" w:hanging="425"/>
        <w:rPr>
          <w:sz w:val="20"/>
        </w:rPr>
      </w:pPr>
      <w:r w:rsidRPr="00BF20D3">
        <w:rPr>
          <w:sz w:val="20"/>
        </w:rPr>
        <w:t xml:space="preserve">As a consequence of the strong sales, the supply of lots on the market has decreased with only slightly more than a month’s supply on the market. </w:t>
      </w:r>
    </w:p>
    <w:p w:rsidR="00A570F0" w:rsidRPr="00BF20D3" w:rsidRDefault="00A570F0" w:rsidP="00133B2E">
      <w:pPr>
        <w:pStyle w:val="ListParagraph"/>
        <w:numPr>
          <w:ilvl w:val="0"/>
          <w:numId w:val="5"/>
        </w:numPr>
        <w:tabs>
          <w:tab w:val="left" w:pos="426"/>
        </w:tabs>
        <w:spacing w:before="240" w:after="120"/>
        <w:ind w:left="425" w:hanging="425"/>
        <w:rPr>
          <w:sz w:val="20"/>
        </w:rPr>
      </w:pPr>
      <w:r w:rsidRPr="00BF20D3">
        <w:rPr>
          <w:sz w:val="20"/>
        </w:rPr>
        <w:t>With the exception of Adelaide, lots in Melbourne’s greenfields remain much cheaper than all other markets in Australia.  T</w:t>
      </w:r>
      <w:r w:rsidR="00F238A7" w:rsidRPr="00BF20D3">
        <w:rPr>
          <w:sz w:val="20"/>
        </w:rPr>
        <w:t>he median price of a lot was $221</w:t>
      </w:r>
      <w:r w:rsidRPr="00BF20D3">
        <w:rPr>
          <w:sz w:val="20"/>
        </w:rPr>
        <w:t>,</w:t>
      </w:r>
      <w:r w:rsidR="00F238A7" w:rsidRPr="00BF20D3">
        <w:rPr>
          <w:sz w:val="20"/>
        </w:rPr>
        <w:t>73</w:t>
      </w:r>
      <w:r w:rsidRPr="00BF20D3">
        <w:rPr>
          <w:sz w:val="20"/>
        </w:rPr>
        <w:t xml:space="preserve">0 in the </w:t>
      </w:r>
      <w:r w:rsidR="00F238A7" w:rsidRPr="00BF20D3">
        <w:rPr>
          <w:sz w:val="20"/>
        </w:rPr>
        <w:t>June</w:t>
      </w:r>
      <w:r w:rsidRPr="00BF20D3">
        <w:rPr>
          <w:sz w:val="20"/>
        </w:rPr>
        <w:t xml:space="preserve"> 201</w:t>
      </w:r>
      <w:r w:rsidR="00A20757" w:rsidRPr="00BF20D3">
        <w:rPr>
          <w:sz w:val="20"/>
        </w:rPr>
        <w:t>6</w:t>
      </w:r>
      <w:r w:rsidRPr="00BF20D3">
        <w:rPr>
          <w:sz w:val="20"/>
        </w:rPr>
        <w:t xml:space="preserve"> quarter.</w:t>
      </w:r>
    </w:p>
    <w:p w:rsidR="00CF5153" w:rsidRPr="00BF20D3" w:rsidRDefault="002D7483" w:rsidP="00C322A7">
      <w:pPr>
        <w:pStyle w:val="ListParagraph"/>
        <w:numPr>
          <w:ilvl w:val="0"/>
          <w:numId w:val="5"/>
        </w:numPr>
        <w:tabs>
          <w:tab w:val="left" w:pos="426"/>
        </w:tabs>
        <w:spacing w:before="240" w:after="120"/>
        <w:ind w:left="425" w:hanging="425"/>
        <w:rPr>
          <w:sz w:val="20"/>
        </w:rPr>
      </w:pPr>
      <w:r w:rsidRPr="00BF20D3">
        <w:rPr>
          <w:sz w:val="20"/>
        </w:rPr>
        <w:t xml:space="preserve">The latest ABS labour force data (June 2016) puts Victoria’s </w:t>
      </w:r>
      <w:r w:rsidR="000348E1">
        <w:rPr>
          <w:sz w:val="20"/>
        </w:rPr>
        <w:t>u</w:t>
      </w:r>
      <w:r w:rsidRPr="00BF20D3">
        <w:rPr>
          <w:sz w:val="20"/>
        </w:rPr>
        <w:t>nemployment rate at 5.7%</w:t>
      </w:r>
      <w:r w:rsidR="000348E1">
        <w:rPr>
          <w:sz w:val="20"/>
        </w:rPr>
        <w:t>,</w:t>
      </w:r>
      <w:r w:rsidRPr="00BF20D3">
        <w:rPr>
          <w:sz w:val="20"/>
        </w:rPr>
        <w:t xml:space="preserve"> having decreased from 6% in June 2015. </w:t>
      </w:r>
      <w:r w:rsidR="00CF5153" w:rsidRPr="00BF20D3">
        <w:rPr>
          <w:sz w:val="20"/>
        </w:rPr>
        <w:t>The unemployment is not evenly spread</w:t>
      </w:r>
      <w:r w:rsidR="000348E1">
        <w:rPr>
          <w:sz w:val="20"/>
        </w:rPr>
        <w:t>,</w:t>
      </w:r>
      <w:r w:rsidR="00CF5153" w:rsidRPr="00BF20D3">
        <w:rPr>
          <w:sz w:val="20"/>
        </w:rPr>
        <w:t xml:space="preserve"> with some areas having much higher </w:t>
      </w:r>
      <w:r w:rsidR="000348E1">
        <w:rPr>
          <w:sz w:val="20"/>
        </w:rPr>
        <w:t xml:space="preserve">rates </w:t>
      </w:r>
      <w:r w:rsidR="00CF5153" w:rsidRPr="00BF20D3">
        <w:rPr>
          <w:sz w:val="20"/>
        </w:rPr>
        <w:t xml:space="preserve">than the state average. </w:t>
      </w:r>
    </w:p>
    <w:p w:rsidR="00CF5153" w:rsidRPr="00BF20D3" w:rsidRDefault="00356C36" w:rsidP="00133B2E">
      <w:pPr>
        <w:pStyle w:val="ListParagraph"/>
        <w:numPr>
          <w:ilvl w:val="0"/>
          <w:numId w:val="5"/>
        </w:numPr>
        <w:tabs>
          <w:tab w:val="left" w:pos="426"/>
        </w:tabs>
        <w:spacing w:before="240" w:after="120"/>
        <w:ind w:left="425" w:hanging="425"/>
        <w:rPr>
          <w:sz w:val="20"/>
        </w:rPr>
      </w:pPr>
      <w:r w:rsidRPr="00BF20D3">
        <w:rPr>
          <w:sz w:val="20"/>
        </w:rPr>
        <w:t>There were 3</w:t>
      </w:r>
      <w:r w:rsidR="00CF5153" w:rsidRPr="00BF20D3">
        <w:rPr>
          <w:sz w:val="20"/>
        </w:rPr>
        <w:t>,</w:t>
      </w:r>
      <w:r w:rsidR="002D7483" w:rsidRPr="00BF20D3">
        <w:rPr>
          <w:sz w:val="20"/>
        </w:rPr>
        <w:t>029</w:t>
      </w:r>
      <w:r w:rsidR="00CF5153" w:rsidRPr="00BF20D3">
        <w:rPr>
          <w:sz w:val="20"/>
        </w:rPr>
        <w:t>,</w:t>
      </w:r>
      <w:r w:rsidR="002D7483" w:rsidRPr="00BF20D3">
        <w:rPr>
          <w:sz w:val="20"/>
        </w:rPr>
        <w:t>6</w:t>
      </w:r>
      <w:r w:rsidR="00CF5153" w:rsidRPr="00BF20D3">
        <w:rPr>
          <w:sz w:val="20"/>
        </w:rPr>
        <w:t xml:space="preserve">00 people employed in Victoria in </w:t>
      </w:r>
      <w:r w:rsidRPr="00BF20D3">
        <w:rPr>
          <w:sz w:val="20"/>
        </w:rPr>
        <w:t>February 2016</w:t>
      </w:r>
      <w:r w:rsidR="00CF5153" w:rsidRPr="00BF20D3">
        <w:rPr>
          <w:sz w:val="20"/>
        </w:rPr>
        <w:t xml:space="preserve">. The largest industry was </w:t>
      </w:r>
      <w:r w:rsidR="000A7D00">
        <w:rPr>
          <w:sz w:val="20"/>
        </w:rPr>
        <w:t>h</w:t>
      </w:r>
      <w:r w:rsidR="00CF5153" w:rsidRPr="00BF20D3">
        <w:rPr>
          <w:sz w:val="20"/>
        </w:rPr>
        <w:t>ea</w:t>
      </w:r>
      <w:r w:rsidR="00690B60" w:rsidRPr="00BF20D3">
        <w:rPr>
          <w:sz w:val="20"/>
        </w:rPr>
        <w:t xml:space="preserve">lth </w:t>
      </w:r>
      <w:r w:rsidR="000A7D00">
        <w:rPr>
          <w:sz w:val="20"/>
        </w:rPr>
        <w:t>c</w:t>
      </w:r>
      <w:r w:rsidR="00690B60" w:rsidRPr="00BF20D3">
        <w:rPr>
          <w:sz w:val="20"/>
        </w:rPr>
        <w:t xml:space="preserve">are and </w:t>
      </w:r>
      <w:r w:rsidR="000A7D00">
        <w:rPr>
          <w:sz w:val="20"/>
        </w:rPr>
        <w:t>s</w:t>
      </w:r>
      <w:r w:rsidR="00690B60" w:rsidRPr="00BF20D3">
        <w:rPr>
          <w:sz w:val="20"/>
        </w:rPr>
        <w:t xml:space="preserve">ocial </w:t>
      </w:r>
      <w:r w:rsidR="000A7D00">
        <w:rPr>
          <w:sz w:val="20"/>
        </w:rPr>
        <w:t>s</w:t>
      </w:r>
      <w:r w:rsidR="00690B60" w:rsidRPr="00BF20D3">
        <w:rPr>
          <w:sz w:val="20"/>
        </w:rPr>
        <w:t>ervices</w:t>
      </w:r>
      <w:r w:rsidR="00055988" w:rsidRPr="00BF20D3">
        <w:rPr>
          <w:sz w:val="20"/>
        </w:rPr>
        <w:t>, and this is growing markedly</w:t>
      </w:r>
      <w:r w:rsidR="00690B60" w:rsidRPr="00BF20D3">
        <w:rPr>
          <w:sz w:val="20"/>
        </w:rPr>
        <w:t>.</w:t>
      </w:r>
    </w:p>
    <w:p w:rsidR="006E5E26" w:rsidRPr="00BF20D3" w:rsidRDefault="006E5E26" w:rsidP="00CF5153">
      <w:pPr>
        <w:ind w:left="360"/>
        <w:rPr>
          <w:sz w:val="20"/>
        </w:rPr>
      </w:pPr>
    </w:p>
    <w:p w:rsidR="005437D0" w:rsidRPr="00BF20D3" w:rsidRDefault="005437D0" w:rsidP="005437D0">
      <w:pPr>
        <w:rPr>
          <w:sz w:val="20"/>
        </w:rPr>
      </w:pPr>
    </w:p>
    <w:p w:rsidR="005437D0" w:rsidRPr="00BF20D3" w:rsidRDefault="005437D0" w:rsidP="005437D0">
      <w:pPr>
        <w:rPr>
          <w:sz w:val="20"/>
        </w:rPr>
      </w:pPr>
    </w:p>
    <w:p w:rsidR="005437D0" w:rsidRPr="00BF20D3" w:rsidRDefault="005437D0" w:rsidP="0072166A">
      <w:pPr>
        <w:pStyle w:val="Heading2"/>
      </w:pPr>
    </w:p>
    <w:p w:rsidR="005437D0" w:rsidRPr="00BF20D3" w:rsidRDefault="005437D0" w:rsidP="005437D0">
      <w:pPr>
        <w:rPr>
          <w:sz w:val="20"/>
        </w:rPr>
      </w:pPr>
    </w:p>
    <w:p w:rsidR="002F348B" w:rsidRPr="00BF20D3" w:rsidRDefault="002F348B" w:rsidP="005437D0">
      <w:pPr>
        <w:rPr>
          <w:sz w:val="20"/>
        </w:rPr>
      </w:pPr>
      <w:r w:rsidRPr="00BF20D3">
        <w:rPr>
          <w:sz w:val="20"/>
        </w:rPr>
        <w:br w:type="page"/>
      </w:r>
    </w:p>
    <w:p w:rsidR="005051E3" w:rsidRPr="0014025C" w:rsidRDefault="00457D55" w:rsidP="0072166A">
      <w:pPr>
        <w:pStyle w:val="Heading2numbered"/>
        <w:rPr>
          <w:color w:val="002060"/>
        </w:rPr>
      </w:pPr>
      <w:bookmarkStart w:id="5" w:name="_Toc458605153"/>
      <w:r w:rsidRPr="0014025C">
        <w:rPr>
          <w:color w:val="002060"/>
        </w:rPr>
        <w:lastRenderedPageBreak/>
        <w:t xml:space="preserve">State </w:t>
      </w:r>
      <w:r w:rsidR="002533A9" w:rsidRPr="0014025C">
        <w:rPr>
          <w:color w:val="002060"/>
        </w:rPr>
        <w:t>Population</w:t>
      </w:r>
      <w:bookmarkEnd w:id="3"/>
      <w:r w:rsidRPr="0014025C">
        <w:rPr>
          <w:color w:val="002060"/>
        </w:rPr>
        <w:t>s</w:t>
      </w:r>
      <w:bookmarkEnd w:id="5"/>
      <w:r w:rsidR="002533A9" w:rsidRPr="0014025C">
        <w:rPr>
          <w:color w:val="002060"/>
        </w:rPr>
        <w:t xml:space="preserve"> </w:t>
      </w:r>
    </w:p>
    <w:p w:rsidR="00133B2E" w:rsidRPr="00BF20D3" w:rsidRDefault="007C0CC6">
      <w:pPr>
        <w:rPr>
          <w:sz w:val="20"/>
        </w:rPr>
      </w:pPr>
      <w:r w:rsidRPr="00BF20D3">
        <w:rPr>
          <w:sz w:val="20"/>
        </w:rPr>
        <w:t xml:space="preserve">At the </w:t>
      </w:r>
      <w:r w:rsidR="00524330" w:rsidRPr="00BF20D3">
        <w:rPr>
          <w:sz w:val="20"/>
        </w:rPr>
        <w:t>end</w:t>
      </w:r>
      <w:r w:rsidRPr="00BF20D3">
        <w:rPr>
          <w:sz w:val="20"/>
        </w:rPr>
        <w:t xml:space="preserve"> of </w:t>
      </w:r>
      <w:r w:rsidR="004333C0" w:rsidRPr="00BF20D3">
        <w:rPr>
          <w:sz w:val="20"/>
        </w:rPr>
        <w:t xml:space="preserve">December </w:t>
      </w:r>
      <w:r w:rsidRPr="00BF20D3">
        <w:rPr>
          <w:sz w:val="20"/>
        </w:rPr>
        <w:t>2015, the population of Victoria stood at 5,9</w:t>
      </w:r>
      <w:r w:rsidR="00B77701" w:rsidRPr="00BF20D3">
        <w:rPr>
          <w:sz w:val="20"/>
        </w:rPr>
        <w:t>96</w:t>
      </w:r>
      <w:r w:rsidR="00524330" w:rsidRPr="00BF20D3">
        <w:rPr>
          <w:sz w:val="20"/>
        </w:rPr>
        <w:t>,</w:t>
      </w:r>
      <w:r w:rsidR="0002371E" w:rsidRPr="00BF20D3">
        <w:rPr>
          <w:sz w:val="20"/>
        </w:rPr>
        <w:t>285</w:t>
      </w:r>
      <w:r w:rsidRPr="00BF20D3">
        <w:rPr>
          <w:sz w:val="20"/>
        </w:rPr>
        <w:t xml:space="preserve"> people. Victoria clearly remains the second largest state and will remain in that position for the foreseeable future. </w:t>
      </w:r>
      <w:r w:rsidR="002B250B" w:rsidRPr="00BF20D3">
        <w:rPr>
          <w:sz w:val="20"/>
        </w:rPr>
        <w:t xml:space="preserve">Within Victoria, the population split is currently approximately 75% in metropolitan Melbourne and 25% in </w:t>
      </w:r>
      <w:r w:rsidR="00A67B96">
        <w:rPr>
          <w:sz w:val="20"/>
        </w:rPr>
        <w:t>r</w:t>
      </w:r>
      <w:r w:rsidR="002B250B" w:rsidRPr="00BF20D3">
        <w:rPr>
          <w:sz w:val="20"/>
        </w:rPr>
        <w:t>egional Victoria.</w:t>
      </w:r>
    </w:p>
    <w:p w:rsidR="002533A9" w:rsidRPr="00BF20D3" w:rsidRDefault="0002371E">
      <w:pPr>
        <w:rPr>
          <w:sz w:val="20"/>
        </w:rPr>
      </w:pPr>
      <w:r w:rsidRPr="00BF20D3">
        <w:rPr>
          <w:noProof/>
          <w:lang w:eastAsia="en-AU"/>
        </w:rPr>
        <w:drawing>
          <wp:inline distT="0" distB="0" distL="0" distR="0" wp14:anchorId="119DECA5" wp14:editId="728C36C0">
            <wp:extent cx="5747425" cy="3386036"/>
            <wp:effectExtent l="0" t="0" r="5715" b="508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133B2E" w:rsidRPr="00BF20D3" w:rsidRDefault="007C0CC6">
      <w:pPr>
        <w:rPr>
          <w:sz w:val="20"/>
        </w:rPr>
      </w:pPr>
      <w:r w:rsidRPr="00BF20D3">
        <w:rPr>
          <w:sz w:val="20"/>
        </w:rPr>
        <w:t xml:space="preserve">Over the 12 months to </w:t>
      </w:r>
      <w:r w:rsidR="00690B60" w:rsidRPr="00BF20D3">
        <w:rPr>
          <w:sz w:val="20"/>
        </w:rPr>
        <w:t>30 June</w:t>
      </w:r>
      <w:r w:rsidR="00524330" w:rsidRPr="00BF20D3">
        <w:rPr>
          <w:sz w:val="20"/>
        </w:rPr>
        <w:t xml:space="preserve"> </w:t>
      </w:r>
      <w:r w:rsidRPr="00BF20D3">
        <w:rPr>
          <w:sz w:val="20"/>
        </w:rPr>
        <w:t xml:space="preserve">2015, </w:t>
      </w:r>
      <w:r w:rsidR="006B1B0A" w:rsidRPr="00BF20D3">
        <w:rPr>
          <w:sz w:val="20"/>
        </w:rPr>
        <w:t>V</w:t>
      </w:r>
      <w:r w:rsidR="0002371E" w:rsidRPr="00BF20D3">
        <w:rPr>
          <w:sz w:val="20"/>
        </w:rPr>
        <w:t xml:space="preserve">ictoria’s population grew by 109,830 people, the highest increase of all the states. </w:t>
      </w:r>
    </w:p>
    <w:p w:rsidR="007C0CC6" w:rsidRPr="00BF20D3" w:rsidRDefault="0002371E">
      <w:pPr>
        <w:rPr>
          <w:sz w:val="20"/>
        </w:rPr>
      </w:pPr>
      <w:r w:rsidRPr="00BF20D3">
        <w:rPr>
          <w:noProof/>
          <w:lang w:eastAsia="en-AU"/>
        </w:rPr>
        <w:drawing>
          <wp:inline distT="0" distB="0" distL="0" distR="0" wp14:anchorId="081D6887" wp14:editId="6B3FB16C">
            <wp:extent cx="5974404" cy="3386036"/>
            <wp:effectExtent l="0" t="0" r="7620" b="508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1D71EC" w:rsidRPr="00BF20D3" w:rsidRDefault="001D71EC">
      <w:pPr>
        <w:rPr>
          <w:sz w:val="20"/>
        </w:rPr>
      </w:pPr>
    </w:p>
    <w:p w:rsidR="007C0CC6" w:rsidRPr="00BF20D3" w:rsidRDefault="007C0CC6">
      <w:pPr>
        <w:rPr>
          <w:sz w:val="20"/>
        </w:rPr>
      </w:pPr>
      <w:r w:rsidRPr="00BF20D3">
        <w:rPr>
          <w:sz w:val="20"/>
        </w:rPr>
        <w:t>In terms of percentage</w:t>
      </w:r>
      <w:r w:rsidR="00133B2E" w:rsidRPr="00BF20D3">
        <w:rPr>
          <w:sz w:val="20"/>
        </w:rPr>
        <w:t xml:space="preserve"> change</w:t>
      </w:r>
      <w:r w:rsidRPr="00BF20D3">
        <w:rPr>
          <w:sz w:val="20"/>
        </w:rPr>
        <w:t xml:space="preserve">, Victoria </w:t>
      </w:r>
      <w:r w:rsidR="00133B2E" w:rsidRPr="00BF20D3">
        <w:rPr>
          <w:sz w:val="20"/>
        </w:rPr>
        <w:t>is</w:t>
      </w:r>
      <w:r w:rsidRPr="00BF20D3">
        <w:rPr>
          <w:sz w:val="20"/>
        </w:rPr>
        <w:t xml:space="preserve"> </w:t>
      </w:r>
      <w:r w:rsidR="00ED4520" w:rsidRPr="00BF20D3">
        <w:rPr>
          <w:sz w:val="20"/>
        </w:rPr>
        <w:t xml:space="preserve">also </w:t>
      </w:r>
      <w:r w:rsidRPr="00BF20D3">
        <w:rPr>
          <w:sz w:val="20"/>
        </w:rPr>
        <w:t xml:space="preserve">the fastest growing of all </w:t>
      </w:r>
      <w:r w:rsidR="002328D9">
        <w:rPr>
          <w:sz w:val="20"/>
        </w:rPr>
        <w:t>s</w:t>
      </w:r>
      <w:r w:rsidRPr="00BF20D3">
        <w:rPr>
          <w:sz w:val="20"/>
        </w:rPr>
        <w:t>tates</w:t>
      </w:r>
      <w:r w:rsidR="00CE2BBA" w:rsidRPr="00BF20D3">
        <w:rPr>
          <w:sz w:val="20"/>
        </w:rPr>
        <w:t xml:space="preserve"> and </w:t>
      </w:r>
      <w:r w:rsidR="002328D9">
        <w:rPr>
          <w:sz w:val="20"/>
        </w:rPr>
        <w:t>t</w:t>
      </w:r>
      <w:r w:rsidR="00CE2BBA" w:rsidRPr="00BF20D3">
        <w:rPr>
          <w:sz w:val="20"/>
        </w:rPr>
        <w:t>erritories</w:t>
      </w:r>
      <w:r w:rsidR="002328D9">
        <w:rPr>
          <w:sz w:val="20"/>
        </w:rPr>
        <w:t>,</w:t>
      </w:r>
      <w:r w:rsidR="00CE2BBA" w:rsidRPr="00BF20D3">
        <w:rPr>
          <w:sz w:val="20"/>
        </w:rPr>
        <w:t xml:space="preserve"> growing at 1.</w:t>
      </w:r>
      <w:r w:rsidR="00ED4520" w:rsidRPr="00BF20D3">
        <w:rPr>
          <w:sz w:val="20"/>
        </w:rPr>
        <w:t>87</w:t>
      </w:r>
      <w:r w:rsidRPr="00BF20D3">
        <w:rPr>
          <w:sz w:val="20"/>
        </w:rPr>
        <w:t xml:space="preserve">% for the year. </w:t>
      </w:r>
    </w:p>
    <w:p w:rsidR="007C0CC6" w:rsidRPr="00BF20D3" w:rsidRDefault="00ED4520">
      <w:pPr>
        <w:rPr>
          <w:sz w:val="20"/>
        </w:rPr>
      </w:pPr>
      <w:r w:rsidRPr="00BF20D3">
        <w:rPr>
          <w:noProof/>
          <w:lang w:eastAsia="en-AU"/>
        </w:rPr>
        <w:lastRenderedPageBreak/>
        <w:drawing>
          <wp:inline distT="0" distB="0" distL="0" distR="0" wp14:anchorId="058666C9" wp14:editId="1021EBE3">
            <wp:extent cx="5974404" cy="3386036"/>
            <wp:effectExtent l="0" t="0" r="7620" b="508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7C0CC6" w:rsidRPr="00BF20D3" w:rsidRDefault="007C0CC6">
      <w:pPr>
        <w:rPr>
          <w:sz w:val="20"/>
        </w:rPr>
      </w:pPr>
      <w:r w:rsidRPr="00BF20D3">
        <w:rPr>
          <w:sz w:val="20"/>
        </w:rPr>
        <w:t xml:space="preserve">In terms of components of Victoria’s population growth, the </w:t>
      </w:r>
      <w:r w:rsidR="00DD0231">
        <w:rPr>
          <w:sz w:val="20"/>
        </w:rPr>
        <w:t>n</w:t>
      </w:r>
      <w:r w:rsidR="00E61CCB" w:rsidRPr="00BF20D3">
        <w:rPr>
          <w:sz w:val="20"/>
        </w:rPr>
        <w:t xml:space="preserve">atural increase was </w:t>
      </w:r>
      <w:r w:rsidR="003922FF" w:rsidRPr="00BF20D3">
        <w:rPr>
          <w:sz w:val="20"/>
        </w:rPr>
        <w:t>36</w:t>
      </w:r>
      <w:r w:rsidR="00CE2BBA" w:rsidRPr="00BF20D3">
        <w:rPr>
          <w:sz w:val="20"/>
        </w:rPr>
        <w:t>,</w:t>
      </w:r>
      <w:r w:rsidR="003922FF" w:rsidRPr="00BF20D3">
        <w:rPr>
          <w:sz w:val="20"/>
        </w:rPr>
        <w:t>249</w:t>
      </w:r>
      <w:r w:rsidR="00E61CCB" w:rsidRPr="00BF20D3">
        <w:rPr>
          <w:sz w:val="20"/>
        </w:rPr>
        <w:t xml:space="preserve"> peopl</w:t>
      </w:r>
      <w:r w:rsidR="00932482">
        <w:rPr>
          <w:sz w:val="20"/>
        </w:rPr>
        <w:t>e.</w:t>
      </w:r>
      <w:r w:rsidR="003922FF" w:rsidRPr="00BF20D3">
        <w:rPr>
          <w:sz w:val="20"/>
        </w:rPr>
        <w:t xml:space="preserve"> </w:t>
      </w:r>
      <w:r w:rsidR="00932482">
        <w:rPr>
          <w:sz w:val="20"/>
        </w:rPr>
        <w:t>T</w:t>
      </w:r>
      <w:r w:rsidR="003922FF" w:rsidRPr="00BF20D3">
        <w:rPr>
          <w:sz w:val="20"/>
        </w:rPr>
        <w:t>here w</w:t>
      </w:r>
      <w:r w:rsidR="00DD0231">
        <w:rPr>
          <w:sz w:val="20"/>
        </w:rPr>
        <w:t>as</w:t>
      </w:r>
      <w:r w:rsidR="003922FF" w:rsidRPr="00BF20D3">
        <w:rPr>
          <w:sz w:val="20"/>
        </w:rPr>
        <w:t xml:space="preserve"> a net inflow of 60</w:t>
      </w:r>
      <w:r w:rsidR="00E61CCB" w:rsidRPr="00BF20D3">
        <w:rPr>
          <w:sz w:val="20"/>
        </w:rPr>
        <w:t>,</w:t>
      </w:r>
      <w:r w:rsidR="003922FF" w:rsidRPr="00BF20D3">
        <w:rPr>
          <w:sz w:val="20"/>
        </w:rPr>
        <w:t>532</w:t>
      </w:r>
      <w:r w:rsidR="00E61CCB" w:rsidRPr="00BF20D3">
        <w:rPr>
          <w:sz w:val="20"/>
        </w:rPr>
        <w:t xml:space="preserve"> overseas migrants and a net inflow of </w:t>
      </w:r>
      <w:r w:rsidR="003922FF" w:rsidRPr="00BF20D3">
        <w:rPr>
          <w:sz w:val="20"/>
        </w:rPr>
        <w:t>13</w:t>
      </w:r>
      <w:r w:rsidR="00CE2BBA" w:rsidRPr="00BF20D3">
        <w:rPr>
          <w:sz w:val="20"/>
        </w:rPr>
        <w:t>,</w:t>
      </w:r>
      <w:r w:rsidR="003922FF" w:rsidRPr="00BF20D3">
        <w:rPr>
          <w:sz w:val="20"/>
        </w:rPr>
        <w:t>049</w:t>
      </w:r>
      <w:r w:rsidR="00E61CCB" w:rsidRPr="00BF20D3">
        <w:rPr>
          <w:sz w:val="20"/>
        </w:rPr>
        <w:t xml:space="preserve"> people migrating from interstate.</w:t>
      </w:r>
      <w:r w:rsidRPr="00BF20D3">
        <w:rPr>
          <w:sz w:val="20"/>
        </w:rPr>
        <w:t xml:space="preserve"> Victoria and Queensland were the only two states or territories to see a positive net interstate migration. </w:t>
      </w:r>
    </w:p>
    <w:p w:rsidR="007C0CC6" w:rsidRPr="00BF20D3" w:rsidRDefault="007C0CC6">
      <w:r w:rsidRPr="00BF20D3">
        <w:t xml:space="preserve"> </w:t>
      </w:r>
      <w:r w:rsidR="003922FF" w:rsidRPr="00BF20D3">
        <w:rPr>
          <w:noProof/>
          <w:lang w:eastAsia="en-AU"/>
        </w:rPr>
        <w:drawing>
          <wp:inline distT="0" distB="0" distL="0" distR="0" wp14:anchorId="00632628" wp14:editId="76BB72F7">
            <wp:extent cx="6209665" cy="3915410"/>
            <wp:effectExtent l="0" t="0" r="635" b="889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61CCB" w:rsidRPr="00BF20D3" w:rsidRDefault="00E61CCB">
      <w:pPr>
        <w:rPr>
          <w:sz w:val="20"/>
        </w:rPr>
      </w:pPr>
      <w:r w:rsidRPr="00BF20D3">
        <w:rPr>
          <w:sz w:val="20"/>
        </w:rPr>
        <w:t>Historically</w:t>
      </w:r>
      <w:r w:rsidR="00FC73F9">
        <w:rPr>
          <w:sz w:val="20"/>
        </w:rPr>
        <w:t>,</w:t>
      </w:r>
      <w:r w:rsidRPr="00BF20D3">
        <w:rPr>
          <w:sz w:val="20"/>
        </w:rPr>
        <w:t xml:space="preserve"> Victoria has at times lost population to other states but this trend seems to have reversed</w:t>
      </w:r>
      <w:r w:rsidR="00FC73F9">
        <w:rPr>
          <w:sz w:val="20"/>
        </w:rPr>
        <w:t>,</w:t>
      </w:r>
      <w:r w:rsidRPr="00BF20D3">
        <w:rPr>
          <w:sz w:val="20"/>
        </w:rPr>
        <w:t xml:space="preserve"> with net interstate migration at levels not seen since the Gold-rush era. Net </w:t>
      </w:r>
      <w:r w:rsidR="005604B9" w:rsidRPr="00BF20D3">
        <w:rPr>
          <w:sz w:val="20"/>
        </w:rPr>
        <w:t>o</w:t>
      </w:r>
      <w:r w:rsidRPr="00BF20D3">
        <w:rPr>
          <w:sz w:val="20"/>
        </w:rPr>
        <w:t>versea</w:t>
      </w:r>
      <w:r w:rsidR="006E5E26" w:rsidRPr="00BF20D3">
        <w:rPr>
          <w:sz w:val="20"/>
        </w:rPr>
        <w:t>s</w:t>
      </w:r>
      <w:r w:rsidRPr="00BF20D3">
        <w:rPr>
          <w:sz w:val="20"/>
        </w:rPr>
        <w:t xml:space="preserve"> migration has been fairly stable for the</w:t>
      </w:r>
      <w:r w:rsidR="00932482">
        <w:rPr>
          <w:sz w:val="20"/>
        </w:rPr>
        <w:t xml:space="preserve"> past</w:t>
      </w:r>
      <w:r w:rsidRPr="00BF20D3">
        <w:rPr>
          <w:sz w:val="20"/>
        </w:rPr>
        <w:t xml:space="preserve"> few years</w:t>
      </w:r>
      <w:r w:rsidR="0058655D">
        <w:rPr>
          <w:sz w:val="20"/>
        </w:rPr>
        <w:t>,</w:t>
      </w:r>
      <w:r w:rsidRPr="00BF20D3">
        <w:rPr>
          <w:sz w:val="20"/>
        </w:rPr>
        <w:t xml:space="preserve"> after the</w:t>
      </w:r>
      <w:r w:rsidR="00524330" w:rsidRPr="00BF20D3">
        <w:rPr>
          <w:sz w:val="20"/>
        </w:rPr>
        <w:t xml:space="preserve"> high peak </w:t>
      </w:r>
      <w:r w:rsidRPr="00BF20D3">
        <w:rPr>
          <w:sz w:val="20"/>
        </w:rPr>
        <w:t xml:space="preserve">that occurred around </w:t>
      </w:r>
      <w:r w:rsidR="00524330" w:rsidRPr="00BF20D3">
        <w:rPr>
          <w:sz w:val="20"/>
        </w:rPr>
        <w:t xml:space="preserve">2009 and </w:t>
      </w:r>
      <w:r w:rsidRPr="00BF20D3">
        <w:rPr>
          <w:sz w:val="20"/>
        </w:rPr>
        <w:t>2010</w:t>
      </w:r>
      <w:r w:rsidR="0058655D">
        <w:rPr>
          <w:sz w:val="20"/>
        </w:rPr>
        <w:t>,</w:t>
      </w:r>
      <w:r w:rsidR="00932482">
        <w:rPr>
          <w:sz w:val="20"/>
        </w:rPr>
        <w:t xml:space="preserve"> followed by a significant fall in 2011</w:t>
      </w:r>
      <w:r w:rsidRPr="00BF20D3">
        <w:rPr>
          <w:sz w:val="20"/>
        </w:rPr>
        <w:t xml:space="preserve">. </w:t>
      </w:r>
    </w:p>
    <w:p w:rsidR="00E61CCB" w:rsidRPr="00BF20D3" w:rsidRDefault="0094234B">
      <w:pPr>
        <w:rPr>
          <w:sz w:val="20"/>
        </w:rPr>
      </w:pPr>
      <w:r w:rsidRPr="00BF20D3">
        <w:rPr>
          <w:noProof/>
          <w:lang w:eastAsia="en-AU"/>
        </w:rPr>
        <w:lastRenderedPageBreak/>
        <w:drawing>
          <wp:inline distT="0" distB="0" distL="0" distR="0" wp14:anchorId="103674E8" wp14:editId="142F9DDC">
            <wp:extent cx="6209665" cy="4001770"/>
            <wp:effectExtent l="0" t="0" r="635" b="0"/>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71481" w:rsidRPr="00BF20D3" w:rsidRDefault="00571481" w:rsidP="00571481">
      <w:pPr>
        <w:rPr>
          <w:sz w:val="20"/>
        </w:rPr>
      </w:pPr>
      <w:r w:rsidRPr="00BF20D3">
        <w:rPr>
          <w:sz w:val="20"/>
        </w:rPr>
        <w:t>In recent years Victoria has seen an increase in the number of births. In 2012, the 40</w:t>
      </w:r>
      <w:r w:rsidR="00CC72A0">
        <w:rPr>
          <w:sz w:val="20"/>
        </w:rPr>
        <w:t>-</w:t>
      </w:r>
      <w:r w:rsidRPr="00BF20D3">
        <w:rPr>
          <w:sz w:val="20"/>
        </w:rPr>
        <w:t>year</w:t>
      </w:r>
      <w:r w:rsidR="00CC72A0">
        <w:rPr>
          <w:sz w:val="20"/>
        </w:rPr>
        <w:t>-</w:t>
      </w:r>
      <w:r w:rsidRPr="00BF20D3">
        <w:rPr>
          <w:sz w:val="20"/>
        </w:rPr>
        <w:t>old record for births was broken</w:t>
      </w:r>
      <w:r w:rsidR="00CC72A0">
        <w:rPr>
          <w:sz w:val="20"/>
        </w:rPr>
        <w:t>,</w:t>
      </w:r>
      <w:r w:rsidRPr="00BF20D3">
        <w:rPr>
          <w:sz w:val="20"/>
        </w:rPr>
        <w:t xml:space="preserve"> with 77,405 births. 2013 and 2014 both recorded strong numbers of births.</w:t>
      </w:r>
    </w:p>
    <w:p w:rsidR="00571481" w:rsidRPr="00BF20D3" w:rsidRDefault="00571481" w:rsidP="00571481">
      <w:pPr>
        <w:rPr>
          <w:sz w:val="20"/>
        </w:rPr>
      </w:pPr>
      <w:r w:rsidRPr="00BF20D3">
        <w:rPr>
          <w:noProof/>
          <w:sz w:val="20"/>
          <w:lang w:eastAsia="en-AU"/>
        </w:rPr>
        <w:drawing>
          <wp:inline distT="0" distB="0" distL="0" distR="0" wp14:anchorId="01C7AF88" wp14:editId="64A5A721">
            <wp:extent cx="6256020" cy="3162300"/>
            <wp:effectExtent l="0" t="0" r="1143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E2BBA" w:rsidRPr="00BF20D3" w:rsidRDefault="00CE2BBA" w:rsidP="00571481">
      <w:pPr>
        <w:rPr>
          <w:sz w:val="20"/>
        </w:rPr>
      </w:pPr>
    </w:p>
    <w:p w:rsidR="00CE2BBA" w:rsidRPr="00BF20D3" w:rsidRDefault="00CE2BBA" w:rsidP="00571481">
      <w:pPr>
        <w:rPr>
          <w:sz w:val="20"/>
        </w:rPr>
      </w:pPr>
    </w:p>
    <w:p w:rsidR="00CE2BBA" w:rsidRPr="00BF20D3" w:rsidRDefault="00CE2BBA" w:rsidP="00571481">
      <w:pPr>
        <w:rPr>
          <w:sz w:val="20"/>
        </w:rPr>
      </w:pPr>
    </w:p>
    <w:p w:rsidR="00CE2BBA" w:rsidRPr="00BF20D3" w:rsidRDefault="00CE2BBA" w:rsidP="00571481">
      <w:pPr>
        <w:rPr>
          <w:sz w:val="20"/>
        </w:rPr>
      </w:pPr>
    </w:p>
    <w:p w:rsidR="00CE2BBA" w:rsidRPr="00BF20D3" w:rsidRDefault="00CE2BBA" w:rsidP="00571481">
      <w:pPr>
        <w:rPr>
          <w:sz w:val="20"/>
        </w:rPr>
      </w:pPr>
    </w:p>
    <w:p w:rsidR="00CE2BBA" w:rsidRPr="00BF20D3" w:rsidRDefault="00CE2BBA" w:rsidP="00571481">
      <w:pPr>
        <w:rPr>
          <w:sz w:val="20"/>
        </w:rPr>
      </w:pPr>
    </w:p>
    <w:p w:rsidR="00F87F37" w:rsidRPr="0014025C" w:rsidRDefault="00B5136D" w:rsidP="0072166A">
      <w:pPr>
        <w:pStyle w:val="Heading2numbered"/>
        <w:rPr>
          <w:color w:val="002060"/>
        </w:rPr>
      </w:pPr>
      <w:bookmarkStart w:id="6" w:name="_Toc437436623"/>
      <w:bookmarkStart w:id="7" w:name="_Toc458605154"/>
      <w:r w:rsidRPr="0014025C">
        <w:rPr>
          <w:color w:val="002060"/>
        </w:rPr>
        <w:lastRenderedPageBreak/>
        <w:t xml:space="preserve">Population Growth </w:t>
      </w:r>
      <w:r w:rsidR="009F776B" w:rsidRPr="0014025C">
        <w:rPr>
          <w:color w:val="002060"/>
        </w:rPr>
        <w:t xml:space="preserve">and Projections </w:t>
      </w:r>
      <w:r w:rsidRPr="0014025C">
        <w:rPr>
          <w:color w:val="002060"/>
        </w:rPr>
        <w:t>by L</w:t>
      </w:r>
      <w:r w:rsidR="00133B2E" w:rsidRPr="0014025C">
        <w:rPr>
          <w:color w:val="002060"/>
        </w:rPr>
        <w:t xml:space="preserve">ocal </w:t>
      </w:r>
      <w:r w:rsidRPr="0014025C">
        <w:rPr>
          <w:color w:val="002060"/>
        </w:rPr>
        <w:t>G</w:t>
      </w:r>
      <w:r w:rsidR="00133B2E" w:rsidRPr="0014025C">
        <w:rPr>
          <w:color w:val="002060"/>
        </w:rPr>
        <w:t>overnment A</w:t>
      </w:r>
      <w:r w:rsidRPr="0014025C">
        <w:rPr>
          <w:color w:val="002060"/>
        </w:rPr>
        <w:t>rea</w:t>
      </w:r>
      <w:bookmarkEnd w:id="6"/>
      <w:bookmarkEnd w:id="7"/>
    </w:p>
    <w:p w:rsidR="003711B2" w:rsidRPr="00BF20D3" w:rsidRDefault="008752A7">
      <w:pPr>
        <w:rPr>
          <w:sz w:val="20"/>
        </w:rPr>
      </w:pPr>
      <w:r w:rsidRPr="00BF20D3">
        <w:rPr>
          <w:sz w:val="20"/>
        </w:rPr>
        <w:t>All</w:t>
      </w:r>
      <w:r w:rsidR="00B5136D" w:rsidRPr="00BF20D3">
        <w:rPr>
          <w:sz w:val="20"/>
        </w:rPr>
        <w:t xml:space="preserve"> metropolitan local government areas </w:t>
      </w:r>
      <w:r w:rsidRPr="00BF20D3">
        <w:rPr>
          <w:sz w:val="20"/>
        </w:rPr>
        <w:t>except for Nillumbik experienced</w:t>
      </w:r>
      <w:r w:rsidR="00B5136D" w:rsidRPr="00BF20D3">
        <w:rPr>
          <w:sz w:val="20"/>
        </w:rPr>
        <w:t xml:space="preserve"> population growth in the year to </w:t>
      </w:r>
      <w:r w:rsidR="00690B60" w:rsidRPr="00BF20D3">
        <w:rPr>
          <w:sz w:val="20"/>
        </w:rPr>
        <w:t>30 June</w:t>
      </w:r>
      <w:r w:rsidRPr="00BF20D3">
        <w:rPr>
          <w:sz w:val="20"/>
        </w:rPr>
        <w:t xml:space="preserve"> 2015</w:t>
      </w:r>
      <w:r w:rsidR="00B5136D" w:rsidRPr="00BF20D3">
        <w:rPr>
          <w:sz w:val="20"/>
        </w:rPr>
        <w:t>.</w:t>
      </w:r>
      <w:r w:rsidR="00524330" w:rsidRPr="00BF20D3">
        <w:rPr>
          <w:sz w:val="20"/>
        </w:rPr>
        <w:t xml:space="preserve"> </w:t>
      </w:r>
      <w:r w:rsidR="002B250B" w:rsidRPr="00BF20D3">
        <w:rPr>
          <w:sz w:val="20"/>
        </w:rPr>
        <w:t>In the year Victor</w:t>
      </w:r>
      <w:r w:rsidRPr="00BF20D3">
        <w:rPr>
          <w:sz w:val="20"/>
        </w:rPr>
        <w:t>ia grew by 99</w:t>
      </w:r>
      <w:r w:rsidR="002B250B" w:rsidRPr="00BF20D3">
        <w:rPr>
          <w:sz w:val="20"/>
        </w:rPr>
        <w:t>,</w:t>
      </w:r>
      <w:r w:rsidRPr="00BF20D3">
        <w:rPr>
          <w:sz w:val="20"/>
        </w:rPr>
        <w:t>371</w:t>
      </w:r>
      <w:r w:rsidR="00A8071A">
        <w:rPr>
          <w:sz w:val="20"/>
        </w:rPr>
        <w:t>,</w:t>
      </w:r>
      <w:r w:rsidRPr="00BF20D3">
        <w:rPr>
          <w:sz w:val="20"/>
        </w:rPr>
        <w:t xml:space="preserve"> with 90</w:t>
      </w:r>
      <w:r w:rsidR="002B250B" w:rsidRPr="00BF20D3">
        <w:rPr>
          <w:sz w:val="20"/>
        </w:rPr>
        <w:t>,</w:t>
      </w:r>
      <w:r w:rsidRPr="00BF20D3">
        <w:rPr>
          <w:sz w:val="20"/>
        </w:rPr>
        <w:t>606</w:t>
      </w:r>
      <w:r w:rsidR="002B250B" w:rsidRPr="00BF20D3">
        <w:rPr>
          <w:sz w:val="20"/>
        </w:rPr>
        <w:t xml:space="preserve"> in Melbourne (9</w:t>
      </w:r>
      <w:r w:rsidRPr="00BF20D3">
        <w:rPr>
          <w:sz w:val="20"/>
        </w:rPr>
        <w:t>1</w:t>
      </w:r>
      <w:r w:rsidR="002B250B" w:rsidRPr="00BF20D3">
        <w:rPr>
          <w:sz w:val="20"/>
        </w:rPr>
        <w:t>%) and</w:t>
      </w:r>
      <w:r w:rsidR="005604B9" w:rsidRPr="00BF20D3">
        <w:rPr>
          <w:sz w:val="20"/>
        </w:rPr>
        <w:t xml:space="preserve"> </w:t>
      </w:r>
      <w:r w:rsidRPr="00BF20D3">
        <w:rPr>
          <w:sz w:val="20"/>
        </w:rPr>
        <w:t>8</w:t>
      </w:r>
      <w:r w:rsidR="002B250B" w:rsidRPr="00BF20D3">
        <w:rPr>
          <w:sz w:val="20"/>
        </w:rPr>
        <w:t>,</w:t>
      </w:r>
      <w:r w:rsidRPr="00BF20D3">
        <w:rPr>
          <w:sz w:val="20"/>
        </w:rPr>
        <w:t xml:space="preserve">765 in </w:t>
      </w:r>
      <w:r w:rsidR="00CB0D04">
        <w:rPr>
          <w:sz w:val="20"/>
        </w:rPr>
        <w:t>r</w:t>
      </w:r>
      <w:r w:rsidRPr="00BF20D3">
        <w:rPr>
          <w:sz w:val="20"/>
        </w:rPr>
        <w:t>egional Victoria (9</w:t>
      </w:r>
      <w:r w:rsidR="002B250B" w:rsidRPr="00BF20D3">
        <w:rPr>
          <w:sz w:val="20"/>
        </w:rPr>
        <w:t xml:space="preserve">%). </w:t>
      </w:r>
      <w:r w:rsidR="00B5136D" w:rsidRPr="00BF20D3">
        <w:rPr>
          <w:sz w:val="20"/>
        </w:rPr>
        <w:t>The largest growth was found in W</w:t>
      </w:r>
      <w:r w:rsidRPr="00BF20D3">
        <w:rPr>
          <w:sz w:val="20"/>
        </w:rPr>
        <w:t>yndham</w:t>
      </w:r>
      <w:r w:rsidR="00F82FF4">
        <w:rPr>
          <w:sz w:val="20"/>
        </w:rPr>
        <w:t>,</w:t>
      </w:r>
      <w:r w:rsidRPr="00BF20D3">
        <w:rPr>
          <w:sz w:val="20"/>
        </w:rPr>
        <w:t xml:space="preserve"> with an additional 10,202</w:t>
      </w:r>
      <w:r w:rsidR="00B5136D" w:rsidRPr="00BF20D3">
        <w:rPr>
          <w:sz w:val="20"/>
        </w:rPr>
        <w:t xml:space="preserve"> people. The other </w:t>
      </w:r>
      <w:r w:rsidR="00524330" w:rsidRPr="00BF20D3">
        <w:rPr>
          <w:sz w:val="20"/>
        </w:rPr>
        <w:t xml:space="preserve">outer </w:t>
      </w:r>
      <w:r w:rsidR="00B5136D" w:rsidRPr="00BF20D3">
        <w:rPr>
          <w:sz w:val="20"/>
        </w:rPr>
        <w:t xml:space="preserve">growth areas </w:t>
      </w:r>
      <w:r w:rsidR="003711B2" w:rsidRPr="00BF20D3">
        <w:rPr>
          <w:sz w:val="20"/>
        </w:rPr>
        <w:t xml:space="preserve">saw large </w:t>
      </w:r>
      <w:r w:rsidR="00524330" w:rsidRPr="00BF20D3">
        <w:rPr>
          <w:sz w:val="20"/>
        </w:rPr>
        <w:t>increases</w:t>
      </w:r>
      <w:r w:rsidR="00F82FF4">
        <w:rPr>
          <w:sz w:val="20"/>
        </w:rPr>
        <w:t>,</w:t>
      </w:r>
      <w:r w:rsidR="003711B2" w:rsidRPr="00BF20D3">
        <w:rPr>
          <w:sz w:val="20"/>
        </w:rPr>
        <w:t xml:space="preserve"> as did the cities of Melbourne and Moreland.</w:t>
      </w:r>
    </w:p>
    <w:p w:rsidR="000E29A1" w:rsidRPr="00BF20D3" w:rsidRDefault="003711B2">
      <w:pPr>
        <w:rPr>
          <w:sz w:val="20"/>
        </w:rPr>
      </w:pPr>
      <w:r w:rsidRPr="00BF20D3">
        <w:rPr>
          <w:sz w:val="20"/>
        </w:rPr>
        <w:t xml:space="preserve">In </w:t>
      </w:r>
      <w:r w:rsidR="00F82FF4">
        <w:rPr>
          <w:sz w:val="20"/>
        </w:rPr>
        <w:t>r</w:t>
      </w:r>
      <w:r w:rsidRPr="00BF20D3">
        <w:rPr>
          <w:sz w:val="20"/>
        </w:rPr>
        <w:t xml:space="preserve">egional Victoria, strong growth was seen in Greater Geelong, Ballarat and Bendigo. Other areas to experience large growth were peri-urban </w:t>
      </w:r>
      <w:r w:rsidR="007169B3" w:rsidRPr="00BF20D3">
        <w:rPr>
          <w:sz w:val="20"/>
        </w:rPr>
        <w:t xml:space="preserve">Local </w:t>
      </w:r>
      <w:r w:rsidR="00CB0D04">
        <w:rPr>
          <w:sz w:val="20"/>
        </w:rPr>
        <w:t>G</w:t>
      </w:r>
      <w:r w:rsidR="007169B3" w:rsidRPr="00BF20D3">
        <w:rPr>
          <w:sz w:val="20"/>
        </w:rPr>
        <w:t xml:space="preserve">overnment </w:t>
      </w:r>
      <w:r w:rsidR="00CB0D04">
        <w:rPr>
          <w:sz w:val="20"/>
        </w:rPr>
        <w:t>A</w:t>
      </w:r>
      <w:r w:rsidR="007169B3" w:rsidRPr="00BF20D3">
        <w:rPr>
          <w:sz w:val="20"/>
        </w:rPr>
        <w:t>reas (LGAs)</w:t>
      </w:r>
      <w:r w:rsidRPr="00BF20D3">
        <w:rPr>
          <w:sz w:val="20"/>
        </w:rPr>
        <w:t>, such as Baw Baw and Macedon Ranges, and coastal LGAs, like Bass</w:t>
      </w:r>
      <w:r w:rsidR="001D71EC" w:rsidRPr="00BF20D3">
        <w:rPr>
          <w:sz w:val="20"/>
        </w:rPr>
        <w:t xml:space="preserve"> Coast</w:t>
      </w:r>
      <w:r w:rsidRPr="00BF20D3">
        <w:rPr>
          <w:sz w:val="20"/>
        </w:rPr>
        <w:t xml:space="preserve">. </w:t>
      </w:r>
    </w:p>
    <w:p w:rsidR="003711B2" w:rsidRPr="00BF20D3" w:rsidRDefault="003711B2">
      <w:pPr>
        <w:rPr>
          <w:sz w:val="20"/>
        </w:rPr>
      </w:pPr>
      <w:r w:rsidRPr="00BF20D3">
        <w:rPr>
          <w:sz w:val="20"/>
        </w:rPr>
        <w:t xml:space="preserve">Many </w:t>
      </w:r>
      <w:r w:rsidR="002B250B" w:rsidRPr="00BF20D3">
        <w:rPr>
          <w:sz w:val="20"/>
        </w:rPr>
        <w:t xml:space="preserve">of the </w:t>
      </w:r>
      <w:r w:rsidRPr="00BF20D3">
        <w:rPr>
          <w:sz w:val="20"/>
        </w:rPr>
        <w:t xml:space="preserve">more remote LGAs sustained a significant decrease in population. </w:t>
      </w:r>
    </w:p>
    <w:p w:rsidR="003711B2" w:rsidRPr="00BF20D3" w:rsidRDefault="008752A7">
      <w:pPr>
        <w:rPr>
          <w:sz w:val="20"/>
        </w:rPr>
      </w:pPr>
      <w:r w:rsidRPr="00BF20D3">
        <w:rPr>
          <w:noProof/>
          <w:lang w:eastAsia="en-AU"/>
        </w:rPr>
        <w:drawing>
          <wp:inline distT="0" distB="0" distL="0" distR="0" wp14:anchorId="42099C12" wp14:editId="05B52B6B">
            <wp:extent cx="5966460" cy="709422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87F37" w:rsidRPr="00BF20D3" w:rsidRDefault="003711B2">
      <w:pPr>
        <w:rPr>
          <w:sz w:val="20"/>
        </w:rPr>
      </w:pPr>
      <w:r w:rsidRPr="00BF20D3">
        <w:rPr>
          <w:sz w:val="20"/>
        </w:rPr>
        <w:lastRenderedPageBreak/>
        <w:t xml:space="preserve"> </w:t>
      </w:r>
      <w:r w:rsidR="008752A7" w:rsidRPr="00BF20D3">
        <w:rPr>
          <w:noProof/>
          <w:lang w:eastAsia="en-AU"/>
        </w:rPr>
        <w:drawing>
          <wp:inline distT="0" distB="0" distL="0" distR="0" wp14:anchorId="124F6949" wp14:editId="0B86DEF4">
            <wp:extent cx="6209665" cy="9083040"/>
            <wp:effectExtent l="0" t="0" r="635" b="381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F87F37" w:rsidRPr="00BF20D3">
        <w:rPr>
          <w:sz w:val="20"/>
        </w:rPr>
        <w:br w:type="page"/>
      </w:r>
    </w:p>
    <w:p w:rsidR="00055988" w:rsidRPr="00BF20D3" w:rsidRDefault="00055988">
      <w:pPr>
        <w:rPr>
          <w:sz w:val="20"/>
        </w:rPr>
      </w:pPr>
      <w:bookmarkStart w:id="8" w:name="_Toc437436624"/>
      <w:r w:rsidRPr="00BF20D3">
        <w:rPr>
          <w:sz w:val="20"/>
        </w:rPr>
        <w:lastRenderedPageBreak/>
        <w:t xml:space="preserve">The projected populations for each </w:t>
      </w:r>
      <w:r w:rsidR="00452EF8" w:rsidRPr="00BF20D3">
        <w:rPr>
          <w:sz w:val="20"/>
        </w:rPr>
        <w:t xml:space="preserve">of </w:t>
      </w:r>
      <w:r w:rsidRPr="00BF20D3">
        <w:rPr>
          <w:sz w:val="20"/>
        </w:rPr>
        <w:t>Melbourne</w:t>
      </w:r>
      <w:r w:rsidR="00452EF8" w:rsidRPr="00BF20D3">
        <w:rPr>
          <w:sz w:val="20"/>
        </w:rPr>
        <w:t>’s</w:t>
      </w:r>
      <w:r w:rsidRPr="00BF20D3">
        <w:rPr>
          <w:sz w:val="20"/>
        </w:rPr>
        <w:t xml:space="preserve"> and Regional Victoria’s LGAs up until 2031 are outlined below.</w:t>
      </w:r>
      <w:r w:rsidR="009B2D78" w:rsidRPr="00BF20D3">
        <w:rPr>
          <w:sz w:val="20"/>
        </w:rPr>
        <w:t xml:space="preserve"> As at 2031</w:t>
      </w:r>
      <w:r w:rsidR="002B250B" w:rsidRPr="00BF20D3">
        <w:rPr>
          <w:sz w:val="20"/>
        </w:rPr>
        <w:t>, Victoria is projected to have 7.7</w:t>
      </w:r>
      <w:r w:rsidR="00F51B05">
        <w:rPr>
          <w:sz w:val="20"/>
        </w:rPr>
        <w:t xml:space="preserve"> </w:t>
      </w:r>
      <w:r w:rsidR="002B250B" w:rsidRPr="00BF20D3">
        <w:rPr>
          <w:sz w:val="20"/>
        </w:rPr>
        <w:t>m</w:t>
      </w:r>
      <w:r w:rsidR="00F51B05">
        <w:rPr>
          <w:sz w:val="20"/>
        </w:rPr>
        <w:t>illion</w:t>
      </w:r>
      <w:r w:rsidR="002B250B" w:rsidRPr="00BF20D3">
        <w:rPr>
          <w:sz w:val="20"/>
        </w:rPr>
        <w:t xml:space="preserve"> people</w:t>
      </w:r>
      <w:r w:rsidR="00F51B05">
        <w:rPr>
          <w:sz w:val="20"/>
        </w:rPr>
        <w:t>,</w:t>
      </w:r>
      <w:r w:rsidR="002B250B" w:rsidRPr="00BF20D3">
        <w:rPr>
          <w:sz w:val="20"/>
        </w:rPr>
        <w:t xml:space="preserve"> with 5.9</w:t>
      </w:r>
      <w:r w:rsidR="00F51B05">
        <w:rPr>
          <w:sz w:val="20"/>
        </w:rPr>
        <w:t xml:space="preserve"> million</w:t>
      </w:r>
      <w:r w:rsidR="002B250B" w:rsidRPr="00BF20D3">
        <w:rPr>
          <w:sz w:val="20"/>
        </w:rPr>
        <w:t xml:space="preserve"> in metropolitan Melbourne (77%) and 1.8</w:t>
      </w:r>
      <w:r w:rsidR="00F51B05">
        <w:rPr>
          <w:sz w:val="20"/>
        </w:rPr>
        <w:t xml:space="preserve"> </w:t>
      </w:r>
      <w:r w:rsidR="002B250B" w:rsidRPr="00BF20D3">
        <w:rPr>
          <w:sz w:val="20"/>
        </w:rPr>
        <w:t>m</w:t>
      </w:r>
      <w:r w:rsidR="00F51B05">
        <w:rPr>
          <w:sz w:val="20"/>
        </w:rPr>
        <w:t>illion</w:t>
      </w:r>
      <w:r w:rsidR="002B250B" w:rsidRPr="00BF20D3">
        <w:rPr>
          <w:sz w:val="20"/>
        </w:rPr>
        <w:t xml:space="preserve"> in </w:t>
      </w:r>
      <w:r w:rsidR="00F51B05">
        <w:rPr>
          <w:sz w:val="20"/>
        </w:rPr>
        <w:t>r</w:t>
      </w:r>
      <w:r w:rsidR="002B250B" w:rsidRPr="00BF20D3">
        <w:rPr>
          <w:sz w:val="20"/>
        </w:rPr>
        <w:t xml:space="preserve">egional Victoria (23%). This </w:t>
      </w:r>
      <w:r w:rsidR="00D143F4" w:rsidRPr="00BF20D3">
        <w:rPr>
          <w:sz w:val="20"/>
        </w:rPr>
        <w:t>is a growth of 1.7</w:t>
      </w:r>
      <w:r w:rsidR="008A75EC">
        <w:rPr>
          <w:sz w:val="20"/>
        </w:rPr>
        <w:t xml:space="preserve"> </w:t>
      </w:r>
      <w:r w:rsidR="002B250B" w:rsidRPr="00BF20D3">
        <w:rPr>
          <w:sz w:val="20"/>
        </w:rPr>
        <w:t>m</w:t>
      </w:r>
      <w:r w:rsidR="008A75EC">
        <w:rPr>
          <w:sz w:val="20"/>
        </w:rPr>
        <w:t>illion</w:t>
      </w:r>
      <w:r w:rsidR="002B250B" w:rsidRPr="00BF20D3">
        <w:rPr>
          <w:sz w:val="20"/>
        </w:rPr>
        <w:t xml:space="preserve"> </w:t>
      </w:r>
      <w:r w:rsidR="009B2D78" w:rsidRPr="00BF20D3">
        <w:rPr>
          <w:sz w:val="20"/>
        </w:rPr>
        <w:t xml:space="preserve">people </w:t>
      </w:r>
      <w:r w:rsidR="002B250B" w:rsidRPr="00BF20D3">
        <w:rPr>
          <w:sz w:val="20"/>
        </w:rPr>
        <w:t>in</w:t>
      </w:r>
      <w:r w:rsidR="009B2D78" w:rsidRPr="00BF20D3">
        <w:rPr>
          <w:sz w:val="20"/>
        </w:rPr>
        <w:t xml:space="preserve"> metropolitan</w:t>
      </w:r>
      <w:r w:rsidR="002B250B" w:rsidRPr="00BF20D3">
        <w:rPr>
          <w:sz w:val="20"/>
        </w:rPr>
        <w:t xml:space="preserve"> Melbourne</w:t>
      </w:r>
      <w:r w:rsidR="00D143F4" w:rsidRPr="00BF20D3">
        <w:rPr>
          <w:sz w:val="20"/>
        </w:rPr>
        <w:t xml:space="preserve"> (84</w:t>
      </w:r>
      <w:r w:rsidR="009B2D78" w:rsidRPr="00BF20D3">
        <w:rPr>
          <w:sz w:val="20"/>
        </w:rPr>
        <w:t xml:space="preserve">% of the total </w:t>
      </w:r>
      <w:r w:rsidR="008A75EC">
        <w:rPr>
          <w:sz w:val="20"/>
        </w:rPr>
        <w:t>s</w:t>
      </w:r>
      <w:r w:rsidR="009B2D78" w:rsidRPr="00BF20D3">
        <w:rPr>
          <w:sz w:val="20"/>
        </w:rPr>
        <w:t>tate</w:t>
      </w:r>
      <w:r w:rsidR="008A75EC">
        <w:rPr>
          <w:sz w:val="20"/>
        </w:rPr>
        <w:t xml:space="preserve"> g</w:t>
      </w:r>
      <w:r w:rsidR="009B2D78" w:rsidRPr="00BF20D3">
        <w:rPr>
          <w:sz w:val="20"/>
        </w:rPr>
        <w:t>rowth)</w:t>
      </w:r>
      <w:r w:rsidR="00D143F4" w:rsidRPr="00BF20D3">
        <w:rPr>
          <w:sz w:val="20"/>
        </w:rPr>
        <w:t xml:space="preserve"> and 2</w:t>
      </w:r>
      <w:r w:rsidR="002B250B" w:rsidRPr="00BF20D3">
        <w:rPr>
          <w:sz w:val="20"/>
        </w:rPr>
        <w:t xml:space="preserve">70,000 in </w:t>
      </w:r>
      <w:r w:rsidR="008A75EC">
        <w:rPr>
          <w:sz w:val="20"/>
        </w:rPr>
        <w:t>r</w:t>
      </w:r>
      <w:r w:rsidR="002B250B" w:rsidRPr="00BF20D3">
        <w:rPr>
          <w:sz w:val="20"/>
        </w:rPr>
        <w:t>egional Victoria</w:t>
      </w:r>
      <w:r w:rsidR="00D143F4" w:rsidRPr="00BF20D3">
        <w:rPr>
          <w:sz w:val="20"/>
        </w:rPr>
        <w:t xml:space="preserve"> (16</w:t>
      </w:r>
      <w:r w:rsidR="009B2D78" w:rsidRPr="00BF20D3">
        <w:rPr>
          <w:sz w:val="20"/>
        </w:rPr>
        <w:t>% of</w:t>
      </w:r>
      <w:r w:rsidR="00D143F4" w:rsidRPr="00BF20D3">
        <w:rPr>
          <w:sz w:val="20"/>
        </w:rPr>
        <w:t xml:space="preserve"> State growth)</w:t>
      </w:r>
      <w:r w:rsidR="008A75EC">
        <w:rPr>
          <w:sz w:val="20"/>
        </w:rPr>
        <w:t>,</w:t>
      </w:r>
      <w:r w:rsidR="00D143F4" w:rsidRPr="00BF20D3">
        <w:rPr>
          <w:sz w:val="20"/>
        </w:rPr>
        <w:t xml:space="preserve"> of which over 250</w:t>
      </w:r>
      <w:r w:rsidR="009B2D78" w:rsidRPr="00BF20D3">
        <w:rPr>
          <w:sz w:val="20"/>
        </w:rPr>
        <w:t>,</w:t>
      </w:r>
      <w:r w:rsidR="00D143F4" w:rsidRPr="00BF20D3">
        <w:rPr>
          <w:sz w:val="20"/>
        </w:rPr>
        <w:t>000 (or 94</w:t>
      </w:r>
      <w:r w:rsidR="009B2D78" w:rsidRPr="00BF20D3">
        <w:rPr>
          <w:sz w:val="20"/>
        </w:rPr>
        <w:t xml:space="preserve">%) are in the 10 key </w:t>
      </w:r>
      <w:r w:rsidR="00917C55">
        <w:rPr>
          <w:sz w:val="20"/>
        </w:rPr>
        <w:t>r</w:t>
      </w:r>
      <w:r w:rsidR="009B2D78" w:rsidRPr="00BF20D3">
        <w:rPr>
          <w:sz w:val="20"/>
        </w:rPr>
        <w:t xml:space="preserve">egional </w:t>
      </w:r>
      <w:r w:rsidR="00917C55">
        <w:rPr>
          <w:sz w:val="20"/>
        </w:rPr>
        <w:t>c</w:t>
      </w:r>
      <w:r w:rsidR="009B2D78" w:rsidRPr="00BF20D3">
        <w:rPr>
          <w:sz w:val="20"/>
        </w:rPr>
        <w:t xml:space="preserve">entres and </w:t>
      </w:r>
      <w:r w:rsidR="00917C55">
        <w:rPr>
          <w:sz w:val="20"/>
        </w:rPr>
        <w:t>p</w:t>
      </w:r>
      <w:r w:rsidR="009B2D78" w:rsidRPr="00BF20D3">
        <w:rPr>
          <w:sz w:val="20"/>
        </w:rPr>
        <w:t>eri urban and coastal areas</w:t>
      </w:r>
      <w:r w:rsidR="002B250B" w:rsidRPr="00BF20D3">
        <w:rPr>
          <w:sz w:val="20"/>
        </w:rPr>
        <w:t>.</w:t>
      </w:r>
    </w:p>
    <w:p w:rsidR="00055988" w:rsidRPr="00BF20D3" w:rsidRDefault="00D143F4">
      <w:pPr>
        <w:rPr>
          <w:sz w:val="20"/>
        </w:rPr>
      </w:pPr>
      <w:r w:rsidRPr="00BF20D3">
        <w:rPr>
          <w:noProof/>
          <w:lang w:eastAsia="en-AU"/>
        </w:rPr>
        <w:drawing>
          <wp:inline distT="0" distB="0" distL="0" distR="0" wp14:anchorId="5023EA6A" wp14:editId="0CE4D20E">
            <wp:extent cx="6111240" cy="8153400"/>
            <wp:effectExtent l="0" t="0" r="381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55988" w:rsidRPr="00BF20D3" w:rsidRDefault="00055988">
      <w:r w:rsidRPr="00BF20D3">
        <w:br w:type="page"/>
      </w:r>
      <w:r w:rsidR="00D143F4" w:rsidRPr="00BF20D3">
        <w:rPr>
          <w:noProof/>
          <w:lang w:eastAsia="en-AU"/>
        </w:rPr>
        <w:lastRenderedPageBreak/>
        <w:drawing>
          <wp:inline distT="0" distB="0" distL="0" distR="0" wp14:anchorId="415B2BFE" wp14:editId="61B37EFF">
            <wp:extent cx="6209665" cy="9250680"/>
            <wp:effectExtent l="0" t="0" r="635" b="762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9F776B" w:rsidRPr="00BF20D3">
        <w:t xml:space="preserve"> </w:t>
      </w:r>
      <w:r w:rsidRPr="00BF20D3">
        <w:br w:type="page"/>
      </w:r>
    </w:p>
    <w:p w:rsidR="00E61CCB" w:rsidRPr="0014025C" w:rsidRDefault="00E61CCB" w:rsidP="0072166A">
      <w:pPr>
        <w:pStyle w:val="Heading2numbered"/>
        <w:rPr>
          <w:color w:val="002060"/>
        </w:rPr>
      </w:pPr>
      <w:bookmarkStart w:id="9" w:name="_Toc458605155"/>
      <w:r w:rsidRPr="0014025C">
        <w:rPr>
          <w:color w:val="002060"/>
        </w:rPr>
        <w:lastRenderedPageBreak/>
        <w:t>B</w:t>
      </w:r>
      <w:r w:rsidR="00385888" w:rsidRPr="0014025C">
        <w:rPr>
          <w:color w:val="002060"/>
        </w:rPr>
        <w:t>irths</w:t>
      </w:r>
      <w:bookmarkEnd w:id="8"/>
      <w:r w:rsidR="00571481" w:rsidRPr="0014025C">
        <w:rPr>
          <w:color w:val="002060"/>
        </w:rPr>
        <w:t xml:space="preserve"> by Local Government Area</w:t>
      </w:r>
      <w:bookmarkEnd w:id="9"/>
    </w:p>
    <w:p w:rsidR="009A7358" w:rsidRPr="00BF20D3" w:rsidRDefault="009A7358">
      <w:pPr>
        <w:rPr>
          <w:sz w:val="20"/>
        </w:rPr>
      </w:pPr>
      <w:r w:rsidRPr="00BF20D3">
        <w:rPr>
          <w:sz w:val="20"/>
        </w:rPr>
        <w:t xml:space="preserve">Victoria had a total of 74,500 births in 2014, 57,500 of which were in metropolitan Melbourne (78%) and 16,550 in </w:t>
      </w:r>
      <w:r w:rsidR="001E3608">
        <w:rPr>
          <w:sz w:val="20"/>
        </w:rPr>
        <w:t>r</w:t>
      </w:r>
      <w:r w:rsidRPr="00BF20D3">
        <w:rPr>
          <w:sz w:val="20"/>
        </w:rPr>
        <w:t>egional Victoria (22%).</w:t>
      </w:r>
    </w:p>
    <w:p w:rsidR="00F87F37" w:rsidRPr="00BF20D3" w:rsidRDefault="00F87F37">
      <w:pPr>
        <w:rPr>
          <w:sz w:val="20"/>
        </w:rPr>
      </w:pPr>
      <w:r w:rsidRPr="00BF20D3">
        <w:rPr>
          <w:sz w:val="20"/>
        </w:rPr>
        <w:t xml:space="preserve">By </w:t>
      </w:r>
      <w:r w:rsidR="001E3608">
        <w:rPr>
          <w:sz w:val="20"/>
        </w:rPr>
        <w:t>L</w:t>
      </w:r>
      <w:r w:rsidRPr="00BF20D3">
        <w:rPr>
          <w:sz w:val="20"/>
        </w:rPr>
        <w:t xml:space="preserve">ocal </w:t>
      </w:r>
      <w:r w:rsidR="001E3608">
        <w:rPr>
          <w:sz w:val="20"/>
        </w:rPr>
        <w:t>G</w:t>
      </w:r>
      <w:r w:rsidRPr="00BF20D3">
        <w:rPr>
          <w:sz w:val="20"/>
        </w:rPr>
        <w:t xml:space="preserve">overnment </w:t>
      </w:r>
      <w:r w:rsidR="001E3608">
        <w:rPr>
          <w:sz w:val="20"/>
        </w:rPr>
        <w:t>A</w:t>
      </w:r>
      <w:r w:rsidRPr="00BF20D3">
        <w:rPr>
          <w:sz w:val="20"/>
        </w:rPr>
        <w:t>rea</w:t>
      </w:r>
      <w:r w:rsidR="001E3608">
        <w:rPr>
          <w:sz w:val="20"/>
        </w:rPr>
        <w:t xml:space="preserve"> (LGA)</w:t>
      </w:r>
      <w:r w:rsidRPr="00BF20D3">
        <w:rPr>
          <w:sz w:val="20"/>
        </w:rPr>
        <w:t>, the City of Casey had the most births</w:t>
      </w:r>
      <w:r w:rsidR="001E3608">
        <w:rPr>
          <w:sz w:val="20"/>
        </w:rPr>
        <w:t>,</w:t>
      </w:r>
      <w:r w:rsidRPr="00BF20D3">
        <w:rPr>
          <w:sz w:val="20"/>
        </w:rPr>
        <w:t xml:space="preserve"> with 4,254 babies born</w:t>
      </w:r>
      <w:r w:rsidR="001E3608">
        <w:rPr>
          <w:sz w:val="20"/>
        </w:rPr>
        <w:t>,</w:t>
      </w:r>
      <w:r w:rsidRPr="00BF20D3">
        <w:rPr>
          <w:sz w:val="20"/>
        </w:rPr>
        <w:t xml:space="preserve"> followed by other Greenfield </w:t>
      </w:r>
      <w:r w:rsidR="001E3608">
        <w:rPr>
          <w:sz w:val="20"/>
        </w:rPr>
        <w:t xml:space="preserve">LGAs, </w:t>
      </w:r>
      <w:r w:rsidR="001B6126" w:rsidRPr="00BF20D3">
        <w:rPr>
          <w:sz w:val="20"/>
        </w:rPr>
        <w:t>like Wyndham (3,975), Whittlesea (3,149) and Hume (3,070).</w:t>
      </w:r>
    </w:p>
    <w:p w:rsidR="001B6126" w:rsidRPr="00BF20D3" w:rsidRDefault="001B6126">
      <w:pPr>
        <w:rPr>
          <w:sz w:val="20"/>
        </w:rPr>
      </w:pPr>
      <w:r w:rsidRPr="00BF20D3">
        <w:rPr>
          <w:sz w:val="20"/>
        </w:rPr>
        <w:t xml:space="preserve">In </w:t>
      </w:r>
      <w:r w:rsidR="00A72AF4">
        <w:rPr>
          <w:sz w:val="20"/>
        </w:rPr>
        <w:t>r</w:t>
      </w:r>
      <w:r w:rsidRPr="00BF20D3">
        <w:rPr>
          <w:sz w:val="20"/>
        </w:rPr>
        <w:t>egional Victoria, Greater Geelong had 2,709 births and Bendigo and Ballarat both ha</w:t>
      </w:r>
      <w:r w:rsidR="00932482">
        <w:rPr>
          <w:sz w:val="20"/>
        </w:rPr>
        <w:t xml:space="preserve">d </w:t>
      </w:r>
      <w:r w:rsidRPr="00BF20D3">
        <w:rPr>
          <w:sz w:val="20"/>
        </w:rPr>
        <w:t>more than 1,000</w:t>
      </w:r>
      <w:r w:rsidR="00932482">
        <w:rPr>
          <w:sz w:val="20"/>
        </w:rPr>
        <w:t xml:space="preserve"> newborns</w:t>
      </w:r>
      <w:r w:rsidRPr="00BF20D3">
        <w:rPr>
          <w:sz w:val="20"/>
        </w:rPr>
        <w:t>.  Other interest</w:t>
      </w:r>
      <w:r w:rsidR="00932482">
        <w:rPr>
          <w:sz w:val="20"/>
        </w:rPr>
        <w:t>ing</w:t>
      </w:r>
      <w:r w:rsidRPr="00BF20D3">
        <w:rPr>
          <w:sz w:val="20"/>
        </w:rPr>
        <w:t xml:space="preserve"> results were recorded in Baw Baw and Macedon Ranges</w:t>
      </w:r>
      <w:r w:rsidR="00786B2B">
        <w:rPr>
          <w:sz w:val="20"/>
        </w:rPr>
        <w:t>,</w:t>
      </w:r>
      <w:r w:rsidRPr="00BF20D3">
        <w:rPr>
          <w:sz w:val="20"/>
        </w:rPr>
        <w:t xml:space="preserve"> with more than 500 babies each. </w:t>
      </w:r>
    </w:p>
    <w:p w:rsidR="002F348B" w:rsidRPr="00BF20D3" w:rsidRDefault="002F348B">
      <w:pPr>
        <w:rPr>
          <w:sz w:val="20"/>
        </w:rPr>
      </w:pPr>
      <w:r w:rsidRPr="00BF20D3">
        <w:rPr>
          <w:sz w:val="20"/>
        </w:rPr>
        <w:t xml:space="preserve">Appendix 2 of this report contains maps of the 2014 Births. </w:t>
      </w:r>
    </w:p>
    <w:p w:rsidR="00F87F37" w:rsidRPr="00BF20D3" w:rsidRDefault="00F87F37">
      <w:pPr>
        <w:rPr>
          <w:sz w:val="20"/>
        </w:rPr>
      </w:pPr>
      <w:r w:rsidRPr="00BF20D3">
        <w:rPr>
          <w:noProof/>
          <w:sz w:val="20"/>
          <w:lang w:eastAsia="en-AU"/>
        </w:rPr>
        <w:drawing>
          <wp:inline distT="0" distB="0" distL="0" distR="0" wp14:anchorId="3E1BE0AB" wp14:editId="4E86C667">
            <wp:extent cx="5814060" cy="7439025"/>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B6126" w:rsidRPr="00BF20D3" w:rsidRDefault="007469C7">
      <w:pPr>
        <w:rPr>
          <w:sz w:val="20"/>
        </w:rPr>
      </w:pPr>
      <w:r w:rsidRPr="00BF20D3">
        <w:rPr>
          <w:noProof/>
          <w:sz w:val="20"/>
          <w:lang w:eastAsia="en-AU"/>
        </w:rPr>
        <w:lastRenderedPageBreak/>
        <w:drawing>
          <wp:inline distT="0" distB="0" distL="0" distR="0" wp14:anchorId="237645CC" wp14:editId="0B605790">
            <wp:extent cx="5779008" cy="8863330"/>
            <wp:effectExtent l="0" t="0" r="0" b="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D4456" w:rsidRPr="00BF20D3" w:rsidRDefault="00FD4456">
      <w:pPr>
        <w:rPr>
          <w:b/>
          <w:sz w:val="20"/>
        </w:rPr>
      </w:pPr>
      <w:bookmarkStart w:id="10" w:name="_Toc437436625"/>
      <w:r w:rsidRPr="00BF20D3">
        <w:rPr>
          <w:b/>
          <w:sz w:val="20"/>
        </w:rPr>
        <w:br w:type="page"/>
      </w:r>
    </w:p>
    <w:p w:rsidR="001B6126" w:rsidRPr="0014025C" w:rsidRDefault="001B6126" w:rsidP="0072166A">
      <w:pPr>
        <w:pStyle w:val="Heading2numbered"/>
        <w:rPr>
          <w:color w:val="002060"/>
        </w:rPr>
      </w:pPr>
      <w:bookmarkStart w:id="11" w:name="_Toc458605156"/>
      <w:r w:rsidRPr="0014025C">
        <w:rPr>
          <w:color w:val="002060"/>
        </w:rPr>
        <w:lastRenderedPageBreak/>
        <w:t>Deaths</w:t>
      </w:r>
      <w:bookmarkEnd w:id="10"/>
      <w:bookmarkEnd w:id="11"/>
      <w:r w:rsidRPr="0014025C">
        <w:rPr>
          <w:color w:val="002060"/>
        </w:rPr>
        <w:t xml:space="preserve"> </w:t>
      </w:r>
    </w:p>
    <w:p w:rsidR="001B6126" w:rsidRPr="00BF20D3" w:rsidRDefault="00CC302C">
      <w:pPr>
        <w:rPr>
          <w:sz w:val="20"/>
        </w:rPr>
      </w:pPr>
      <w:r w:rsidRPr="00BF20D3">
        <w:rPr>
          <w:sz w:val="20"/>
        </w:rPr>
        <w:t>In 2014, 37,958 people died in Victoria</w:t>
      </w:r>
      <w:r w:rsidR="00932482">
        <w:rPr>
          <w:sz w:val="20"/>
        </w:rPr>
        <w:t xml:space="preserve">, a large increase compared to </w:t>
      </w:r>
      <w:r w:rsidR="00622648">
        <w:rPr>
          <w:sz w:val="20"/>
        </w:rPr>
        <w:t xml:space="preserve">2013, when only </w:t>
      </w:r>
      <w:r w:rsidRPr="00BF20D3">
        <w:rPr>
          <w:sz w:val="20"/>
        </w:rPr>
        <w:t xml:space="preserve">35,916 people died. </w:t>
      </w:r>
      <w:r w:rsidR="009A7358" w:rsidRPr="00BF20D3">
        <w:rPr>
          <w:sz w:val="20"/>
        </w:rPr>
        <w:t>Of those</w:t>
      </w:r>
      <w:r w:rsidR="005501FD">
        <w:rPr>
          <w:sz w:val="20"/>
        </w:rPr>
        <w:t xml:space="preserve"> who</w:t>
      </w:r>
      <w:r w:rsidR="009A7358" w:rsidRPr="00BF20D3">
        <w:rPr>
          <w:sz w:val="20"/>
        </w:rPr>
        <w:t xml:space="preserve"> died, 25,497 were </w:t>
      </w:r>
      <w:r w:rsidR="005501FD">
        <w:rPr>
          <w:sz w:val="20"/>
        </w:rPr>
        <w:t>from</w:t>
      </w:r>
      <w:r w:rsidR="009A7358" w:rsidRPr="00BF20D3">
        <w:rPr>
          <w:sz w:val="20"/>
        </w:rPr>
        <w:t xml:space="preserve"> metropolitan Melbourne (67%) and 12,461 were </w:t>
      </w:r>
      <w:r w:rsidR="005501FD">
        <w:rPr>
          <w:sz w:val="20"/>
        </w:rPr>
        <w:t>from r</w:t>
      </w:r>
      <w:r w:rsidR="009A7358" w:rsidRPr="00BF20D3">
        <w:rPr>
          <w:sz w:val="20"/>
        </w:rPr>
        <w:t>egional Victoria (33%)</w:t>
      </w:r>
      <w:r w:rsidR="0053025E">
        <w:rPr>
          <w:sz w:val="20"/>
        </w:rPr>
        <w:t>.</w:t>
      </w:r>
    </w:p>
    <w:p w:rsidR="00CC302C" w:rsidRPr="00BF20D3" w:rsidRDefault="00A76857">
      <w:pPr>
        <w:rPr>
          <w:sz w:val="20"/>
        </w:rPr>
      </w:pPr>
      <w:r>
        <w:rPr>
          <w:sz w:val="20"/>
        </w:rPr>
        <w:t xml:space="preserve">LGAs </w:t>
      </w:r>
      <w:r w:rsidR="00CC302C" w:rsidRPr="00BF20D3">
        <w:rPr>
          <w:sz w:val="20"/>
        </w:rPr>
        <w:t>with younger populations tended to have fewer deaths than older</w:t>
      </w:r>
      <w:r>
        <w:rPr>
          <w:sz w:val="20"/>
        </w:rPr>
        <w:t>,</w:t>
      </w:r>
      <w:r w:rsidR="00CC302C" w:rsidRPr="00BF20D3">
        <w:rPr>
          <w:sz w:val="20"/>
        </w:rPr>
        <w:t xml:space="preserve"> more established areas. </w:t>
      </w:r>
    </w:p>
    <w:p w:rsidR="001B6126" w:rsidRPr="00BF20D3" w:rsidRDefault="001B6126">
      <w:pPr>
        <w:rPr>
          <w:sz w:val="20"/>
        </w:rPr>
      </w:pPr>
      <w:r w:rsidRPr="00BF20D3">
        <w:rPr>
          <w:noProof/>
          <w:sz w:val="20"/>
          <w:lang w:eastAsia="en-AU"/>
        </w:rPr>
        <w:drawing>
          <wp:inline distT="0" distB="0" distL="0" distR="0" wp14:anchorId="0A0BE87D" wp14:editId="05E2A73B">
            <wp:extent cx="6111240" cy="7870825"/>
            <wp:effectExtent l="0" t="0" r="381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61CCB" w:rsidRPr="00BF20D3" w:rsidRDefault="007469C7">
      <w:pPr>
        <w:rPr>
          <w:sz w:val="20"/>
        </w:rPr>
      </w:pPr>
      <w:r w:rsidRPr="00BF20D3">
        <w:rPr>
          <w:noProof/>
          <w:sz w:val="20"/>
          <w:lang w:eastAsia="en-AU"/>
        </w:rPr>
        <w:lastRenderedPageBreak/>
        <w:drawing>
          <wp:inline distT="0" distB="0" distL="0" distR="0" wp14:anchorId="63362F2A" wp14:editId="30BC48F5">
            <wp:extent cx="6019800" cy="8863330"/>
            <wp:effectExtent l="0" t="0" r="0" b="0"/>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D71EC" w:rsidRPr="00BF20D3" w:rsidRDefault="001D71EC">
      <w:pPr>
        <w:rPr>
          <w:b/>
          <w:sz w:val="20"/>
        </w:rPr>
      </w:pPr>
      <w:bookmarkStart w:id="12" w:name="_Toc437436630"/>
      <w:r w:rsidRPr="00BF20D3">
        <w:rPr>
          <w:b/>
          <w:sz w:val="20"/>
        </w:rPr>
        <w:br w:type="page"/>
      </w:r>
    </w:p>
    <w:p w:rsidR="000D03DC" w:rsidRPr="0014025C" w:rsidRDefault="000D03DC" w:rsidP="0072166A">
      <w:pPr>
        <w:pStyle w:val="Heading2numbered"/>
        <w:rPr>
          <w:color w:val="002060"/>
        </w:rPr>
      </w:pPr>
      <w:bookmarkStart w:id="13" w:name="_Toc458605157"/>
      <w:r w:rsidRPr="0014025C">
        <w:rPr>
          <w:color w:val="002060"/>
        </w:rPr>
        <w:lastRenderedPageBreak/>
        <w:t>Building Approvals</w:t>
      </w:r>
      <w:bookmarkEnd w:id="12"/>
      <w:bookmarkEnd w:id="13"/>
    </w:p>
    <w:p w:rsidR="007D4D11" w:rsidRPr="00BF20D3" w:rsidRDefault="007D4D11" w:rsidP="007D4D11">
      <w:pPr>
        <w:rPr>
          <w:sz w:val="20"/>
        </w:rPr>
      </w:pPr>
      <w:r w:rsidRPr="00BF20D3">
        <w:rPr>
          <w:sz w:val="20"/>
        </w:rPr>
        <w:t xml:space="preserve">For the </w:t>
      </w:r>
      <w:r w:rsidR="00932482" w:rsidRPr="00BF20D3">
        <w:rPr>
          <w:sz w:val="20"/>
        </w:rPr>
        <w:t>2015/16</w:t>
      </w:r>
      <w:r w:rsidR="00932482">
        <w:rPr>
          <w:sz w:val="20"/>
        </w:rPr>
        <w:t xml:space="preserve"> </w:t>
      </w:r>
      <w:r w:rsidRPr="00BF20D3">
        <w:rPr>
          <w:sz w:val="20"/>
        </w:rPr>
        <w:t>f</w:t>
      </w:r>
      <w:r w:rsidR="00A066EC" w:rsidRPr="00BF20D3">
        <w:rPr>
          <w:sz w:val="20"/>
        </w:rPr>
        <w:t>inancial year, there was total of $30</w:t>
      </w:r>
      <w:r w:rsidRPr="00BF20D3">
        <w:rPr>
          <w:sz w:val="20"/>
        </w:rPr>
        <w:t>.</w:t>
      </w:r>
      <w:r w:rsidR="00A066EC" w:rsidRPr="00BF20D3">
        <w:rPr>
          <w:sz w:val="20"/>
        </w:rPr>
        <w:t>95</w:t>
      </w:r>
      <w:r w:rsidRPr="00BF20D3">
        <w:rPr>
          <w:sz w:val="20"/>
        </w:rPr>
        <w:t xml:space="preserve"> billion worth of building approvals in Victoria</w:t>
      </w:r>
      <w:r w:rsidR="00CB7202" w:rsidRPr="00BF20D3">
        <w:rPr>
          <w:sz w:val="20"/>
        </w:rPr>
        <w:t>.</w:t>
      </w:r>
      <w:r w:rsidR="00A066EC" w:rsidRPr="00BF20D3">
        <w:rPr>
          <w:sz w:val="20"/>
        </w:rPr>
        <w:t xml:space="preserve"> Of this, 72% was for </w:t>
      </w:r>
      <w:r w:rsidR="00EB7F21">
        <w:rPr>
          <w:sz w:val="20"/>
        </w:rPr>
        <w:t>r</w:t>
      </w:r>
      <w:r w:rsidR="00A066EC" w:rsidRPr="00BF20D3">
        <w:rPr>
          <w:sz w:val="20"/>
        </w:rPr>
        <w:t xml:space="preserve">esidential buildings of all types. </w:t>
      </w:r>
    </w:p>
    <w:p w:rsidR="007D4D11" w:rsidRPr="00BF20D3" w:rsidRDefault="00A066EC" w:rsidP="007D4D11">
      <w:pPr>
        <w:pStyle w:val="ListParagraph"/>
        <w:ind w:left="360"/>
        <w:jc w:val="center"/>
        <w:rPr>
          <w:sz w:val="20"/>
        </w:rPr>
      </w:pPr>
      <w:r w:rsidRPr="00BF20D3">
        <w:rPr>
          <w:noProof/>
          <w:lang w:eastAsia="en-AU"/>
        </w:rPr>
        <w:drawing>
          <wp:inline distT="0" distB="0" distL="0" distR="0" wp14:anchorId="4247ABA8" wp14:editId="52911EE7">
            <wp:extent cx="4991100" cy="2773680"/>
            <wp:effectExtent l="0" t="0" r="0" b="7620"/>
            <wp:docPr id="114" name="Chart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0174C5" w:rsidRPr="00BF20D3" w:rsidRDefault="000174C5">
      <w:pPr>
        <w:rPr>
          <w:b/>
          <w:sz w:val="20"/>
        </w:rPr>
      </w:pPr>
      <w:bookmarkStart w:id="14" w:name="_Toc437436631"/>
    </w:p>
    <w:p w:rsidR="00A672CE" w:rsidRPr="00BF20D3" w:rsidRDefault="00A672CE">
      <w:pPr>
        <w:rPr>
          <w:sz w:val="20"/>
        </w:rPr>
      </w:pPr>
      <w:r w:rsidRPr="00BF20D3">
        <w:rPr>
          <w:sz w:val="20"/>
        </w:rPr>
        <w:t xml:space="preserve">The various </w:t>
      </w:r>
      <w:r w:rsidR="00932482">
        <w:rPr>
          <w:sz w:val="20"/>
        </w:rPr>
        <w:t>categories of building approval</w:t>
      </w:r>
      <w:r w:rsidRPr="00BF20D3">
        <w:rPr>
          <w:sz w:val="20"/>
        </w:rPr>
        <w:t xml:space="preserve"> </w:t>
      </w:r>
      <w:r w:rsidR="00C223D0" w:rsidRPr="00BF20D3">
        <w:rPr>
          <w:sz w:val="20"/>
        </w:rPr>
        <w:t xml:space="preserve">numbers and </w:t>
      </w:r>
      <w:r w:rsidRPr="00BF20D3">
        <w:rPr>
          <w:sz w:val="20"/>
        </w:rPr>
        <w:t xml:space="preserve">values for both </w:t>
      </w:r>
      <w:r w:rsidR="00EB7F21">
        <w:rPr>
          <w:sz w:val="20"/>
        </w:rPr>
        <w:t>m</w:t>
      </w:r>
      <w:r w:rsidRPr="00BF20D3">
        <w:rPr>
          <w:sz w:val="20"/>
        </w:rPr>
        <w:t xml:space="preserve">etropolitan Melbourne and </w:t>
      </w:r>
      <w:r w:rsidR="00EB7F21">
        <w:rPr>
          <w:sz w:val="20"/>
        </w:rPr>
        <w:t>r</w:t>
      </w:r>
      <w:r w:rsidRPr="00BF20D3">
        <w:rPr>
          <w:sz w:val="20"/>
        </w:rPr>
        <w:t>egional LGAs are presented in the following charts, including for:</w:t>
      </w:r>
    </w:p>
    <w:p w:rsidR="00A672CE" w:rsidRPr="00BF20D3" w:rsidRDefault="00C223D0" w:rsidP="00452EF8">
      <w:pPr>
        <w:pStyle w:val="ListParagraph"/>
        <w:numPr>
          <w:ilvl w:val="0"/>
          <w:numId w:val="14"/>
        </w:numPr>
        <w:rPr>
          <w:sz w:val="20"/>
        </w:rPr>
      </w:pPr>
      <w:r w:rsidRPr="00BF20D3">
        <w:rPr>
          <w:sz w:val="20"/>
        </w:rPr>
        <w:t>Residential Dwellings Numbers</w:t>
      </w:r>
    </w:p>
    <w:p w:rsidR="00C223D0" w:rsidRPr="00BF20D3" w:rsidRDefault="00C223D0" w:rsidP="00452EF8">
      <w:pPr>
        <w:pStyle w:val="ListParagraph"/>
        <w:numPr>
          <w:ilvl w:val="0"/>
          <w:numId w:val="14"/>
        </w:numPr>
        <w:rPr>
          <w:sz w:val="20"/>
        </w:rPr>
      </w:pPr>
      <w:r w:rsidRPr="00BF20D3">
        <w:rPr>
          <w:sz w:val="20"/>
        </w:rPr>
        <w:t>Overall Value of all Building Approval Types</w:t>
      </w:r>
    </w:p>
    <w:p w:rsidR="00C223D0" w:rsidRPr="00BF20D3" w:rsidRDefault="00C223D0" w:rsidP="00452EF8">
      <w:pPr>
        <w:pStyle w:val="ListParagraph"/>
        <w:numPr>
          <w:ilvl w:val="0"/>
          <w:numId w:val="14"/>
        </w:numPr>
        <w:rPr>
          <w:sz w:val="20"/>
        </w:rPr>
      </w:pPr>
      <w:r w:rsidRPr="00BF20D3">
        <w:rPr>
          <w:sz w:val="20"/>
        </w:rPr>
        <w:t>Commercial Buildings</w:t>
      </w:r>
    </w:p>
    <w:p w:rsidR="00C223D0" w:rsidRPr="00BF20D3" w:rsidRDefault="00C223D0" w:rsidP="00452EF8">
      <w:pPr>
        <w:pStyle w:val="ListParagraph"/>
        <w:numPr>
          <w:ilvl w:val="0"/>
          <w:numId w:val="14"/>
        </w:numPr>
        <w:rPr>
          <w:sz w:val="20"/>
        </w:rPr>
      </w:pPr>
      <w:r w:rsidRPr="00BF20D3">
        <w:rPr>
          <w:sz w:val="20"/>
        </w:rPr>
        <w:t>Industrial Buildings</w:t>
      </w:r>
    </w:p>
    <w:p w:rsidR="00C223D0" w:rsidRPr="00BF20D3" w:rsidRDefault="00C223D0" w:rsidP="00452EF8">
      <w:pPr>
        <w:pStyle w:val="ListParagraph"/>
        <w:numPr>
          <w:ilvl w:val="0"/>
          <w:numId w:val="14"/>
        </w:numPr>
        <w:rPr>
          <w:sz w:val="20"/>
        </w:rPr>
      </w:pPr>
      <w:r w:rsidRPr="00BF20D3">
        <w:rPr>
          <w:sz w:val="20"/>
        </w:rPr>
        <w:t>Other Non-residential Buildings</w:t>
      </w:r>
    </w:p>
    <w:p w:rsidR="00A066EC" w:rsidRPr="00BF20D3" w:rsidRDefault="00A066EC">
      <w:pPr>
        <w:rPr>
          <w:sz w:val="20"/>
        </w:rPr>
      </w:pPr>
      <w:r w:rsidRPr="00BF20D3">
        <w:rPr>
          <w:sz w:val="20"/>
        </w:rPr>
        <w:br w:type="page"/>
      </w:r>
    </w:p>
    <w:p w:rsidR="000174C5" w:rsidRPr="0014025C" w:rsidRDefault="000174C5" w:rsidP="000174C5">
      <w:pPr>
        <w:pStyle w:val="Heading3list"/>
        <w:ind w:left="426" w:hanging="426"/>
        <w:rPr>
          <w:color w:val="002060"/>
        </w:rPr>
      </w:pPr>
      <w:bookmarkStart w:id="15" w:name="_Toc458605158"/>
      <w:r w:rsidRPr="0014025C">
        <w:rPr>
          <w:color w:val="002060"/>
        </w:rPr>
        <w:lastRenderedPageBreak/>
        <w:t>Residential Dwelling Approvals</w:t>
      </w:r>
      <w:bookmarkEnd w:id="15"/>
    </w:p>
    <w:p w:rsidR="000174C5" w:rsidRPr="00BF20D3" w:rsidRDefault="000174C5" w:rsidP="000174C5">
      <w:pPr>
        <w:rPr>
          <w:sz w:val="20"/>
        </w:rPr>
      </w:pPr>
      <w:r w:rsidRPr="00BF20D3">
        <w:rPr>
          <w:sz w:val="20"/>
        </w:rPr>
        <w:t xml:space="preserve">The latest building approvals </w:t>
      </w:r>
      <w:r w:rsidR="00A066EC" w:rsidRPr="00BF20D3">
        <w:rPr>
          <w:sz w:val="20"/>
        </w:rPr>
        <w:t>(June</w:t>
      </w:r>
      <w:r w:rsidRPr="00BF20D3">
        <w:rPr>
          <w:sz w:val="20"/>
        </w:rPr>
        <w:t xml:space="preserve"> 2016) show that in the past </w:t>
      </w:r>
      <w:r w:rsidR="00F1313E">
        <w:rPr>
          <w:sz w:val="20"/>
        </w:rPr>
        <w:t>12</w:t>
      </w:r>
      <w:r w:rsidRPr="00BF20D3">
        <w:rPr>
          <w:sz w:val="20"/>
        </w:rPr>
        <w:t xml:space="preserve"> months </w:t>
      </w:r>
      <w:r w:rsidR="00543006" w:rsidRPr="00BF20D3">
        <w:rPr>
          <w:sz w:val="20"/>
        </w:rPr>
        <w:t>3</w:t>
      </w:r>
      <w:r w:rsidR="00A066EC" w:rsidRPr="00BF20D3">
        <w:rPr>
          <w:sz w:val="20"/>
        </w:rPr>
        <w:t>5</w:t>
      </w:r>
      <w:r w:rsidR="00543006" w:rsidRPr="00BF20D3">
        <w:rPr>
          <w:sz w:val="20"/>
        </w:rPr>
        <w:t>,9</w:t>
      </w:r>
      <w:r w:rsidR="00A066EC" w:rsidRPr="00BF20D3">
        <w:rPr>
          <w:sz w:val="20"/>
        </w:rPr>
        <w:t>10</w:t>
      </w:r>
      <w:r w:rsidR="00543006" w:rsidRPr="00BF20D3">
        <w:rPr>
          <w:sz w:val="20"/>
        </w:rPr>
        <w:t xml:space="preserve"> </w:t>
      </w:r>
      <w:r w:rsidR="00F1313E">
        <w:rPr>
          <w:sz w:val="20"/>
        </w:rPr>
        <w:t>d</w:t>
      </w:r>
      <w:r w:rsidR="00543006" w:rsidRPr="00BF20D3">
        <w:rPr>
          <w:sz w:val="20"/>
        </w:rPr>
        <w:t xml:space="preserve">etached </w:t>
      </w:r>
      <w:r w:rsidR="00F1313E">
        <w:rPr>
          <w:sz w:val="20"/>
        </w:rPr>
        <w:t>h</w:t>
      </w:r>
      <w:r w:rsidR="00543006" w:rsidRPr="00BF20D3">
        <w:rPr>
          <w:sz w:val="20"/>
        </w:rPr>
        <w:t>ouses and 3</w:t>
      </w:r>
      <w:r w:rsidR="00A066EC" w:rsidRPr="00BF20D3">
        <w:rPr>
          <w:sz w:val="20"/>
        </w:rPr>
        <w:t>2</w:t>
      </w:r>
      <w:r w:rsidR="00543006" w:rsidRPr="00BF20D3">
        <w:rPr>
          <w:sz w:val="20"/>
        </w:rPr>
        <w:t>,</w:t>
      </w:r>
      <w:r w:rsidR="00A066EC" w:rsidRPr="00BF20D3">
        <w:rPr>
          <w:sz w:val="20"/>
        </w:rPr>
        <w:t>028</w:t>
      </w:r>
      <w:r w:rsidR="00543006" w:rsidRPr="00BF20D3">
        <w:rPr>
          <w:sz w:val="20"/>
        </w:rPr>
        <w:t xml:space="preserve"> other residential dwellings have been approved across the state. Historical detached houses have been the dominant type of residential construction in Victoria. However, in the past year, the number of other residential dwellings approved has been almost the same as detached houses. It is yet to be determined if this is a permanent trend or a short</w:t>
      </w:r>
      <w:r w:rsidR="00EC385D">
        <w:rPr>
          <w:sz w:val="20"/>
        </w:rPr>
        <w:t>-</w:t>
      </w:r>
      <w:r w:rsidR="00543006" w:rsidRPr="00BF20D3">
        <w:rPr>
          <w:sz w:val="20"/>
        </w:rPr>
        <w:t xml:space="preserve">term approbation.     </w:t>
      </w:r>
    </w:p>
    <w:p w:rsidR="00A672CE" w:rsidRPr="00BF20D3" w:rsidRDefault="00A066EC">
      <w:pPr>
        <w:rPr>
          <w:sz w:val="20"/>
        </w:rPr>
      </w:pPr>
      <w:r w:rsidRPr="00BF20D3">
        <w:rPr>
          <w:noProof/>
          <w:lang w:eastAsia="en-AU"/>
        </w:rPr>
        <w:drawing>
          <wp:inline distT="0" distB="0" distL="0" distR="0" wp14:anchorId="245B59B6" wp14:editId="5F8D7421">
            <wp:extent cx="6408420" cy="4274820"/>
            <wp:effectExtent l="0" t="0" r="0" b="0"/>
            <wp:docPr id="115" name="Chart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0174C5" w:rsidRPr="00BF20D3" w:rsidRDefault="00A066EC" w:rsidP="000174C5">
      <w:pPr>
        <w:rPr>
          <w:sz w:val="20"/>
        </w:rPr>
      </w:pPr>
      <w:r w:rsidRPr="00BF20D3">
        <w:rPr>
          <w:sz w:val="20"/>
        </w:rPr>
        <w:t xml:space="preserve">Within the </w:t>
      </w:r>
      <w:r w:rsidR="00EC385D">
        <w:rPr>
          <w:sz w:val="20"/>
        </w:rPr>
        <w:t>‘</w:t>
      </w:r>
      <w:r w:rsidRPr="00BF20D3">
        <w:rPr>
          <w:sz w:val="20"/>
        </w:rPr>
        <w:t>other dwellings</w:t>
      </w:r>
      <w:r w:rsidR="00EC385D">
        <w:rPr>
          <w:sz w:val="20"/>
        </w:rPr>
        <w:t>’</w:t>
      </w:r>
      <w:r w:rsidRPr="00BF20D3">
        <w:rPr>
          <w:sz w:val="20"/>
        </w:rPr>
        <w:t xml:space="preserve"> category</w:t>
      </w:r>
      <w:r w:rsidR="000174C5" w:rsidRPr="00BF20D3">
        <w:rPr>
          <w:sz w:val="20"/>
        </w:rPr>
        <w:t xml:space="preserve">, </w:t>
      </w:r>
      <w:r w:rsidRPr="00BF20D3">
        <w:rPr>
          <w:sz w:val="20"/>
        </w:rPr>
        <w:t>there were 10</w:t>
      </w:r>
      <w:r w:rsidR="000174C5" w:rsidRPr="00BF20D3">
        <w:rPr>
          <w:sz w:val="20"/>
        </w:rPr>
        <w:t>,</w:t>
      </w:r>
      <w:r w:rsidRPr="00BF20D3">
        <w:rPr>
          <w:sz w:val="20"/>
        </w:rPr>
        <w:t>571 semi-detached dwellings and 20</w:t>
      </w:r>
      <w:r w:rsidR="000174C5" w:rsidRPr="00BF20D3">
        <w:rPr>
          <w:sz w:val="20"/>
        </w:rPr>
        <w:t>,</w:t>
      </w:r>
      <w:r w:rsidRPr="00BF20D3">
        <w:rPr>
          <w:sz w:val="20"/>
        </w:rPr>
        <w:t>568</w:t>
      </w:r>
      <w:r w:rsidR="000174C5" w:rsidRPr="00BF20D3">
        <w:rPr>
          <w:sz w:val="20"/>
        </w:rPr>
        <w:t xml:space="preserve"> apartments and flats, of</w:t>
      </w:r>
      <w:r w:rsidRPr="00BF20D3">
        <w:rPr>
          <w:sz w:val="20"/>
        </w:rPr>
        <w:t xml:space="preserve"> which 86</w:t>
      </w:r>
      <w:r w:rsidR="000174C5" w:rsidRPr="00BF20D3">
        <w:rPr>
          <w:sz w:val="20"/>
        </w:rPr>
        <w:t xml:space="preserve">% of those apartments were in buildings four storeys or more. The majority of </w:t>
      </w:r>
      <w:r w:rsidRPr="00BF20D3">
        <w:rPr>
          <w:sz w:val="20"/>
        </w:rPr>
        <w:t>these high</w:t>
      </w:r>
      <w:r w:rsidR="00EC385D">
        <w:rPr>
          <w:sz w:val="20"/>
        </w:rPr>
        <w:t>-</w:t>
      </w:r>
      <w:r w:rsidRPr="00BF20D3">
        <w:rPr>
          <w:sz w:val="20"/>
        </w:rPr>
        <w:t>rise apartments</w:t>
      </w:r>
      <w:r w:rsidR="000174C5" w:rsidRPr="00BF20D3">
        <w:rPr>
          <w:sz w:val="20"/>
        </w:rPr>
        <w:t xml:space="preserve"> were </w:t>
      </w:r>
      <w:r w:rsidRPr="00BF20D3">
        <w:rPr>
          <w:sz w:val="20"/>
        </w:rPr>
        <w:t xml:space="preserve">approved </w:t>
      </w:r>
      <w:r w:rsidR="000174C5" w:rsidRPr="00BF20D3">
        <w:rPr>
          <w:sz w:val="20"/>
        </w:rPr>
        <w:t>in the Melbourne central subregion</w:t>
      </w:r>
      <w:r w:rsidRPr="00BF20D3">
        <w:rPr>
          <w:sz w:val="20"/>
        </w:rPr>
        <w:t xml:space="preserve">, although a few local government areas </w:t>
      </w:r>
      <w:r w:rsidR="003D2B97" w:rsidRPr="00BF20D3">
        <w:rPr>
          <w:sz w:val="20"/>
        </w:rPr>
        <w:t>in the Eastern and Northern subregions have had significant numbers</w:t>
      </w:r>
      <w:r w:rsidR="000174C5" w:rsidRPr="00BF20D3">
        <w:rPr>
          <w:sz w:val="20"/>
        </w:rPr>
        <w:t>.</w:t>
      </w:r>
      <w:r w:rsidR="003D2B97" w:rsidRPr="00BF20D3">
        <w:rPr>
          <w:sz w:val="20"/>
        </w:rPr>
        <w:t xml:space="preserve"> </w:t>
      </w:r>
      <w:r w:rsidR="000174C5" w:rsidRPr="00BF20D3">
        <w:rPr>
          <w:sz w:val="20"/>
        </w:rPr>
        <w:t>There were no high</w:t>
      </w:r>
      <w:r w:rsidR="00EC385D">
        <w:rPr>
          <w:sz w:val="20"/>
        </w:rPr>
        <w:t>-</w:t>
      </w:r>
      <w:r w:rsidR="000174C5" w:rsidRPr="00BF20D3">
        <w:rPr>
          <w:sz w:val="20"/>
        </w:rPr>
        <w:t xml:space="preserve">rise apartments approved in </w:t>
      </w:r>
      <w:r w:rsidR="00EC385D">
        <w:rPr>
          <w:sz w:val="20"/>
        </w:rPr>
        <w:t>r</w:t>
      </w:r>
      <w:r w:rsidR="000174C5" w:rsidRPr="00BF20D3">
        <w:rPr>
          <w:sz w:val="20"/>
        </w:rPr>
        <w:t xml:space="preserve">egional Victoria. </w:t>
      </w:r>
    </w:p>
    <w:p w:rsidR="003D2B97" w:rsidRPr="00BF20D3" w:rsidRDefault="003D2B97" w:rsidP="000174C5">
      <w:pPr>
        <w:rPr>
          <w:sz w:val="20"/>
        </w:rPr>
      </w:pPr>
      <w:r w:rsidRPr="00BF20D3">
        <w:rPr>
          <w:sz w:val="20"/>
        </w:rPr>
        <w:t xml:space="preserve">Moreland had more than 1,000 semi-detached dwellings approved in 2015/16. </w:t>
      </w:r>
    </w:p>
    <w:p w:rsidR="00A672CE" w:rsidRPr="00BF20D3" w:rsidRDefault="00A672CE" w:rsidP="00A672CE">
      <w:pPr>
        <w:pStyle w:val="ListParagraph"/>
        <w:numPr>
          <w:ilvl w:val="0"/>
          <w:numId w:val="12"/>
        </w:numPr>
        <w:rPr>
          <w:sz w:val="20"/>
        </w:rPr>
      </w:pPr>
      <w:r w:rsidRPr="00BF20D3">
        <w:rPr>
          <w:sz w:val="20"/>
        </w:rPr>
        <w:br w:type="page"/>
      </w:r>
    </w:p>
    <w:bookmarkEnd w:id="14"/>
    <w:p w:rsidR="00A101BA" w:rsidRPr="00BF20D3" w:rsidRDefault="00635E6D" w:rsidP="00362941">
      <w:pPr>
        <w:rPr>
          <w:sz w:val="20"/>
        </w:rPr>
      </w:pPr>
      <w:r w:rsidRPr="00BF20D3">
        <w:rPr>
          <w:noProof/>
          <w:lang w:eastAsia="en-AU"/>
        </w:rPr>
        <w:lastRenderedPageBreak/>
        <w:drawing>
          <wp:inline distT="0" distB="0" distL="0" distR="0" wp14:anchorId="50AD0E19" wp14:editId="1A02B571">
            <wp:extent cx="6052820" cy="9341485"/>
            <wp:effectExtent l="0" t="0" r="5080" b="0"/>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052C9" w:rsidRPr="00BF20D3" w:rsidRDefault="00635E6D">
      <w:pPr>
        <w:rPr>
          <w:b/>
          <w:sz w:val="20"/>
        </w:rPr>
      </w:pPr>
      <w:bookmarkStart w:id="16" w:name="_Toc437436632"/>
      <w:r w:rsidRPr="00BF20D3">
        <w:rPr>
          <w:noProof/>
          <w:lang w:eastAsia="en-AU"/>
        </w:rPr>
        <w:lastRenderedPageBreak/>
        <w:drawing>
          <wp:inline distT="0" distB="0" distL="0" distR="0" wp14:anchorId="74F77A27" wp14:editId="55161CA8">
            <wp:extent cx="6131560" cy="9341485"/>
            <wp:effectExtent l="0" t="0" r="2540" b="0"/>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D052C9" w:rsidRPr="00BF20D3">
        <w:rPr>
          <w:b/>
          <w:sz w:val="20"/>
        </w:rPr>
        <w:br w:type="page"/>
      </w:r>
    </w:p>
    <w:p w:rsidR="00182660" w:rsidRPr="0014025C" w:rsidRDefault="003565F0" w:rsidP="0072166A">
      <w:pPr>
        <w:pStyle w:val="Heading3list"/>
        <w:rPr>
          <w:color w:val="002060"/>
        </w:rPr>
      </w:pPr>
      <w:bookmarkStart w:id="17" w:name="_Toc458605159"/>
      <w:r w:rsidRPr="0014025C">
        <w:rPr>
          <w:color w:val="002060"/>
        </w:rPr>
        <w:lastRenderedPageBreak/>
        <w:t>Value of Approvals</w:t>
      </w:r>
      <w:bookmarkEnd w:id="16"/>
      <w:bookmarkEnd w:id="17"/>
    </w:p>
    <w:p w:rsidR="00F9033F" w:rsidRPr="00BF20D3" w:rsidRDefault="00D052C9" w:rsidP="007169B3">
      <w:pPr>
        <w:ind w:left="426"/>
        <w:rPr>
          <w:sz w:val="20"/>
        </w:rPr>
      </w:pPr>
      <w:r w:rsidRPr="00BF20D3">
        <w:rPr>
          <w:sz w:val="20"/>
        </w:rPr>
        <w:t>The C</w:t>
      </w:r>
      <w:r w:rsidR="00F9033F" w:rsidRPr="00BF20D3">
        <w:rPr>
          <w:sz w:val="20"/>
        </w:rPr>
        <w:t>ity of Melbourne had the largest value of building approvals in the quarter, followed</w:t>
      </w:r>
      <w:r w:rsidR="00F071C8" w:rsidRPr="00BF20D3">
        <w:rPr>
          <w:sz w:val="20"/>
        </w:rPr>
        <w:t xml:space="preserve"> by Wyndham, Casey</w:t>
      </w:r>
      <w:r w:rsidR="00EB6EF6" w:rsidRPr="00BF20D3">
        <w:rPr>
          <w:sz w:val="20"/>
        </w:rPr>
        <w:t>, Stonnington, Boroondara</w:t>
      </w:r>
      <w:r w:rsidR="00F071C8" w:rsidRPr="00BF20D3">
        <w:rPr>
          <w:sz w:val="20"/>
        </w:rPr>
        <w:t xml:space="preserve"> and Whitehorse.</w:t>
      </w:r>
      <w:r w:rsidR="00F9033F" w:rsidRPr="00BF20D3">
        <w:rPr>
          <w:sz w:val="20"/>
        </w:rPr>
        <w:t xml:space="preserve"> </w:t>
      </w:r>
    </w:p>
    <w:p w:rsidR="00742B73" w:rsidRPr="00BF20D3" w:rsidRDefault="00F9033F" w:rsidP="007169B3">
      <w:pPr>
        <w:ind w:left="426"/>
        <w:rPr>
          <w:sz w:val="20"/>
        </w:rPr>
      </w:pPr>
      <w:r w:rsidRPr="00BF20D3">
        <w:rPr>
          <w:sz w:val="20"/>
        </w:rPr>
        <w:t xml:space="preserve">In </w:t>
      </w:r>
      <w:r w:rsidR="004569EC">
        <w:rPr>
          <w:sz w:val="20"/>
        </w:rPr>
        <w:t>r</w:t>
      </w:r>
      <w:r w:rsidRPr="00BF20D3">
        <w:rPr>
          <w:sz w:val="20"/>
        </w:rPr>
        <w:t xml:space="preserve">egional Victoria, the highest value of approvals were in Greater Geelong, Ballarat, Greater Bendigo and the Surf Coast.  </w:t>
      </w:r>
    </w:p>
    <w:p w:rsidR="003565F0" w:rsidRPr="00BF20D3" w:rsidRDefault="00EB6EF6" w:rsidP="007169B3">
      <w:pPr>
        <w:ind w:left="426"/>
        <w:rPr>
          <w:sz w:val="20"/>
        </w:rPr>
      </w:pPr>
      <w:r w:rsidRPr="00BF20D3">
        <w:rPr>
          <w:noProof/>
          <w:lang w:eastAsia="en-AU"/>
        </w:rPr>
        <w:drawing>
          <wp:inline distT="0" distB="0" distL="0" distR="0" wp14:anchorId="4C5647DA" wp14:editId="250F4279">
            <wp:extent cx="5463540" cy="7680960"/>
            <wp:effectExtent l="0" t="0" r="3810" b="15240"/>
            <wp:docPr id="106" name="Chart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06567" w:rsidRPr="00BF20D3" w:rsidRDefault="00C06567" w:rsidP="007169B3">
      <w:pPr>
        <w:ind w:left="426"/>
        <w:rPr>
          <w:sz w:val="20"/>
        </w:rPr>
      </w:pPr>
    </w:p>
    <w:p w:rsidR="00D052C9" w:rsidRPr="00BF20D3" w:rsidRDefault="00EB6EF6" w:rsidP="003571BF">
      <w:pPr>
        <w:ind w:left="426"/>
        <w:rPr>
          <w:b/>
          <w:sz w:val="20"/>
        </w:rPr>
      </w:pPr>
      <w:bookmarkStart w:id="18" w:name="_Toc437436633"/>
      <w:r w:rsidRPr="00BF20D3">
        <w:rPr>
          <w:noProof/>
          <w:lang w:eastAsia="en-AU"/>
        </w:rPr>
        <w:lastRenderedPageBreak/>
        <w:drawing>
          <wp:inline distT="0" distB="0" distL="0" distR="0" wp14:anchorId="5575F259" wp14:editId="28DF2ABB">
            <wp:extent cx="5631180" cy="9341485"/>
            <wp:effectExtent l="0" t="0" r="7620" b="0"/>
            <wp:docPr id="107" name="Chart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00D052C9" w:rsidRPr="00BF20D3">
        <w:rPr>
          <w:b/>
          <w:sz w:val="20"/>
        </w:rPr>
        <w:br w:type="page"/>
      </w:r>
    </w:p>
    <w:p w:rsidR="00362941" w:rsidRPr="0014025C" w:rsidRDefault="00362941" w:rsidP="003C4829">
      <w:pPr>
        <w:pStyle w:val="Heading4list"/>
        <w:rPr>
          <w:color w:val="002060"/>
        </w:rPr>
      </w:pPr>
      <w:bookmarkStart w:id="19" w:name="_Toc458605160"/>
      <w:r w:rsidRPr="0014025C">
        <w:rPr>
          <w:color w:val="002060"/>
        </w:rPr>
        <w:lastRenderedPageBreak/>
        <w:t>Commercial Buildings</w:t>
      </w:r>
      <w:bookmarkEnd w:id="18"/>
      <w:bookmarkEnd w:id="19"/>
    </w:p>
    <w:p w:rsidR="00C06567" w:rsidRPr="00BF20D3" w:rsidRDefault="00C06567" w:rsidP="007169B3">
      <w:pPr>
        <w:ind w:left="851"/>
        <w:rPr>
          <w:sz w:val="20"/>
        </w:rPr>
      </w:pPr>
      <w:r w:rsidRPr="00BF20D3">
        <w:rPr>
          <w:sz w:val="20"/>
        </w:rPr>
        <w:t xml:space="preserve">The City of Melbourne had the greatest value of </w:t>
      </w:r>
      <w:r w:rsidR="00223957">
        <w:rPr>
          <w:sz w:val="20"/>
        </w:rPr>
        <w:t>c</w:t>
      </w:r>
      <w:r w:rsidRPr="00BF20D3">
        <w:rPr>
          <w:sz w:val="20"/>
        </w:rPr>
        <w:t>ommercial buildings approved, with the majority being offices.</w:t>
      </w:r>
      <w:r w:rsidR="00C223D0" w:rsidRPr="00BF20D3">
        <w:rPr>
          <w:sz w:val="20"/>
        </w:rPr>
        <w:t xml:space="preserve"> </w:t>
      </w:r>
      <w:r w:rsidR="00F071C8" w:rsidRPr="00BF20D3">
        <w:rPr>
          <w:sz w:val="20"/>
        </w:rPr>
        <w:t xml:space="preserve">Monash and </w:t>
      </w:r>
      <w:r w:rsidRPr="00BF20D3">
        <w:rPr>
          <w:sz w:val="20"/>
        </w:rPr>
        <w:t xml:space="preserve">Greater Dandenong also had </w:t>
      </w:r>
      <w:r w:rsidR="00F071C8" w:rsidRPr="00BF20D3">
        <w:rPr>
          <w:sz w:val="20"/>
        </w:rPr>
        <w:t>significant value</w:t>
      </w:r>
      <w:r w:rsidRPr="00BF20D3">
        <w:rPr>
          <w:sz w:val="20"/>
        </w:rPr>
        <w:t xml:space="preserve"> of offices being </w:t>
      </w:r>
      <w:r w:rsidR="00F071C8" w:rsidRPr="00BF20D3">
        <w:rPr>
          <w:sz w:val="20"/>
        </w:rPr>
        <w:t>approved</w:t>
      </w:r>
      <w:r w:rsidRPr="00BF20D3">
        <w:rPr>
          <w:sz w:val="20"/>
        </w:rPr>
        <w:t xml:space="preserve">. Most metropolitan </w:t>
      </w:r>
      <w:r w:rsidR="00966CC5" w:rsidRPr="00BF20D3">
        <w:rPr>
          <w:sz w:val="20"/>
        </w:rPr>
        <w:t xml:space="preserve">Local </w:t>
      </w:r>
      <w:r w:rsidR="00223957">
        <w:rPr>
          <w:sz w:val="20"/>
        </w:rPr>
        <w:t>G</w:t>
      </w:r>
      <w:r w:rsidR="00966CC5" w:rsidRPr="00BF20D3">
        <w:rPr>
          <w:sz w:val="20"/>
        </w:rPr>
        <w:t xml:space="preserve">overnment </w:t>
      </w:r>
      <w:r w:rsidR="00223957">
        <w:rPr>
          <w:sz w:val="20"/>
        </w:rPr>
        <w:t>A</w:t>
      </w:r>
      <w:r w:rsidR="00966CC5" w:rsidRPr="00BF20D3">
        <w:rPr>
          <w:sz w:val="20"/>
        </w:rPr>
        <w:t>reas (LGAs)</w:t>
      </w:r>
      <w:r w:rsidRPr="00BF20D3">
        <w:rPr>
          <w:sz w:val="20"/>
        </w:rPr>
        <w:t xml:space="preserve"> had some </w:t>
      </w:r>
      <w:r w:rsidR="00223957">
        <w:rPr>
          <w:sz w:val="20"/>
        </w:rPr>
        <w:t>r</w:t>
      </w:r>
      <w:r w:rsidRPr="00BF20D3">
        <w:rPr>
          <w:sz w:val="20"/>
        </w:rPr>
        <w:t xml:space="preserve">etail space approved. </w:t>
      </w:r>
    </w:p>
    <w:p w:rsidR="00C06567" w:rsidRPr="00BF20D3" w:rsidRDefault="00F071C8" w:rsidP="007169B3">
      <w:pPr>
        <w:ind w:left="851"/>
        <w:rPr>
          <w:sz w:val="20"/>
        </w:rPr>
      </w:pPr>
      <w:r w:rsidRPr="00BF20D3">
        <w:rPr>
          <w:sz w:val="20"/>
        </w:rPr>
        <w:t>Greater Geelong had the second</w:t>
      </w:r>
      <w:r w:rsidR="00C06567" w:rsidRPr="00BF20D3">
        <w:rPr>
          <w:sz w:val="20"/>
        </w:rPr>
        <w:t xml:space="preserve"> highest value of </w:t>
      </w:r>
      <w:r w:rsidR="000A7D6C">
        <w:rPr>
          <w:sz w:val="20"/>
        </w:rPr>
        <w:t>c</w:t>
      </w:r>
      <w:r w:rsidR="00C06567" w:rsidRPr="00BF20D3">
        <w:rPr>
          <w:sz w:val="20"/>
        </w:rPr>
        <w:t>ommercial approvals in the state</w:t>
      </w:r>
      <w:r w:rsidR="000A7D6C">
        <w:rPr>
          <w:sz w:val="20"/>
        </w:rPr>
        <w:t>,</w:t>
      </w:r>
      <w:r w:rsidR="00C06567" w:rsidRPr="00BF20D3">
        <w:rPr>
          <w:sz w:val="20"/>
        </w:rPr>
        <w:t xml:space="preserve"> with a mixture of offices and retail. </w:t>
      </w:r>
    </w:p>
    <w:p w:rsidR="003565F0" w:rsidRPr="00BF20D3" w:rsidRDefault="00EB6EF6" w:rsidP="007169B3">
      <w:pPr>
        <w:ind w:left="851"/>
        <w:rPr>
          <w:sz w:val="20"/>
        </w:rPr>
      </w:pPr>
      <w:r w:rsidRPr="00BF20D3">
        <w:rPr>
          <w:noProof/>
          <w:lang w:eastAsia="en-AU"/>
        </w:rPr>
        <w:drawing>
          <wp:inline distT="0" distB="0" distL="0" distR="0" wp14:anchorId="14771F14" wp14:editId="38EFFF42">
            <wp:extent cx="5463540" cy="7680960"/>
            <wp:effectExtent l="0" t="0" r="3810" b="15240"/>
            <wp:docPr id="108" name="Chart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565F0" w:rsidRPr="00BF20D3" w:rsidRDefault="003565F0" w:rsidP="007169B3">
      <w:pPr>
        <w:ind w:left="851"/>
        <w:rPr>
          <w:sz w:val="20"/>
        </w:rPr>
      </w:pPr>
    </w:p>
    <w:p w:rsidR="00C223D0" w:rsidRPr="00BF20D3" w:rsidRDefault="00C223D0" w:rsidP="00F071C8">
      <w:pPr>
        <w:ind w:left="426"/>
        <w:rPr>
          <w:b/>
          <w:sz w:val="20"/>
        </w:rPr>
      </w:pPr>
      <w:bookmarkStart w:id="20" w:name="_Toc437436634"/>
      <w:r w:rsidRPr="00BF20D3">
        <w:rPr>
          <w:b/>
          <w:sz w:val="20"/>
        </w:rPr>
        <w:br w:type="page"/>
      </w:r>
      <w:r w:rsidR="00EB6EF6" w:rsidRPr="00BF20D3">
        <w:rPr>
          <w:noProof/>
          <w:lang w:eastAsia="en-AU"/>
        </w:rPr>
        <w:lastRenderedPageBreak/>
        <w:drawing>
          <wp:inline distT="0" distB="0" distL="0" distR="0" wp14:anchorId="6A205B45" wp14:editId="765A4D2A">
            <wp:extent cx="5577840" cy="9357360"/>
            <wp:effectExtent l="0" t="0" r="3810" b="0"/>
            <wp:docPr id="109" name="Chart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101BA" w:rsidRPr="0014025C" w:rsidRDefault="00A101BA" w:rsidP="003C4829">
      <w:pPr>
        <w:pStyle w:val="Heading4list"/>
        <w:rPr>
          <w:color w:val="002060"/>
        </w:rPr>
      </w:pPr>
      <w:bookmarkStart w:id="21" w:name="_Toc458605161"/>
      <w:r w:rsidRPr="0014025C">
        <w:rPr>
          <w:color w:val="002060"/>
        </w:rPr>
        <w:lastRenderedPageBreak/>
        <w:t>Industrial buildings</w:t>
      </w:r>
      <w:bookmarkEnd w:id="20"/>
      <w:bookmarkEnd w:id="21"/>
    </w:p>
    <w:p w:rsidR="00A101BA" w:rsidRPr="00BF20D3" w:rsidRDefault="00741490" w:rsidP="007169B3">
      <w:pPr>
        <w:ind w:left="851"/>
        <w:rPr>
          <w:sz w:val="20"/>
        </w:rPr>
      </w:pPr>
      <w:r w:rsidRPr="00BF20D3">
        <w:rPr>
          <w:sz w:val="20"/>
        </w:rPr>
        <w:t>Over 77</w:t>
      </w:r>
      <w:r w:rsidR="00F071C8" w:rsidRPr="00BF20D3">
        <w:rPr>
          <w:sz w:val="20"/>
        </w:rPr>
        <w:t xml:space="preserve">% </w:t>
      </w:r>
      <w:r w:rsidR="00A101BA" w:rsidRPr="00BF20D3">
        <w:rPr>
          <w:sz w:val="20"/>
        </w:rPr>
        <w:t>of indus</w:t>
      </w:r>
      <w:r w:rsidR="00F071C8" w:rsidRPr="00BF20D3">
        <w:rPr>
          <w:sz w:val="20"/>
        </w:rPr>
        <w:t>trial buildings approved in 2015</w:t>
      </w:r>
      <w:r w:rsidRPr="00BF20D3">
        <w:rPr>
          <w:sz w:val="20"/>
        </w:rPr>
        <w:t>/16</w:t>
      </w:r>
      <w:r w:rsidR="00F071C8" w:rsidRPr="00BF20D3">
        <w:rPr>
          <w:sz w:val="20"/>
        </w:rPr>
        <w:t xml:space="preserve"> w</w:t>
      </w:r>
      <w:r w:rsidR="00A101BA" w:rsidRPr="00BF20D3">
        <w:rPr>
          <w:sz w:val="20"/>
        </w:rPr>
        <w:t xml:space="preserve">ere warehouses and most were located in the </w:t>
      </w:r>
      <w:r w:rsidR="00590D0A">
        <w:rPr>
          <w:sz w:val="20"/>
        </w:rPr>
        <w:t>m</w:t>
      </w:r>
      <w:r w:rsidR="00A101BA" w:rsidRPr="00BF20D3">
        <w:rPr>
          <w:sz w:val="20"/>
        </w:rPr>
        <w:t xml:space="preserve">etropolitan </w:t>
      </w:r>
      <w:r w:rsidR="00590D0A">
        <w:rPr>
          <w:sz w:val="20"/>
        </w:rPr>
        <w:t>a</w:t>
      </w:r>
      <w:r w:rsidR="00A101BA" w:rsidRPr="00BF20D3">
        <w:rPr>
          <w:sz w:val="20"/>
        </w:rPr>
        <w:t>rea.</w:t>
      </w:r>
      <w:r w:rsidR="00966CC5" w:rsidRPr="00BF20D3">
        <w:rPr>
          <w:sz w:val="20"/>
        </w:rPr>
        <w:t xml:space="preserve"> </w:t>
      </w:r>
      <w:r w:rsidR="00A101BA" w:rsidRPr="00BF20D3">
        <w:rPr>
          <w:sz w:val="20"/>
        </w:rPr>
        <w:t xml:space="preserve">The only </w:t>
      </w:r>
      <w:r w:rsidR="00590D0A">
        <w:rPr>
          <w:sz w:val="20"/>
        </w:rPr>
        <w:t>L</w:t>
      </w:r>
      <w:r w:rsidR="00A101BA" w:rsidRPr="00BF20D3">
        <w:rPr>
          <w:sz w:val="20"/>
        </w:rPr>
        <w:t xml:space="preserve">ocal </w:t>
      </w:r>
      <w:r w:rsidR="00590D0A">
        <w:rPr>
          <w:sz w:val="20"/>
        </w:rPr>
        <w:t>G</w:t>
      </w:r>
      <w:r w:rsidR="00A101BA" w:rsidRPr="00BF20D3">
        <w:rPr>
          <w:sz w:val="20"/>
        </w:rPr>
        <w:t xml:space="preserve">overnment </w:t>
      </w:r>
      <w:r w:rsidR="00590D0A">
        <w:rPr>
          <w:sz w:val="20"/>
        </w:rPr>
        <w:t>A</w:t>
      </w:r>
      <w:r w:rsidR="00A101BA" w:rsidRPr="00BF20D3">
        <w:rPr>
          <w:sz w:val="20"/>
        </w:rPr>
        <w:t>rea</w:t>
      </w:r>
      <w:r w:rsidR="00F071C8" w:rsidRPr="00BF20D3">
        <w:rPr>
          <w:sz w:val="20"/>
        </w:rPr>
        <w:t>s</w:t>
      </w:r>
      <w:r w:rsidR="00A101BA" w:rsidRPr="00BF20D3">
        <w:rPr>
          <w:sz w:val="20"/>
        </w:rPr>
        <w:t xml:space="preserve"> in Melbourne with</w:t>
      </w:r>
      <w:r w:rsidR="00F071C8" w:rsidRPr="00BF20D3">
        <w:rPr>
          <w:sz w:val="20"/>
        </w:rPr>
        <w:t xml:space="preserve"> approval of</w:t>
      </w:r>
      <w:r w:rsidR="00A101BA" w:rsidRPr="00BF20D3">
        <w:rPr>
          <w:sz w:val="20"/>
        </w:rPr>
        <w:t xml:space="preserve"> any major factories or </w:t>
      </w:r>
      <w:r w:rsidR="00F071C8" w:rsidRPr="00BF20D3">
        <w:rPr>
          <w:sz w:val="20"/>
        </w:rPr>
        <w:t xml:space="preserve">other production buildings were </w:t>
      </w:r>
      <w:r w:rsidR="00A101BA" w:rsidRPr="00BF20D3">
        <w:rPr>
          <w:sz w:val="20"/>
        </w:rPr>
        <w:t>Hume</w:t>
      </w:r>
      <w:r w:rsidR="00F071C8" w:rsidRPr="00BF20D3">
        <w:rPr>
          <w:sz w:val="20"/>
        </w:rPr>
        <w:t xml:space="preserve"> and Greater Dandenong</w:t>
      </w:r>
      <w:r w:rsidR="00A101BA" w:rsidRPr="00BF20D3">
        <w:rPr>
          <w:sz w:val="20"/>
        </w:rPr>
        <w:t>.</w:t>
      </w:r>
      <w:r w:rsidR="008760D3" w:rsidRPr="00BF20D3">
        <w:rPr>
          <w:sz w:val="20"/>
        </w:rPr>
        <w:t xml:space="preserve"> </w:t>
      </w:r>
    </w:p>
    <w:p w:rsidR="00A101BA" w:rsidRPr="00BF20D3" w:rsidRDefault="00A101BA" w:rsidP="007169B3">
      <w:pPr>
        <w:ind w:left="851"/>
        <w:rPr>
          <w:sz w:val="20"/>
        </w:rPr>
      </w:pPr>
      <w:r w:rsidRPr="00BF20D3">
        <w:rPr>
          <w:sz w:val="20"/>
        </w:rPr>
        <w:t xml:space="preserve">In </w:t>
      </w:r>
      <w:r w:rsidR="00F071C8" w:rsidRPr="00BF20D3">
        <w:rPr>
          <w:sz w:val="20"/>
        </w:rPr>
        <w:t>regional Victoria, there was $43</w:t>
      </w:r>
      <w:r w:rsidRPr="00BF20D3">
        <w:rPr>
          <w:sz w:val="20"/>
        </w:rPr>
        <w:t xml:space="preserve"> million worth of </w:t>
      </w:r>
      <w:r w:rsidR="00590D0A">
        <w:rPr>
          <w:sz w:val="20"/>
        </w:rPr>
        <w:t>i</w:t>
      </w:r>
      <w:r w:rsidRPr="00BF20D3">
        <w:rPr>
          <w:sz w:val="20"/>
        </w:rPr>
        <w:t>ndustrial buildings approved.</w:t>
      </w:r>
      <w:r w:rsidR="008760D3" w:rsidRPr="00BF20D3">
        <w:rPr>
          <w:sz w:val="20"/>
        </w:rPr>
        <w:t xml:space="preserve"> Campaspe had some significant investment in the </w:t>
      </w:r>
      <w:r w:rsidR="00590D0A">
        <w:rPr>
          <w:sz w:val="20"/>
        </w:rPr>
        <w:t>f</w:t>
      </w:r>
      <w:r w:rsidR="008760D3" w:rsidRPr="00BF20D3">
        <w:rPr>
          <w:sz w:val="20"/>
        </w:rPr>
        <w:t xml:space="preserve">actories and </w:t>
      </w:r>
      <w:r w:rsidR="00590D0A">
        <w:rPr>
          <w:sz w:val="20"/>
        </w:rPr>
        <w:t>p</w:t>
      </w:r>
      <w:r w:rsidR="008760D3" w:rsidRPr="00BF20D3">
        <w:rPr>
          <w:sz w:val="20"/>
        </w:rPr>
        <w:t xml:space="preserve">roduction buildings category. </w:t>
      </w:r>
      <w:r w:rsidRPr="00BF20D3">
        <w:rPr>
          <w:sz w:val="20"/>
        </w:rPr>
        <w:t xml:space="preserve"> </w:t>
      </w:r>
    </w:p>
    <w:p w:rsidR="00A101BA" w:rsidRPr="00BF20D3" w:rsidRDefault="00EB6EF6" w:rsidP="00F071C8">
      <w:pPr>
        <w:ind w:left="426"/>
        <w:rPr>
          <w:sz w:val="20"/>
        </w:rPr>
      </w:pPr>
      <w:r w:rsidRPr="00BF20D3">
        <w:rPr>
          <w:noProof/>
          <w:lang w:eastAsia="en-AU"/>
        </w:rPr>
        <w:drawing>
          <wp:inline distT="0" distB="0" distL="0" distR="0" wp14:anchorId="014F4211" wp14:editId="58A638C0">
            <wp:extent cx="6149340" cy="7589520"/>
            <wp:effectExtent l="0" t="0" r="3810" b="11430"/>
            <wp:docPr id="110" name="Chart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C223D0" w:rsidRPr="00BF20D3" w:rsidRDefault="00EB6EF6" w:rsidP="00F071C8">
      <w:pPr>
        <w:ind w:left="426"/>
        <w:rPr>
          <w:b/>
          <w:sz w:val="20"/>
        </w:rPr>
      </w:pPr>
      <w:bookmarkStart w:id="22" w:name="_Toc437436635"/>
      <w:r w:rsidRPr="00BF20D3">
        <w:rPr>
          <w:noProof/>
          <w:lang w:eastAsia="en-AU"/>
        </w:rPr>
        <w:lastRenderedPageBreak/>
        <w:drawing>
          <wp:inline distT="0" distB="0" distL="0" distR="0" wp14:anchorId="7BDC0EE4" wp14:editId="443430C5">
            <wp:extent cx="5798820" cy="9341485"/>
            <wp:effectExtent l="0" t="0" r="0" b="0"/>
            <wp:docPr id="111" name="Chart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C223D0" w:rsidRPr="00BF20D3">
        <w:rPr>
          <w:b/>
          <w:sz w:val="20"/>
        </w:rPr>
        <w:br w:type="page"/>
      </w:r>
    </w:p>
    <w:p w:rsidR="00362941" w:rsidRPr="0014025C" w:rsidRDefault="00362941" w:rsidP="003C4829">
      <w:pPr>
        <w:pStyle w:val="Heading4list"/>
        <w:rPr>
          <w:color w:val="002060"/>
        </w:rPr>
      </w:pPr>
      <w:bookmarkStart w:id="23" w:name="_Toc458605162"/>
      <w:r w:rsidRPr="0014025C">
        <w:rPr>
          <w:color w:val="002060"/>
        </w:rPr>
        <w:lastRenderedPageBreak/>
        <w:t>Other Non-Residential Buildings</w:t>
      </w:r>
      <w:bookmarkEnd w:id="22"/>
      <w:bookmarkEnd w:id="23"/>
      <w:r w:rsidRPr="0014025C">
        <w:rPr>
          <w:color w:val="002060"/>
        </w:rPr>
        <w:t xml:space="preserve"> </w:t>
      </w:r>
    </w:p>
    <w:p w:rsidR="00385326" w:rsidRPr="00BF20D3" w:rsidRDefault="00385326" w:rsidP="007169B3">
      <w:pPr>
        <w:ind w:left="851"/>
        <w:rPr>
          <w:sz w:val="20"/>
        </w:rPr>
      </w:pPr>
      <w:r w:rsidRPr="00BF20D3">
        <w:rPr>
          <w:sz w:val="20"/>
        </w:rPr>
        <w:t>Points of interest</w:t>
      </w:r>
      <w:r w:rsidR="00932482">
        <w:rPr>
          <w:sz w:val="20"/>
        </w:rPr>
        <w:t xml:space="preserve">s in the other non-residential </w:t>
      </w:r>
      <w:r w:rsidRPr="00BF20D3">
        <w:rPr>
          <w:sz w:val="20"/>
        </w:rPr>
        <w:t>buildin</w:t>
      </w:r>
      <w:r w:rsidR="00A05044" w:rsidRPr="00BF20D3">
        <w:rPr>
          <w:sz w:val="20"/>
        </w:rPr>
        <w:t>g approvals were the short</w:t>
      </w:r>
      <w:r w:rsidR="000D543A">
        <w:rPr>
          <w:sz w:val="20"/>
        </w:rPr>
        <w:t>-</w:t>
      </w:r>
      <w:r w:rsidR="00A05044" w:rsidRPr="00BF20D3">
        <w:rPr>
          <w:sz w:val="20"/>
        </w:rPr>
        <w:t>term accommodation approved in Whitehorse</w:t>
      </w:r>
      <w:r w:rsidR="00982AF4" w:rsidRPr="00BF20D3">
        <w:rPr>
          <w:sz w:val="20"/>
        </w:rPr>
        <w:t xml:space="preserve"> and Mornington Peninsula</w:t>
      </w:r>
      <w:r w:rsidR="00A05044" w:rsidRPr="00BF20D3">
        <w:rPr>
          <w:sz w:val="20"/>
        </w:rPr>
        <w:t xml:space="preserve">, </w:t>
      </w:r>
      <w:r w:rsidR="000D543A">
        <w:rPr>
          <w:sz w:val="20"/>
        </w:rPr>
        <w:t>e</w:t>
      </w:r>
      <w:r w:rsidR="00A05044" w:rsidRPr="00BF20D3">
        <w:rPr>
          <w:sz w:val="20"/>
        </w:rPr>
        <w:t>ducational buildings in</w:t>
      </w:r>
      <w:r w:rsidR="00982AF4" w:rsidRPr="00BF20D3">
        <w:rPr>
          <w:sz w:val="20"/>
        </w:rPr>
        <w:t xml:space="preserve"> many councils</w:t>
      </w:r>
      <w:r w:rsidR="00A05044" w:rsidRPr="00BF20D3">
        <w:rPr>
          <w:sz w:val="20"/>
        </w:rPr>
        <w:t xml:space="preserve">, </w:t>
      </w:r>
      <w:r w:rsidR="000D543A">
        <w:rPr>
          <w:sz w:val="20"/>
        </w:rPr>
        <w:t>e</w:t>
      </w:r>
      <w:r w:rsidR="00A05044" w:rsidRPr="00BF20D3">
        <w:rPr>
          <w:sz w:val="20"/>
        </w:rPr>
        <w:t>ntertainment building</w:t>
      </w:r>
      <w:r w:rsidR="00982AF4" w:rsidRPr="00BF20D3">
        <w:rPr>
          <w:sz w:val="20"/>
        </w:rPr>
        <w:t>s</w:t>
      </w:r>
      <w:r w:rsidR="00A05044" w:rsidRPr="00BF20D3">
        <w:rPr>
          <w:sz w:val="20"/>
        </w:rPr>
        <w:t xml:space="preserve"> in Wellingt</w:t>
      </w:r>
      <w:r w:rsidR="00C223D0" w:rsidRPr="00BF20D3">
        <w:rPr>
          <w:sz w:val="20"/>
        </w:rPr>
        <w:t>on</w:t>
      </w:r>
      <w:r w:rsidR="00982AF4" w:rsidRPr="00BF20D3">
        <w:rPr>
          <w:sz w:val="20"/>
        </w:rPr>
        <w:t xml:space="preserve"> and Casey,</w:t>
      </w:r>
      <w:r w:rsidR="00932482">
        <w:rPr>
          <w:sz w:val="20"/>
        </w:rPr>
        <w:t xml:space="preserve"> and </w:t>
      </w:r>
      <w:r w:rsidR="000D543A">
        <w:rPr>
          <w:sz w:val="20"/>
        </w:rPr>
        <w:t>h</w:t>
      </w:r>
      <w:r w:rsidR="00932482">
        <w:rPr>
          <w:sz w:val="20"/>
        </w:rPr>
        <w:t>ealth b</w:t>
      </w:r>
      <w:r w:rsidR="00C223D0" w:rsidRPr="00BF20D3">
        <w:rPr>
          <w:sz w:val="20"/>
        </w:rPr>
        <w:t>uilding</w:t>
      </w:r>
      <w:r w:rsidR="00932482">
        <w:rPr>
          <w:sz w:val="20"/>
        </w:rPr>
        <w:t>s</w:t>
      </w:r>
      <w:r w:rsidR="00C223D0" w:rsidRPr="00BF20D3">
        <w:rPr>
          <w:sz w:val="20"/>
        </w:rPr>
        <w:t xml:space="preserve"> approved</w:t>
      </w:r>
      <w:r w:rsidR="00A05044" w:rsidRPr="00BF20D3">
        <w:rPr>
          <w:sz w:val="20"/>
        </w:rPr>
        <w:t xml:space="preserve"> in Kingston</w:t>
      </w:r>
      <w:r w:rsidR="00982AF4" w:rsidRPr="00BF20D3">
        <w:rPr>
          <w:sz w:val="20"/>
        </w:rPr>
        <w:t>, La Trobe and Wyndham</w:t>
      </w:r>
      <w:r w:rsidR="00A05044" w:rsidRPr="00BF20D3">
        <w:rPr>
          <w:sz w:val="20"/>
        </w:rPr>
        <w:t xml:space="preserve">. </w:t>
      </w:r>
    </w:p>
    <w:p w:rsidR="003565F0" w:rsidRPr="00BF20D3" w:rsidRDefault="00EB6EF6" w:rsidP="007169B3">
      <w:pPr>
        <w:ind w:left="851"/>
        <w:rPr>
          <w:sz w:val="20"/>
        </w:rPr>
      </w:pPr>
      <w:r w:rsidRPr="00BF20D3">
        <w:rPr>
          <w:noProof/>
          <w:lang w:eastAsia="en-AU"/>
        </w:rPr>
        <w:drawing>
          <wp:inline distT="0" distB="0" distL="0" distR="0" wp14:anchorId="213FDDCB" wp14:editId="2A2C81A0">
            <wp:extent cx="5570220" cy="8092440"/>
            <wp:effectExtent l="0" t="0" r="0" b="3810"/>
            <wp:docPr id="112" name="Chart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223D0" w:rsidRPr="00BF20D3" w:rsidRDefault="00EB6EF6" w:rsidP="00CD6F7E">
      <w:pPr>
        <w:ind w:left="851"/>
        <w:rPr>
          <w:b/>
          <w:sz w:val="20"/>
        </w:rPr>
      </w:pPr>
      <w:bookmarkStart w:id="24" w:name="_Toc437436626"/>
      <w:r w:rsidRPr="00BF20D3">
        <w:rPr>
          <w:noProof/>
          <w:lang w:eastAsia="en-AU"/>
        </w:rPr>
        <w:lastRenderedPageBreak/>
        <w:drawing>
          <wp:inline distT="0" distB="0" distL="0" distR="0" wp14:anchorId="0875988B" wp14:editId="2269AF91">
            <wp:extent cx="5588635" cy="9341485"/>
            <wp:effectExtent l="0" t="0" r="0" b="0"/>
            <wp:docPr id="113" name="Chart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C223D0" w:rsidRPr="00BF20D3">
        <w:rPr>
          <w:b/>
          <w:sz w:val="20"/>
        </w:rPr>
        <w:br w:type="page"/>
      </w:r>
    </w:p>
    <w:p w:rsidR="00316E36" w:rsidRPr="0014025C" w:rsidRDefault="00316E36" w:rsidP="00316E36">
      <w:pPr>
        <w:pStyle w:val="Heading2numbered"/>
        <w:rPr>
          <w:color w:val="002060"/>
        </w:rPr>
      </w:pPr>
      <w:bookmarkStart w:id="25" w:name="_Toc458605163"/>
      <w:bookmarkStart w:id="26" w:name="_Toc437436627"/>
      <w:bookmarkEnd w:id="24"/>
      <w:r w:rsidRPr="0014025C">
        <w:rPr>
          <w:color w:val="002060"/>
        </w:rPr>
        <w:lastRenderedPageBreak/>
        <w:t>Crane Counts</w:t>
      </w:r>
      <w:bookmarkEnd w:id="25"/>
      <w:r w:rsidRPr="0014025C">
        <w:rPr>
          <w:color w:val="002060"/>
        </w:rPr>
        <w:t xml:space="preserve"> </w:t>
      </w:r>
    </w:p>
    <w:p w:rsidR="00316E36" w:rsidRPr="00C322A7" w:rsidRDefault="00316E36" w:rsidP="00420CBD">
      <w:pPr>
        <w:pStyle w:val="NoSpacing"/>
        <w:rPr>
          <w:b/>
          <w:sz w:val="20"/>
          <w:szCs w:val="20"/>
        </w:rPr>
      </w:pPr>
      <w:bookmarkStart w:id="27" w:name="_Toc449703737"/>
      <w:bookmarkStart w:id="28" w:name="_Toc450204662"/>
      <w:r w:rsidRPr="00C322A7">
        <w:rPr>
          <w:sz w:val="20"/>
          <w:szCs w:val="20"/>
        </w:rPr>
        <w:t xml:space="preserve">Rider Levett Bucknall publishes a biannual </w:t>
      </w:r>
      <w:r w:rsidR="00253E13">
        <w:rPr>
          <w:sz w:val="20"/>
          <w:szCs w:val="20"/>
        </w:rPr>
        <w:t>C</w:t>
      </w:r>
      <w:r w:rsidRPr="00C322A7">
        <w:rPr>
          <w:sz w:val="20"/>
          <w:szCs w:val="20"/>
        </w:rPr>
        <w:t>rane Index. The Crane Index tracks the number of cranes in the key mainland cities in Australia. This is a useful proxy for major construction work.</w:t>
      </w:r>
      <w:bookmarkEnd w:id="27"/>
      <w:bookmarkEnd w:id="28"/>
      <w:r w:rsidRPr="00C322A7">
        <w:rPr>
          <w:sz w:val="20"/>
          <w:szCs w:val="20"/>
        </w:rPr>
        <w:t xml:space="preserve">   </w:t>
      </w:r>
    </w:p>
    <w:p w:rsidR="00444778" w:rsidRPr="00C322A7" w:rsidRDefault="00444778" w:rsidP="00420CBD">
      <w:pPr>
        <w:pStyle w:val="NoSpacing"/>
        <w:rPr>
          <w:b/>
          <w:sz w:val="20"/>
          <w:szCs w:val="20"/>
        </w:rPr>
      </w:pPr>
    </w:p>
    <w:p w:rsidR="00444778" w:rsidRDefault="00444778" w:rsidP="00420CBD">
      <w:pPr>
        <w:pStyle w:val="NoSpacing"/>
        <w:rPr>
          <w:sz w:val="20"/>
          <w:szCs w:val="20"/>
        </w:rPr>
      </w:pPr>
      <w:bookmarkStart w:id="29" w:name="_Toc449703738"/>
      <w:bookmarkStart w:id="30" w:name="_Toc450204663"/>
      <w:bookmarkStart w:id="31" w:name="_Toc458413657"/>
      <w:r w:rsidRPr="00C322A7">
        <w:rPr>
          <w:sz w:val="20"/>
          <w:szCs w:val="20"/>
        </w:rPr>
        <w:t>Across Melbourne</w:t>
      </w:r>
      <w:r w:rsidR="00253E13">
        <w:rPr>
          <w:sz w:val="20"/>
          <w:szCs w:val="20"/>
        </w:rPr>
        <w:t>,</w:t>
      </w:r>
      <w:r w:rsidRPr="00C322A7">
        <w:rPr>
          <w:sz w:val="20"/>
          <w:szCs w:val="20"/>
        </w:rPr>
        <w:t xml:space="preserve"> there were 148 cranes on sites at the start of the 2</w:t>
      </w:r>
      <w:r w:rsidRPr="00C322A7">
        <w:rPr>
          <w:sz w:val="20"/>
          <w:szCs w:val="20"/>
          <w:vertAlign w:val="superscript"/>
        </w:rPr>
        <w:t>nd</w:t>
      </w:r>
      <w:r w:rsidRPr="00C322A7">
        <w:rPr>
          <w:sz w:val="20"/>
          <w:szCs w:val="20"/>
        </w:rPr>
        <w:t xml:space="preserve"> Quarter 2016. There had been 82 new cranes erected and 70 dismantled in the past six months. The vast majority of these were on residential projects.</w:t>
      </w:r>
      <w:bookmarkEnd w:id="29"/>
      <w:bookmarkEnd w:id="30"/>
      <w:bookmarkEnd w:id="31"/>
      <w:r w:rsidRPr="00C322A7">
        <w:rPr>
          <w:sz w:val="20"/>
          <w:szCs w:val="20"/>
        </w:rPr>
        <w:t xml:space="preserve"> </w:t>
      </w:r>
    </w:p>
    <w:p w:rsidR="00C322A7" w:rsidRPr="00C322A7" w:rsidRDefault="00C322A7" w:rsidP="00420CBD">
      <w:pPr>
        <w:pStyle w:val="NoSpacing"/>
        <w:rPr>
          <w:b/>
          <w:sz w:val="20"/>
          <w:szCs w:val="20"/>
        </w:rPr>
      </w:pPr>
    </w:p>
    <w:p w:rsidR="00444778" w:rsidRPr="00BF20D3" w:rsidRDefault="00444778" w:rsidP="00420CBD">
      <w:pPr>
        <w:pStyle w:val="NoSpacing"/>
      </w:pPr>
      <w:bookmarkStart w:id="32" w:name="_Toc449703739"/>
      <w:bookmarkStart w:id="33" w:name="_Toc450204664"/>
      <w:bookmarkStart w:id="34" w:name="_Toc458413658"/>
      <w:r w:rsidRPr="00BF20D3">
        <w:rPr>
          <w:noProof/>
          <w:lang w:eastAsia="en-AU"/>
        </w:rPr>
        <w:drawing>
          <wp:inline distT="0" distB="0" distL="0" distR="0" wp14:anchorId="4B810173" wp14:editId="2F218653">
            <wp:extent cx="6209665" cy="3444875"/>
            <wp:effectExtent l="0" t="0" r="635" b="317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bookmarkEnd w:id="32"/>
      <w:bookmarkEnd w:id="33"/>
      <w:bookmarkEnd w:id="34"/>
    </w:p>
    <w:p w:rsidR="00850ADA" w:rsidRPr="00C322A7" w:rsidRDefault="00850ADA" w:rsidP="00420CBD">
      <w:pPr>
        <w:pStyle w:val="NoSpacing"/>
        <w:rPr>
          <w:b/>
          <w:sz w:val="20"/>
          <w:szCs w:val="20"/>
        </w:rPr>
      </w:pPr>
      <w:bookmarkStart w:id="35" w:name="_Toc449703740"/>
      <w:bookmarkStart w:id="36" w:name="_Toc450204665"/>
      <w:r w:rsidRPr="00C322A7">
        <w:rPr>
          <w:sz w:val="20"/>
          <w:szCs w:val="20"/>
        </w:rPr>
        <w:t xml:space="preserve">Over a third of the cranes in Melbourne were located in the CBD, Docklands and Southbank but 30% were found in the </w:t>
      </w:r>
      <w:r w:rsidR="00253E13">
        <w:rPr>
          <w:sz w:val="20"/>
          <w:szCs w:val="20"/>
        </w:rPr>
        <w:t>e</w:t>
      </w:r>
      <w:r w:rsidRPr="00C322A7">
        <w:rPr>
          <w:sz w:val="20"/>
          <w:szCs w:val="20"/>
        </w:rPr>
        <w:t>astern suburbs.</w:t>
      </w:r>
      <w:bookmarkEnd w:id="35"/>
      <w:bookmarkEnd w:id="36"/>
    </w:p>
    <w:p w:rsidR="00850ADA" w:rsidRPr="00C322A7" w:rsidRDefault="00850ADA" w:rsidP="00420CBD">
      <w:pPr>
        <w:pStyle w:val="NoSpacing"/>
        <w:rPr>
          <w:b/>
          <w:sz w:val="20"/>
          <w:szCs w:val="20"/>
        </w:rPr>
      </w:pPr>
    </w:p>
    <w:p w:rsidR="00850ADA" w:rsidRPr="00C322A7" w:rsidRDefault="00850ADA" w:rsidP="00420CBD">
      <w:pPr>
        <w:pStyle w:val="NoSpacing"/>
        <w:rPr>
          <w:b/>
          <w:sz w:val="20"/>
          <w:szCs w:val="20"/>
        </w:rPr>
      </w:pPr>
      <w:bookmarkStart w:id="37" w:name="_Toc449703741"/>
      <w:bookmarkStart w:id="38" w:name="_Toc450204666"/>
      <w:r w:rsidRPr="00C322A7">
        <w:rPr>
          <w:sz w:val="20"/>
          <w:szCs w:val="20"/>
        </w:rPr>
        <w:t>Melbourne had the second highest number of cranes in Australia. Sydney had the greatest number</w:t>
      </w:r>
      <w:r w:rsidR="00D72D9D" w:rsidRPr="00C322A7">
        <w:rPr>
          <w:sz w:val="20"/>
          <w:szCs w:val="20"/>
        </w:rPr>
        <w:t xml:space="preserve"> of cranes, possibly as a result o</w:t>
      </w:r>
      <w:r w:rsidRPr="00C322A7">
        <w:rPr>
          <w:sz w:val="20"/>
          <w:szCs w:val="20"/>
        </w:rPr>
        <w:t xml:space="preserve">f Sydney’s lack of </w:t>
      </w:r>
      <w:r w:rsidR="002513C6">
        <w:rPr>
          <w:sz w:val="20"/>
          <w:szCs w:val="20"/>
        </w:rPr>
        <w:t>g</w:t>
      </w:r>
      <w:r w:rsidRPr="00C322A7">
        <w:rPr>
          <w:sz w:val="20"/>
          <w:szCs w:val="20"/>
        </w:rPr>
        <w:t>reenfield growth</w:t>
      </w:r>
      <w:r w:rsidR="002513C6">
        <w:rPr>
          <w:sz w:val="20"/>
          <w:szCs w:val="20"/>
        </w:rPr>
        <w:t>,</w:t>
      </w:r>
      <w:r w:rsidR="00D72D9D" w:rsidRPr="00C322A7">
        <w:rPr>
          <w:sz w:val="20"/>
          <w:szCs w:val="20"/>
        </w:rPr>
        <w:t xml:space="preserve"> forcing multi-level residential development.</w:t>
      </w:r>
      <w:bookmarkEnd w:id="37"/>
      <w:bookmarkEnd w:id="38"/>
      <w:r w:rsidRPr="00C322A7">
        <w:rPr>
          <w:sz w:val="20"/>
          <w:szCs w:val="20"/>
        </w:rPr>
        <w:t xml:space="preserve"> </w:t>
      </w:r>
    </w:p>
    <w:p w:rsidR="00D72D9D" w:rsidRPr="00C322A7" w:rsidRDefault="00D72D9D" w:rsidP="00420CBD">
      <w:pPr>
        <w:pStyle w:val="NoSpacing"/>
        <w:rPr>
          <w:b/>
          <w:sz w:val="20"/>
          <w:szCs w:val="20"/>
        </w:rPr>
      </w:pPr>
    </w:p>
    <w:p w:rsidR="00850ADA" w:rsidRPr="00BF20D3" w:rsidRDefault="00850ADA" w:rsidP="00420CBD">
      <w:pPr>
        <w:pStyle w:val="NoSpacing"/>
        <w:rPr>
          <w:b/>
        </w:rPr>
      </w:pPr>
      <w:bookmarkStart w:id="39" w:name="_Toc449703742"/>
      <w:bookmarkStart w:id="40" w:name="_Toc450204667"/>
      <w:r w:rsidRPr="00BF20D3">
        <w:rPr>
          <w:noProof/>
          <w:lang w:eastAsia="en-AU"/>
        </w:rPr>
        <w:drawing>
          <wp:inline distT="0" distB="0" distL="0" distR="0" wp14:anchorId="342AE70F" wp14:editId="6CEEFA2C">
            <wp:extent cx="6225540" cy="3284220"/>
            <wp:effectExtent l="0" t="0" r="381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bookmarkEnd w:id="39"/>
      <w:bookmarkEnd w:id="40"/>
      <w:r w:rsidRPr="00BF20D3">
        <w:t xml:space="preserve"> </w:t>
      </w:r>
    </w:p>
    <w:p w:rsidR="00896431" w:rsidRPr="00BF20D3" w:rsidRDefault="00896431" w:rsidP="00420CBD">
      <w:pPr>
        <w:pStyle w:val="NoSpacing"/>
        <w:rPr>
          <w:b/>
        </w:rPr>
      </w:pPr>
    </w:p>
    <w:p w:rsidR="00C322A7" w:rsidRDefault="00C322A7">
      <w:pPr>
        <w:rPr>
          <w:rFonts w:asciiTheme="majorHAnsi" w:hAnsiTheme="majorHAnsi"/>
          <w:b/>
          <w:color w:val="002060"/>
          <w:sz w:val="24"/>
        </w:rPr>
      </w:pPr>
      <w:bookmarkStart w:id="41" w:name="_Toc458605164"/>
      <w:r>
        <w:rPr>
          <w:color w:val="002060"/>
        </w:rPr>
        <w:br w:type="page"/>
      </w:r>
    </w:p>
    <w:p w:rsidR="00896431" w:rsidRPr="0014025C" w:rsidRDefault="00896431" w:rsidP="00896431">
      <w:pPr>
        <w:pStyle w:val="Heading2numbered"/>
        <w:rPr>
          <w:color w:val="002060"/>
        </w:rPr>
      </w:pPr>
      <w:r w:rsidRPr="0014025C">
        <w:rPr>
          <w:color w:val="002060"/>
        </w:rPr>
        <w:lastRenderedPageBreak/>
        <w:t>Construction Pipeline</w:t>
      </w:r>
      <w:bookmarkEnd w:id="41"/>
    </w:p>
    <w:p w:rsidR="00896431" w:rsidRPr="00C322A7" w:rsidRDefault="00896431" w:rsidP="00420CBD">
      <w:pPr>
        <w:pStyle w:val="NoSpacing"/>
        <w:rPr>
          <w:b/>
          <w:sz w:val="20"/>
          <w:szCs w:val="20"/>
        </w:rPr>
      </w:pPr>
      <w:bookmarkStart w:id="42" w:name="_Toc450204669"/>
      <w:r w:rsidRPr="00C322A7">
        <w:rPr>
          <w:sz w:val="20"/>
          <w:szCs w:val="20"/>
        </w:rPr>
        <w:t xml:space="preserve">Cordell </w:t>
      </w:r>
      <w:r w:rsidR="00CB7F22" w:rsidRPr="00C322A7">
        <w:rPr>
          <w:sz w:val="20"/>
          <w:szCs w:val="20"/>
        </w:rPr>
        <w:t>Connect collects information for their database on most construction projects across Australia</w:t>
      </w:r>
      <w:r w:rsidR="002513C6">
        <w:rPr>
          <w:sz w:val="20"/>
          <w:szCs w:val="20"/>
        </w:rPr>
        <w:t>,</w:t>
      </w:r>
      <w:r w:rsidR="00CB7F22" w:rsidRPr="00C322A7">
        <w:rPr>
          <w:sz w:val="20"/>
          <w:szCs w:val="20"/>
        </w:rPr>
        <w:t xml:space="preserve"> with the exception of single dwelling construction. This information is used across the construction industry.</w:t>
      </w:r>
      <w:bookmarkEnd w:id="42"/>
      <w:r w:rsidR="00CB7F22" w:rsidRPr="00C322A7">
        <w:rPr>
          <w:sz w:val="20"/>
          <w:szCs w:val="20"/>
        </w:rPr>
        <w:t xml:space="preserve"> </w:t>
      </w:r>
    </w:p>
    <w:p w:rsidR="00CB7F22" w:rsidRPr="00C322A7" w:rsidRDefault="00CB7F22" w:rsidP="00420CBD">
      <w:pPr>
        <w:pStyle w:val="NoSpacing"/>
        <w:rPr>
          <w:b/>
          <w:sz w:val="20"/>
          <w:szCs w:val="20"/>
        </w:rPr>
      </w:pPr>
    </w:p>
    <w:p w:rsidR="00CB7F22" w:rsidRDefault="00CB7F22" w:rsidP="00420CBD">
      <w:pPr>
        <w:pStyle w:val="NoSpacing"/>
        <w:rPr>
          <w:sz w:val="20"/>
          <w:szCs w:val="20"/>
        </w:rPr>
      </w:pPr>
      <w:bookmarkStart w:id="43" w:name="_Toc450204670"/>
      <w:r w:rsidRPr="00C322A7">
        <w:rPr>
          <w:sz w:val="20"/>
          <w:szCs w:val="20"/>
        </w:rPr>
        <w:t>In Victoria, the Cordell database currently has around 15,000 active projects. The majority of these projects are in the early</w:t>
      </w:r>
      <w:r w:rsidR="007545C6" w:rsidRPr="00C322A7">
        <w:rPr>
          <w:sz w:val="20"/>
          <w:szCs w:val="20"/>
        </w:rPr>
        <w:t xml:space="preserve"> or possible</w:t>
      </w:r>
      <w:r w:rsidRPr="00C322A7">
        <w:rPr>
          <w:sz w:val="20"/>
          <w:szCs w:val="20"/>
        </w:rPr>
        <w:t xml:space="preserve"> stages</w:t>
      </w:r>
      <w:r w:rsidR="002513C6">
        <w:rPr>
          <w:sz w:val="20"/>
          <w:szCs w:val="20"/>
        </w:rPr>
        <w:t>,</w:t>
      </w:r>
      <w:r w:rsidRPr="00C322A7">
        <w:rPr>
          <w:sz w:val="20"/>
          <w:szCs w:val="20"/>
        </w:rPr>
        <w:t xml:space="preserve"> </w:t>
      </w:r>
      <w:r w:rsidR="007545C6" w:rsidRPr="00C322A7">
        <w:rPr>
          <w:sz w:val="20"/>
          <w:szCs w:val="20"/>
        </w:rPr>
        <w:t>with only about 20% currently underway.</w:t>
      </w:r>
      <w:bookmarkEnd w:id="43"/>
    </w:p>
    <w:p w:rsidR="00C322A7" w:rsidRPr="00C322A7" w:rsidRDefault="00C322A7" w:rsidP="00420CBD">
      <w:pPr>
        <w:pStyle w:val="NoSpacing"/>
        <w:rPr>
          <w:sz w:val="20"/>
          <w:szCs w:val="20"/>
        </w:rPr>
      </w:pPr>
    </w:p>
    <w:p w:rsidR="00CB7F22" w:rsidRPr="00BF20D3" w:rsidRDefault="00E91BCF" w:rsidP="00E91BCF">
      <w:pPr>
        <w:pStyle w:val="NoSpacing"/>
        <w:jc w:val="center"/>
      </w:pPr>
      <w:r w:rsidRPr="00BF20D3">
        <w:rPr>
          <w:noProof/>
          <w:lang w:eastAsia="en-AU"/>
        </w:rPr>
        <w:drawing>
          <wp:inline distT="0" distB="0" distL="0" distR="0" wp14:anchorId="27004E04" wp14:editId="51BDB5CF">
            <wp:extent cx="4572000" cy="3143250"/>
            <wp:effectExtent l="0" t="0" r="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C322A7" w:rsidRDefault="00C322A7" w:rsidP="00420CBD">
      <w:pPr>
        <w:pStyle w:val="NoSpacing"/>
        <w:rPr>
          <w:sz w:val="20"/>
          <w:szCs w:val="20"/>
        </w:rPr>
      </w:pPr>
      <w:bookmarkStart w:id="44" w:name="_Toc450204672"/>
    </w:p>
    <w:p w:rsidR="007545C6" w:rsidRDefault="007545C6" w:rsidP="00420CBD">
      <w:pPr>
        <w:pStyle w:val="NoSpacing"/>
        <w:rPr>
          <w:sz w:val="20"/>
          <w:szCs w:val="20"/>
        </w:rPr>
      </w:pPr>
      <w:r w:rsidRPr="00C322A7">
        <w:rPr>
          <w:sz w:val="20"/>
          <w:szCs w:val="20"/>
        </w:rPr>
        <w:t>In terms of value, even</w:t>
      </w:r>
      <w:r w:rsidR="002513C6">
        <w:rPr>
          <w:sz w:val="20"/>
          <w:szCs w:val="20"/>
        </w:rPr>
        <w:t xml:space="preserve"> fewer </w:t>
      </w:r>
      <w:r w:rsidRPr="00C322A7">
        <w:rPr>
          <w:sz w:val="20"/>
          <w:szCs w:val="20"/>
        </w:rPr>
        <w:t>of the works are currently underway or firm</w:t>
      </w:r>
      <w:r w:rsidR="002513C6">
        <w:rPr>
          <w:sz w:val="20"/>
          <w:szCs w:val="20"/>
        </w:rPr>
        <w:t>, with</w:t>
      </w:r>
      <w:r w:rsidRPr="00C322A7">
        <w:rPr>
          <w:sz w:val="20"/>
          <w:szCs w:val="20"/>
        </w:rPr>
        <w:t xml:space="preserve"> over $100 billion worth of projects only being in the early or possible stages.</w:t>
      </w:r>
      <w:bookmarkEnd w:id="44"/>
      <w:r w:rsidRPr="00C322A7">
        <w:rPr>
          <w:sz w:val="20"/>
          <w:szCs w:val="20"/>
        </w:rPr>
        <w:t xml:space="preserve"> </w:t>
      </w:r>
    </w:p>
    <w:p w:rsidR="00C322A7" w:rsidRPr="00C322A7" w:rsidRDefault="00C322A7" w:rsidP="00420CBD">
      <w:pPr>
        <w:pStyle w:val="NoSpacing"/>
        <w:rPr>
          <w:b/>
          <w:sz w:val="20"/>
          <w:szCs w:val="20"/>
        </w:rPr>
      </w:pPr>
    </w:p>
    <w:p w:rsidR="00316E36" w:rsidRPr="00BF20D3" w:rsidRDefault="00E91BCF" w:rsidP="00E91BCF">
      <w:pPr>
        <w:pStyle w:val="NoSpacing"/>
        <w:jc w:val="center"/>
      </w:pPr>
      <w:r w:rsidRPr="00BF20D3">
        <w:rPr>
          <w:noProof/>
          <w:lang w:eastAsia="en-AU"/>
        </w:rPr>
        <w:drawing>
          <wp:inline distT="0" distB="0" distL="0" distR="0" wp14:anchorId="75F4B58A" wp14:editId="47E56C30">
            <wp:extent cx="4572000" cy="3383280"/>
            <wp:effectExtent l="0" t="0" r="0" b="762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40CD2" w:rsidRDefault="00E40CD2" w:rsidP="00F310A8">
      <w:pPr>
        <w:pStyle w:val="NoSpacing"/>
        <w:rPr>
          <w:sz w:val="20"/>
          <w:szCs w:val="20"/>
        </w:rPr>
      </w:pPr>
    </w:p>
    <w:p w:rsidR="00C322A7" w:rsidRPr="00C322A7" w:rsidRDefault="00C322A7" w:rsidP="00F310A8">
      <w:pPr>
        <w:pStyle w:val="NoSpacing"/>
        <w:rPr>
          <w:sz w:val="20"/>
          <w:szCs w:val="20"/>
        </w:rPr>
      </w:pPr>
    </w:p>
    <w:p w:rsidR="00E40CD2" w:rsidRPr="00C322A7" w:rsidRDefault="00E40CD2" w:rsidP="00F310A8">
      <w:pPr>
        <w:pStyle w:val="NoSpacing"/>
        <w:rPr>
          <w:sz w:val="20"/>
          <w:szCs w:val="20"/>
        </w:rPr>
      </w:pPr>
      <w:r w:rsidRPr="00C322A7">
        <w:rPr>
          <w:sz w:val="20"/>
          <w:szCs w:val="20"/>
        </w:rPr>
        <w:t xml:space="preserve">Many of projects at the </w:t>
      </w:r>
      <w:r w:rsidR="00B36733">
        <w:rPr>
          <w:sz w:val="20"/>
          <w:szCs w:val="20"/>
        </w:rPr>
        <w:t>r</w:t>
      </w:r>
      <w:r w:rsidRPr="00C322A7">
        <w:rPr>
          <w:sz w:val="20"/>
          <w:szCs w:val="20"/>
        </w:rPr>
        <w:t>egistration phase are large government projects</w:t>
      </w:r>
      <w:r w:rsidR="00B36733">
        <w:rPr>
          <w:sz w:val="20"/>
          <w:szCs w:val="20"/>
        </w:rPr>
        <w:t>,</w:t>
      </w:r>
      <w:r w:rsidRPr="00C322A7">
        <w:rPr>
          <w:sz w:val="20"/>
          <w:szCs w:val="20"/>
        </w:rPr>
        <w:t xml:space="preserve"> like</w:t>
      </w:r>
      <w:r w:rsidR="00B36733">
        <w:rPr>
          <w:sz w:val="20"/>
          <w:szCs w:val="20"/>
        </w:rPr>
        <w:t xml:space="preserve"> Metro Tunnel</w:t>
      </w:r>
      <w:r w:rsidRPr="00C322A7">
        <w:rPr>
          <w:sz w:val="20"/>
          <w:szCs w:val="20"/>
        </w:rPr>
        <w:t>.</w:t>
      </w:r>
    </w:p>
    <w:p w:rsidR="00E40CD2" w:rsidRPr="00C322A7" w:rsidRDefault="00E40CD2" w:rsidP="00F310A8">
      <w:pPr>
        <w:pStyle w:val="NoSpacing"/>
        <w:rPr>
          <w:sz w:val="20"/>
          <w:szCs w:val="20"/>
        </w:rPr>
      </w:pPr>
    </w:p>
    <w:p w:rsidR="00896431" w:rsidRPr="00BF20D3" w:rsidRDefault="005F6535" w:rsidP="00F310A8">
      <w:pPr>
        <w:pStyle w:val="NoSpacing"/>
        <w:rPr>
          <w:noProof/>
          <w:lang w:eastAsia="en-AU"/>
        </w:rPr>
      </w:pPr>
      <w:r w:rsidRPr="00C322A7">
        <w:rPr>
          <w:sz w:val="20"/>
          <w:szCs w:val="20"/>
        </w:rPr>
        <w:t xml:space="preserve">Tables of number and value of Projects by LGA can be found in the </w:t>
      </w:r>
      <w:r w:rsidR="00B36733">
        <w:rPr>
          <w:sz w:val="20"/>
          <w:szCs w:val="20"/>
        </w:rPr>
        <w:t>a</w:t>
      </w:r>
      <w:r w:rsidRPr="00C322A7">
        <w:rPr>
          <w:sz w:val="20"/>
          <w:szCs w:val="20"/>
        </w:rPr>
        <w:t xml:space="preserve">ppendices. </w:t>
      </w:r>
      <w:r w:rsidR="00896431" w:rsidRPr="00BF20D3">
        <w:br w:type="page"/>
      </w:r>
    </w:p>
    <w:p w:rsidR="00316E36" w:rsidRPr="0014025C" w:rsidRDefault="00316E36" w:rsidP="00316E36">
      <w:pPr>
        <w:pStyle w:val="Heading2numbered"/>
        <w:rPr>
          <w:color w:val="002060"/>
        </w:rPr>
      </w:pPr>
      <w:bookmarkStart w:id="45" w:name="_Toc458605165"/>
      <w:r w:rsidRPr="0014025C">
        <w:rPr>
          <w:color w:val="002060"/>
        </w:rPr>
        <w:lastRenderedPageBreak/>
        <w:t>Greenfields Developments in Melbourne’s Outer Growth Areas</w:t>
      </w:r>
      <w:bookmarkEnd w:id="45"/>
    </w:p>
    <w:p w:rsidR="007D4D11" w:rsidRPr="0014025C" w:rsidRDefault="00BF22E9" w:rsidP="003C4829">
      <w:pPr>
        <w:pStyle w:val="Heading3list"/>
        <w:rPr>
          <w:color w:val="002060"/>
        </w:rPr>
      </w:pPr>
      <w:bookmarkStart w:id="46" w:name="_Toc458605166"/>
      <w:r w:rsidRPr="0014025C">
        <w:rPr>
          <w:color w:val="002060"/>
        </w:rPr>
        <w:t>Sales R</w:t>
      </w:r>
      <w:r w:rsidR="007D4D11" w:rsidRPr="0014025C">
        <w:rPr>
          <w:color w:val="002060"/>
        </w:rPr>
        <w:t>ates</w:t>
      </w:r>
      <w:bookmarkEnd w:id="26"/>
      <w:bookmarkEnd w:id="46"/>
    </w:p>
    <w:p w:rsidR="007D4D11" w:rsidRPr="00BF20D3" w:rsidRDefault="007D4D11" w:rsidP="007169B3">
      <w:pPr>
        <w:ind w:left="426"/>
        <w:rPr>
          <w:sz w:val="20"/>
        </w:rPr>
      </w:pPr>
      <w:r w:rsidRPr="00BF20D3">
        <w:rPr>
          <w:sz w:val="20"/>
        </w:rPr>
        <w:t>In the recent quarters, the Greenfields of Melbourne have been selling at a record pace</w:t>
      </w:r>
      <w:r w:rsidR="00B36733">
        <w:rPr>
          <w:sz w:val="20"/>
        </w:rPr>
        <w:t>,</w:t>
      </w:r>
      <w:r w:rsidRPr="00BF20D3">
        <w:rPr>
          <w:sz w:val="20"/>
        </w:rPr>
        <w:t xml:space="preserve"> </w:t>
      </w:r>
      <w:r w:rsidR="007C6BAA" w:rsidRPr="00BF20D3">
        <w:rPr>
          <w:sz w:val="20"/>
        </w:rPr>
        <w:t>with 22</w:t>
      </w:r>
      <w:r w:rsidR="005A0660" w:rsidRPr="00BF20D3">
        <w:rPr>
          <w:sz w:val="20"/>
        </w:rPr>
        <w:t>,</w:t>
      </w:r>
      <w:r w:rsidR="007C6BAA" w:rsidRPr="00BF20D3">
        <w:rPr>
          <w:sz w:val="20"/>
        </w:rPr>
        <w:t>0</w:t>
      </w:r>
      <w:r w:rsidR="005A0660" w:rsidRPr="00BF20D3">
        <w:rPr>
          <w:sz w:val="20"/>
        </w:rPr>
        <w:t xml:space="preserve">00 lots selling in </w:t>
      </w:r>
      <w:r w:rsidR="000F691A">
        <w:rPr>
          <w:sz w:val="20"/>
        </w:rPr>
        <w:t xml:space="preserve">the </w:t>
      </w:r>
      <w:r w:rsidR="005A0660" w:rsidRPr="00BF20D3">
        <w:rPr>
          <w:sz w:val="20"/>
        </w:rPr>
        <w:t xml:space="preserve">past </w:t>
      </w:r>
      <w:r w:rsidR="00B36733">
        <w:rPr>
          <w:sz w:val="20"/>
        </w:rPr>
        <w:t>four</w:t>
      </w:r>
      <w:r w:rsidR="005A0660" w:rsidRPr="00BF20D3">
        <w:rPr>
          <w:sz w:val="20"/>
        </w:rPr>
        <w:t xml:space="preserve"> quarters</w:t>
      </w:r>
      <w:r w:rsidR="007C6BAA" w:rsidRPr="00BF20D3">
        <w:rPr>
          <w:sz w:val="20"/>
        </w:rPr>
        <w:t xml:space="preserve"> to June 2016</w:t>
      </w:r>
      <w:r w:rsidRPr="00BF20D3">
        <w:rPr>
          <w:sz w:val="20"/>
        </w:rPr>
        <w:t>. Wyndham ha</w:t>
      </w:r>
      <w:r w:rsidR="005A0660" w:rsidRPr="00BF20D3">
        <w:rPr>
          <w:sz w:val="20"/>
        </w:rPr>
        <w:t>s be</w:t>
      </w:r>
      <w:r w:rsidR="007C6BAA" w:rsidRPr="00BF20D3">
        <w:rPr>
          <w:sz w:val="20"/>
        </w:rPr>
        <w:t>en the busiest, selling over 6,3</w:t>
      </w:r>
      <w:r w:rsidR="005A0660" w:rsidRPr="00BF20D3">
        <w:rPr>
          <w:sz w:val="20"/>
        </w:rPr>
        <w:t>00 lots in the past year</w:t>
      </w:r>
      <w:r w:rsidRPr="00BF20D3">
        <w:rPr>
          <w:sz w:val="20"/>
        </w:rPr>
        <w:t xml:space="preserve">. </w:t>
      </w:r>
      <w:r w:rsidR="007C6BAA" w:rsidRPr="00BF20D3">
        <w:rPr>
          <w:sz w:val="20"/>
        </w:rPr>
        <w:t xml:space="preserve">Sales in Melton </w:t>
      </w:r>
      <w:r w:rsidRPr="00BF20D3">
        <w:rPr>
          <w:sz w:val="20"/>
        </w:rPr>
        <w:t>ha</w:t>
      </w:r>
      <w:r w:rsidR="007C6BAA" w:rsidRPr="00BF20D3">
        <w:rPr>
          <w:sz w:val="20"/>
        </w:rPr>
        <w:t>ve</w:t>
      </w:r>
      <w:r w:rsidRPr="00BF20D3">
        <w:rPr>
          <w:sz w:val="20"/>
        </w:rPr>
        <w:t xml:space="preserve"> also been increasing rapidly. </w:t>
      </w:r>
      <w:r w:rsidR="00C14A86" w:rsidRPr="00BF20D3">
        <w:rPr>
          <w:sz w:val="20"/>
        </w:rPr>
        <w:t xml:space="preserve"> </w:t>
      </w:r>
      <w:r w:rsidRPr="00BF20D3">
        <w:rPr>
          <w:sz w:val="20"/>
        </w:rPr>
        <w:t xml:space="preserve">Only Whittlesea and </w:t>
      </w:r>
      <w:r w:rsidR="006B4FD4" w:rsidRPr="00BF20D3">
        <w:rPr>
          <w:sz w:val="20"/>
        </w:rPr>
        <w:t xml:space="preserve">Mitchell </w:t>
      </w:r>
      <w:r w:rsidRPr="00BF20D3">
        <w:rPr>
          <w:sz w:val="20"/>
        </w:rPr>
        <w:t xml:space="preserve">have not seen a sustained increase in sales. </w:t>
      </w:r>
    </w:p>
    <w:p w:rsidR="00FC41A3" w:rsidRPr="00BF20D3" w:rsidRDefault="007C6BAA" w:rsidP="00BF22E9">
      <w:pPr>
        <w:rPr>
          <w:sz w:val="20"/>
        </w:rPr>
      </w:pPr>
      <w:r w:rsidRPr="00BF20D3">
        <w:rPr>
          <w:noProof/>
          <w:sz w:val="20"/>
          <w:lang w:eastAsia="en-AU"/>
        </w:rPr>
        <w:drawing>
          <wp:inline distT="0" distB="0" distL="0" distR="0" wp14:anchorId="47744D6C" wp14:editId="53CAF5DC">
            <wp:extent cx="6209665" cy="3543300"/>
            <wp:effectExtent l="0" t="0" r="635" b="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7D4D11" w:rsidRPr="00BF20D3" w:rsidRDefault="007D4D11" w:rsidP="0090339F">
      <w:pPr>
        <w:ind w:left="426"/>
        <w:rPr>
          <w:sz w:val="20"/>
        </w:rPr>
      </w:pPr>
      <w:r w:rsidRPr="00BF20D3">
        <w:rPr>
          <w:sz w:val="20"/>
        </w:rPr>
        <w:t>The Melbourne Greenfield market is clearly the strongest in Australia</w:t>
      </w:r>
      <w:r w:rsidR="00DE1F95" w:rsidRPr="00BF20D3">
        <w:rPr>
          <w:sz w:val="20"/>
        </w:rPr>
        <w:t xml:space="preserve"> in terms of demand and sales numbers</w:t>
      </w:r>
      <w:r w:rsidRPr="00BF20D3">
        <w:rPr>
          <w:sz w:val="20"/>
        </w:rPr>
        <w:t>.</w:t>
      </w:r>
    </w:p>
    <w:p w:rsidR="008F6150" w:rsidRPr="00BF20D3" w:rsidRDefault="008C1BF5">
      <w:pPr>
        <w:rPr>
          <w:b/>
          <w:sz w:val="20"/>
        </w:rPr>
      </w:pPr>
      <w:bookmarkStart w:id="47" w:name="_Toc437436628"/>
      <w:r w:rsidRPr="00BF20D3">
        <w:rPr>
          <w:b/>
          <w:noProof/>
          <w:sz w:val="20"/>
          <w:lang w:eastAsia="en-AU"/>
        </w:rPr>
        <w:drawing>
          <wp:inline distT="0" distB="0" distL="0" distR="0" wp14:anchorId="2C46D9A8" wp14:editId="3518C89D">
            <wp:extent cx="6209665" cy="3992880"/>
            <wp:effectExtent l="0" t="0" r="635" b="762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00BF22E9" w:rsidRPr="00BF20D3">
        <w:rPr>
          <w:b/>
          <w:sz w:val="20"/>
        </w:rPr>
        <w:t xml:space="preserve"> </w:t>
      </w:r>
      <w:r w:rsidR="008F6150" w:rsidRPr="00BF20D3">
        <w:rPr>
          <w:b/>
          <w:sz w:val="20"/>
        </w:rPr>
        <w:br w:type="page"/>
      </w:r>
    </w:p>
    <w:p w:rsidR="007D4D11" w:rsidRPr="0014025C" w:rsidRDefault="007D4D11" w:rsidP="003C4829">
      <w:pPr>
        <w:pStyle w:val="Heading3list"/>
        <w:rPr>
          <w:color w:val="002060"/>
        </w:rPr>
      </w:pPr>
      <w:bookmarkStart w:id="48" w:name="_Toc458605167"/>
      <w:r w:rsidRPr="0014025C">
        <w:rPr>
          <w:color w:val="002060"/>
        </w:rPr>
        <w:lastRenderedPageBreak/>
        <w:t>Supply and Stock</w:t>
      </w:r>
      <w:bookmarkEnd w:id="47"/>
      <w:bookmarkEnd w:id="48"/>
    </w:p>
    <w:p w:rsidR="0090339F" w:rsidRPr="00BF20D3" w:rsidRDefault="007D4D11" w:rsidP="006B4FD4">
      <w:pPr>
        <w:ind w:left="426"/>
        <w:rPr>
          <w:sz w:val="20"/>
        </w:rPr>
      </w:pPr>
      <w:r w:rsidRPr="00BF20D3">
        <w:rPr>
          <w:sz w:val="20"/>
        </w:rPr>
        <w:t xml:space="preserve">As a consequence of the strong sales rates, stocks in the growth areas have </w:t>
      </w:r>
      <w:r w:rsidR="00AC5CC9" w:rsidRPr="00BF20D3">
        <w:rPr>
          <w:sz w:val="20"/>
        </w:rPr>
        <w:t>generally declined over the past year</w:t>
      </w:r>
      <w:r w:rsidRPr="00BF20D3">
        <w:rPr>
          <w:sz w:val="20"/>
        </w:rPr>
        <w:t xml:space="preserve">. </w:t>
      </w:r>
      <w:r w:rsidR="00C14A86" w:rsidRPr="00BF20D3">
        <w:rPr>
          <w:sz w:val="20"/>
        </w:rPr>
        <w:t xml:space="preserve"> </w:t>
      </w:r>
      <w:r w:rsidRPr="00BF20D3">
        <w:rPr>
          <w:sz w:val="20"/>
        </w:rPr>
        <w:t xml:space="preserve">Areas that two years ago had several months of stock have seen the numbers fall rapidly. However, in the past </w:t>
      </w:r>
      <w:r w:rsidR="00B36733">
        <w:rPr>
          <w:sz w:val="20"/>
        </w:rPr>
        <w:t>two</w:t>
      </w:r>
      <w:r w:rsidR="00F232DC" w:rsidRPr="00BF20D3">
        <w:rPr>
          <w:sz w:val="20"/>
        </w:rPr>
        <w:t xml:space="preserve"> </w:t>
      </w:r>
      <w:r w:rsidRPr="00BF20D3">
        <w:rPr>
          <w:sz w:val="20"/>
        </w:rPr>
        <w:t>quarter</w:t>
      </w:r>
      <w:r w:rsidR="00F232DC" w:rsidRPr="00BF20D3">
        <w:rPr>
          <w:sz w:val="20"/>
        </w:rPr>
        <w:t>s</w:t>
      </w:r>
      <w:r w:rsidRPr="00BF20D3">
        <w:rPr>
          <w:sz w:val="20"/>
        </w:rPr>
        <w:t xml:space="preserve"> developers</w:t>
      </w:r>
      <w:r w:rsidR="000F691A">
        <w:rPr>
          <w:sz w:val="20"/>
        </w:rPr>
        <w:t xml:space="preserve"> have</w:t>
      </w:r>
      <w:r w:rsidRPr="00BF20D3">
        <w:rPr>
          <w:sz w:val="20"/>
        </w:rPr>
        <w:t xml:space="preserve"> release</w:t>
      </w:r>
      <w:r w:rsidR="00DE1F95" w:rsidRPr="00BF20D3">
        <w:rPr>
          <w:sz w:val="20"/>
        </w:rPr>
        <w:t>d</w:t>
      </w:r>
      <w:r w:rsidRPr="00BF20D3">
        <w:rPr>
          <w:sz w:val="20"/>
        </w:rPr>
        <w:t xml:space="preserve"> enough lots to meet demand</w:t>
      </w:r>
      <w:r w:rsidR="00B36733">
        <w:rPr>
          <w:sz w:val="20"/>
        </w:rPr>
        <w:t>,</w:t>
      </w:r>
      <w:r w:rsidR="000F691A">
        <w:rPr>
          <w:sz w:val="20"/>
        </w:rPr>
        <w:t xml:space="preserve"> which help</w:t>
      </w:r>
      <w:r w:rsidR="00B36733">
        <w:rPr>
          <w:sz w:val="20"/>
        </w:rPr>
        <w:t>ed</w:t>
      </w:r>
      <w:r w:rsidR="000F691A">
        <w:rPr>
          <w:sz w:val="20"/>
        </w:rPr>
        <w:t xml:space="preserve"> increase</w:t>
      </w:r>
      <w:r w:rsidR="00AC5CC9" w:rsidRPr="00BF20D3">
        <w:rPr>
          <w:sz w:val="20"/>
        </w:rPr>
        <w:t xml:space="preserve"> supply levels slightly</w:t>
      </w:r>
      <w:r w:rsidR="0090339F" w:rsidRPr="00BF20D3">
        <w:rPr>
          <w:sz w:val="20"/>
        </w:rPr>
        <w:t>.</w:t>
      </w:r>
    </w:p>
    <w:p w:rsidR="00AC5CC9" w:rsidRPr="00BF20D3" w:rsidRDefault="00F232DC" w:rsidP="00AC5CC9">
      <w:pPr>
        <w:rPr>
          <w:sz w:val="20"/>
        </w:rPr>
      </w:pPr>
      <w:r w:rsidRPr="00BF20D3">
        <w:rPr>
          <w:noProof/>
          <w:sz w:val="20"/>
          <w:lang w:eastAsia="en-AU"/>
        </w:rPr>
        <w:drawing>
          <wp:inline distT="0" distB="0" distL="0" distR="0" wp14:anchorId="12D50CEC" wp14:editId="125D8411">
            <wp:extent cx="6209665" cy="3176270"/>
            <wp:effectExtent l="0" t="0" r="635" b="5080"/>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C5CC9" w:rsidRPr="00BF20D3" w:rsidRDefault="00F232DC" w:rsidP="00F232DC">
      <w:pPr>
        <w:ind w:left="284"/>
        <w:rPr>
          <w:sz w:val="8"/>
        </w:rPr>
      </w:pPr>
      <w:r w:rsidRPr="00BF20D3">
        <w:rPr>
          <w:sz w:val="20"/>
        </w:rPr>
        <w:t>Currently, there is only 1.3</w:t>
      </w:r>
      <w:r w:rsidR="007D4D11" w:rsidRPr="00BF20D3">
        <w:rPr>
          <w:sz w:val="20"/>
        </w:rPr>
        <w:t xml:space="preserve"> months of supply on the market as result of the strong demand. The lowes</w:t>
      </w:r>
      <w:r w:rsidR="00AC5CC9" w:rsidRPr="00BF20D3">
        <w:rPr>
          <w:sz w:val="20"/>
        </w:rPr>
        <w:t>t a</w:t>
      </w:r>
      <w:r w:rsidR="006B4FD4" w:rsidRPr="00BF20D3">
        <w:rPr>
          <w:sz w:val="20"/>
        </w:rPr>
        <w:t>mount of supply is in Wyndham</w:t>
      </w:r>
      <w:r w:rsidR="00973120">
        <w:rPr>
          <w:sz w:val="20"/>
        </w:rPr>
        <w:t>,</w:t>
      </w:r>
      <w:r w:rsidR="007D4D11" w:rsidRPr="00BF20D3">
        <w:rPr>
          <w:sz w:val="20"/>
        </w:rPr>
        <w:t xml:space="preserve"> where only </w:t>
      </w:r>
      <w:r w:rsidR="006B4FD4" w:rsidRPr="00BF20D3">
        <w:rPr>
          <w:sz w:val="20"/>
        </w:rPr>
        <w:t>0</w:t>
      </w:r>
      <w:r w:rsidR="00AC5CC9" w:rsidRPr="00BF20D3">
        <w:rPr>
          <w:sz w:val="20"/>
        </w:rPr>
        <w:t>.</w:t>
      </w:r>
      <w:r w:rsidRPr="00BF20D3">
        <w:rPr>
          <w:sz w:val="20"/>
        </w:rPr>
        <w:t>7</w:t>
      </w:r>
      <w:r w:rsidR="00AC5CC9" w:rsidRPr="00BF20D3">
        <w:rPr>
          <w:sz w:val="20"/>
        </w:rPr>
        <w:t xml:space="preserve"> </w:t>
      </w:r>
      <w:r w:rsidR="00AF7156" w:rsidRPr="00BF20D3">
        <w:rPr>
          <w:sz w:val="20"/>
        </w:rPr>
        <w:t>months’</w:t>
      </w:r>
      <w:r w:rsidR="004E470E" w:rsidRPr="00BF20D3">
        <w:rPr>
          <w:sz w:val="20"/>
        </w:rPr>
        <w:t xml:space="preserve"> supply is</w:t>
      </w:r>
      <w:r w:rsidR="007D4D11" w:rsidRPr="00BF20D3">
        <w:rPr>
          <w:sz w:val="20"/>
        </w:rPr>
        <w:t xml:space="preserve"> available</w:t>
      </w:r>
      <w:r w:rsidRPr="00BF20D3">
        <w:rPr>
          <w:sz w:val="20"/>
        </w:rPr>
        <w:t xml:space="preserve"> (A lot is averaging 3 weeks on the market)</w:t>
      </w:r>
      <w:r w:rsidR="007D4D11" w:rsidRPr="00BF20D3">
        <w:rPr>
          <w:sz w:val="20"/>
        </w:rPr>
        <w:t xml:space="preserve">. </w:t>
      </w:r>
      <w:r w:rsidRPr="00BF20D3">
        <w:rPr>
          <w:sz w:val="20"/>
        </w:rPr>
        <w:t xml:space="preserve">No </w:t>
      </w:r>
      <w:r w:rsidR="00973120">
        <w:rPr>
          <w:sz w:val="20"/>
        </w:rPr>
        <w:t>G</w:t>
      </w:r>
      <w:r w:rsidR="004E470E" w:rsidRPr="00BF20D3">
        <w:rPr>
          <w:sz w:val="20"/>
        </w:rPr>
        <w:t xml:space="preserve">reenfield </w:t>
      </w:r>
      <w:r w:rsidRPr="00BF20D3">
        <w:rPr>
          <w:sz w:val="20"/>
        </w:rPr>
        <w:t xml:space="preserve">council has more than </w:t>
      </w:r>
      <w:r w:rsidR="00973120">
        <w:rPr>
          <w:sz w:val="20"/>
        </w:rPr>
        <w:t>three</w:t>
      </w:r>
      <w:r w:rsidR="007D4D11" w:rsidRPr="00BF20D3">
        <w:rPr>
          <w:sz w:val="20"/>
        </w:rPr>
        <w:t xml:space="preserve"> </w:t>
      </w:r>
      <w:r w:rsidR="00AF7156" w:rsidRPr="00BF20D3">
        <w:rPr>
          <w:sz w:val="20"/>
        </w:rPr>
        <w:t>months’</w:t>
      </w:r>
      <w:r w:rsidR="007D4D11" w:rsidRPr="00BF20D3">
        <w:rPr>
          <w:sz w:val="20"/>
        </w:rPr>
        <w:t xml:space="preserve"> supply</w:t>
      </w:r>
      <w:r w:rsidR="004E470E" w:rsidRPr="00BF20D3">
        <w:rPr>
          <w:sz w:val="20"/>
        </w:rPr>
        <w:t xml:space="preserve"> of lots</w:t>
      </w:r>
      <w:r w:rsidR="007D4D11" w:rsidRPr="00BF20D3">
        <w:rPr>
          <w:sz w:val="20"/>
        </w:rPr>
        <w:t xml:space="preserve">. </w:t>
      </w:r>
    </w:p>
    <w:p w:rsidR="00AC5CC9" w:rsidRPr="00BF20D3" w:rsidRDefault="00F232DC">
      <w:pPr>
        <w:rPr>
          <w:b/>
          <w:sz w:val="20"/>
        </w:rPr>
      </w:pPr>
      <w:bookmarkStart w:id="49" w:name="_Toc437436629"/>
      <w:r w:rsidRPr="00BF20D3">
        <w:rPr>
          <w:noProof/>
          <w:lang w:eastAsia="en-AU"/>
        </w:rPr>
        <w:drawing>
          <wp:inline distT="0" distB="0" distL="0" distR="0" wp14:anchorId="28A03AD9" wp14:editId="25FE52ED">
            <wp:extent cx="6209665" cy="4137660"/>
            <wp:effectExtent l="0" t="0" r="635" b="0"/>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AC5CC9" w:rsidRPr="00BF20D3">
        <w:br w:type="page"/>
      </w:r>
    </w:p>
    <w:p w:rsidR="007D4D11" w:rsidRPr="0014025C" w:rsidRDefault="007D4D11" w:rsidP="003C4829">
      <w:pPr>
        <w:pStyle w:val="Heading3list"/>
        <w:rPr>
          <w:color w:val="002060"/>
        </w:rPr>
      </w:pPr>
      <w:bookmarkStart w:id="50" w:name="_Toc458605168"/>
      <w:r w:rsidRPr="0014025C">
        <w:rPr>
          <w:color w:val="002060"/>
        </w:rPr>
        <w:lastRenderedPageBreak/>
        <w:t>Price of Greenfield Lots</w:t>
      </w:r>
      <w:bookmarkEnd w:id="49"/>
      <w:bookmarkEnd w:id="50"/>
    </w:p>
    <w:p w:rsidR="007D4D11" w:rsidRPr="00BF20D3" w:rsidRDefault="007D4D11" w:rsidP="00DD2EB9">
      <w:pPr>
        <w:ind w:left="426"/>
        <w:rPr>
          <w:sz w:val="20"/>
        </w:rPr>
      </w:pPr>
      <w:r w:rsidRPr="00BF20D3">
        <w:rPr>
          <w:sz w:val="20"/>
        </w:rPr>
        <w:t>The median pri</w:t>
      </w:r>
      <w:r w:rsidR="004E470E" w:rsidRPr="00BF20D3">
        <w:rPr>
          <w:sz w:val="20"/>
        </w:rPr>
        <w:t>ce for a Greenfield lot was $221</w:t>
      </w:r>
      <w:r w:rsidRPr="00BF20D3">
        <w:rPr>
          <w:sz w:val="20"/>
        </w:rPr>
        <w:t>,</w:t>
      </w:r>
      <w:r w:rsidR="004E470E" w:rsidRPr="00BF20D3">
        <w:rPr>
          <w:sz w:val="20"/>
        </w:rPr>
        <w:t>730</w:t>
      </w:r>
      <w:r w:rsidRPr="00BF20D3">
        <w:rPr>
          <w:sz w:val="20"/>
        </w:rPr>
        <w:t xml:space="preserve">0 in Melbourne. It has remained in the $200,000 to $225,000 </w:t>
      </w:r>
      <w:r w:rsidR="00DB0A6A" w:rsidRPr="00BF20D3">
        <w:rPr>
          <w:sz w:val="20"/>
        </w:rPr>
        <w:t xml:space="preserve">range </w:t>
      </w:r>
      <w:r w:rsidRPr="00BF20D3">
        <w:rPr>
          <w:sz w:val="20"/>
        </w:rPr>
        <w:t xml:space="preserve">for the past four years. The most expensive lots are in </w:t>
      </w:r>
      <w:r w:rsidR="00DD2EB9" w:rsidRPr="00BF20D3">
        <w:rPr>
          <w:sz w:val="20"/>
        </w:rPr>
        <w:t>Wyndham</w:t>
      </w:r>
      <w:r w:rsidR="00B07BEA">
        <w:rPr>
          <w:sz w:val="20"/>
        </w:rPr>
        <w:t>,</w:t>
      </w:r>
      <w:r w:rsidRPr="00BF20D3">
        <w:rPr>
          <w:sz w:val="20"/>
        </w:rPr>
        <w:t xml:space="preserve"> </w:t>
      </w:r>
      <w:r w:rsidR="00DD2EB9" w:rsidRPr="00BF20D3">
        <w:rPr>
          <w:sz w:val="20"/>
        </w:rPr>
        <w:t>where the median price is $2</w:t>
      </w:r>
      <w:r w:rsidR="004E470E" w:rsidRPr="00BF20D3">
        <w:rPr>
          <w:sz w:val="20"/>
        </w:rPr>
        <w:t>48</w:t>
      </w:r>
      <w:r w:rsidRPr="00BF20D3">
        <w:rPr>
          <w:sz w:val="20"/>
        </w:rPr>
        <w:t>,</w:t>
      </w:r>
      <w:r w:rsidR="004E470E" w:rsidRPr="00BF20D3">
        <w:rPr>
          <w:sz w:val="20"/>
        </w:rPr>
        <w:t>970</w:t>
      </w:r>
      <w:r w:rsidRPr="00BF20D3">
        <w:rPr>
          <w:sz w:val="20"/>
        </w:rPr>
        <w:t>.</w:t>
      </w:r>
      <w:r w:rsidR="00DB0A6A" w:rsidRPr="00BF20D3">
        <w:rPr>
          <w:sz w:val="20"/>
        </w:rPr>
        <w:t xml:space="preserve"> </w:t>
      </w:r>
      <w:r w:rsidRPr="00BF20D3">
        <w:rPr>
          <w:sz w:val="20"/>
        </w:rPr>
        <w:t>The cheapest are found in Mitchell</w:t>
      </w:r>
      <w:r w:rsidR="00B07BEA">
        <w:rPr>
          <w:sz w:val="20"/>
        </w:rPr>
        <w:t>,</w:t>
      </w:r>
      <w:r w:rsidRPr="00BF20D3">
        <w:rPr>
          <w:sz w:val="20"/>
        </w:rPr>
        <w:t xml:space="preserve"> where a median lot can be found for $14</w:t>
      </w:r>
      <w:r w:rsidR="004E470E" w:rsidRPr="00BF20D3">
        <w:rPr>
          <w:sz w:val="20"/>
        </w:rPr>
        <w:t>6</w:t>
      </w:r>
      <w:r w:rsidRPr="00BF20D3">
        <w:rPr>
          <w:sz w:val="20"/>
        </w:rPr>
        <w:t>,</w:t>
      </w:r>
      <w:r w:rsidR="004E470E" w:rsidRPr="00BF20D3">
        <w:rPr>
          <w:sz w:val="20"/>
        </w:rPr>
        <w:t>836</w:t>
      </w:r>
      <w:r w:rsidRPr="00BF20D3">
        <w:rPr>
          <w:sz w:val="20"/>
        </w:rPr>
        <w:t xml:space="preserve">. </w:t>
      </w:r>
    </w:p>
    <w:p w:rsidR="00DE1F95" w:rsidRPr="00BF20D3" w:rsidRDefault="004E470E" w:rsidP="00D030E9">
      <w:pPr>
        <w:rPr>
          <w:sz w:val="20"/>
        </w:rPr>
      </w:pPr>
      <w:r w:rsidRPr="00BF20D3">
        <w:rPr>
          <w:noProof/>
          <w:sz w:val="20"/>
          <w:lang w:eastAsia="en-AU"/>
        </w:rPr>
        <w:drawing>
          <wp:inline distT="0" distB="0" distL="0" distR="0" wp14:anchorId="28C01B80" wp14:editId="6CEBC953">
            <wp:extent cx="6278880" cy="3802380"/>
            <wp:effectExtent l="0" t="0" r="0" b="0"/>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7D4D11" w:rsidRPr="00BF20D3" w:rsidRDefault="007D4D11" w:rsidP="00C14A86">
      <w:pPr>
        <w:ind w:left="426"/>
        <w:rPr>
          <w:sz w:val="20"/>
        </w:rPr>
      </w:pPr>
      <w:r w:rsidRPr="00BF20D3">
        <w:rPr>
          <w:sz w:val="20"/>
        </w:rPr>
        <w:t>Compared to most other capitals, Melbourne’s Greenfield lots are the second cheapest</w:t>
      </w:r>
      <w:r w:rsidR="000F691A">
        <w:rPr>
          <w:sz w:val="20"/>
        </w:rPr>
        <w:t xml:space="preserve"> </w:t>
      </w:r>
      <w:r w:rsidR="006A209C">
        <w:rPr>
          <w:sz w:val="20"/>
        </w:rPr>
        <w:t xml:space="preserve">in Australia </w:t>
      </w:r>
      <w:r w:rsidR="000F691A">
        <w:rPr>
          <w:sz w:val="20"/>
        </w:rPr>
        <w:t xml:space="preserve">and significantly assist </w:t>
      </w:r>
      <w:r w:rsidR="00DE1F95" w:rsidRPr="00BF20D3">
        <w:rPr>
          <w:sz w:val="20"/>
        </w:rPr>
        <w:t>with housing affordability</w:t>
      </w:r>
      <w:r w:rsidRPr="00BF20D3">
        <w:rPr>
          <w:sz w:val="20"/>
        </w:rPr>
        <w:t>.</w:t>
      </w:r>
      <w:r w:rsidR="00DE1F95" w:rsidRPr="00BF20D3">
        <w:rPr>
          <w:sz w:val="20"/>
        </w:rPr>
        <w:t xml:space="preserve"> Comparative prices in Sydney are</w:t>
      </w:r>
      <w:r w:rsidR="00321877" w:rsidRPr="00BF20D3">
        <w:rPr>
          <w:sz w:val="20"/>
        </w:rPr>
        <w:t xml:space="preserve"> over </w:t>
      </w:r>
      <w:r w:rsidR="00DE1F95" w:rsidRPr="00BF20D3">
        <w:rPr>
          <w:sz w:val="20"/>
        </w:rPr>
        <w:t>double Melbourne’s affordable prices, largely the result of the strong supply and competitive market in Melbourne.</w:t>
      </w:r>
    </w:p>
    <w:p w:rsidR="00BF22E9" w:rsidRPr="00BF20D3" w:rsidRDefault="004E470E">
      <w:pPr>
        <w:rPr>
          <w:b/>
          <w:sz w:val="20"/>
        </w:rPr>
      </w:pPr>
      <w:r w:rsidRPr="00BF20D3">
        <w:rPr>
          <w:b/>
          <w:noProof/>
          <w:sz w:val="20"/>
          <w:lang w:eastAsia="en-AU"/>
        </w:rPr>
        <w:drawing>
          <wp:inline distT="0" distB="0" distL="0" distR="0" wp14:anchorId="2C976E76" wp14:editId="487581B4">
            <wp:extent cx="6209665" cy="3749040"/>
            <wp:effectExtent l="0" t="0" r="635" b="3810"/>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BF22E9" w:rsidRPr="00BF20D3">
        <w:rPr>
          <w:b/>
          <w:sz w:val="20"/>
        </w:rPr>
        <w:br w:type="page"/>
      </w:r>
    </w:p>
    <w:p w:rsidR="007D4D11" w:rsidRPr="0014025C" w:rsidRDefault="007D4D11" w:rsidP="00C14A86">
      <w:pPr>
        <w:pStyle w:val="ListParagraph"/>
        <w:numPr>
          <w:ilvl w:val="1"/>
          <w:numId w:val="1"/>
        </w:numPr>
        <w:tabs>
          <w:tab w:val="left" w:pos="851"/>
        </w:tabs>
        <w:ind w:left="851" w:hanging="425"/>
        <w:outlineLvl w:val="1"/>
        <w:rPr>
          <w:b/>
          <w:color w:val="002060"/>
          <w:sz w:val="20"/>
        </w:rPr>
      </w:pPr>
      <w:bookmarkStart w:id="51" w:name="_Toc458605169"/>
      <w:r w:rsidRPr="0014025C">
        <w:rPr>
          <w:b/>
          <w:color w:val="002060"/>
          <w:sz w:val="20"/>
        </w:rPr>
        <w:lastRenderedPageBreak/>
        <w:t>Supply of PSP land</w:t>
      </w:r>
      <w:bookmarkEnd w:id="51"/>
    </w:p>
    <w:p w:rsidR="007D4D11" w:rsidRPr="00BF20D3" w:rsidRDefault="0042419D" w:rsidP="00C14A86">
      <w:pPr>
        <w:ind w:left="426"/>
        <w:rPr>
          <w:sz w:val="20"/>
        </w:rPr>
      </w:pPr>
      <w:r>
        <w:rPr>
          <w:sz w:val="20"/>
        </w:rPr>
        <w:t xml:space="preserve">The Victorian </w:t>
      </w:r>
      <w:r w:rsidR="007D4D11" w:rsidRPr="00BF20D3">
        <w:rPr>
          <w:sz w:val="20"/>
        </w:rPr>
        <w:t xml:space="preserve">Planning Authority </w:t>
      </w:r>
      <w:r w:rsidR="003E3C38">
        <w:rPr>
          <w:sz w:val="20"/>
        </w:rPr>
        <w:t xml:space="preserve">(VPA) </w:t>
      </w:r>
      <w:r w:rsidR="007D4D11" w:rsidRPr="00BF20D3">
        <w:rPr>
          <w:sz w:val="20"/>
        </w:rPr>
        <w:t>has conducted modelling to gauge the approximate amount of land in the Melbourne Greenfiel</w:t>
      </w:r>
      <w:r w:rsidR="00E633C4">
        <w:rPr>
          <w:sz w:val="20"/>
        </w:rPr>
        <w:t>ds that is available to be sub</w:t>
      </w:r>
      <w:r w:rsidR="007D4D11" w:rsidRPr="00BF20D3">
        <w:rPr>
          <w:sz w:val="20"/>
        </w:rPr>
        <w:t>divided and developed. In most cases, this is land in Precinct Structure Plan</w:t>
      </w:r>
      <w:r w:rsidR="00DB0A6A" w:rsidRPr="00BF20D3">
        <w:rPr>
          <w:sz w:val="20"/>
        </w:rPr>
        <w:t xml:space="preserve"> (PSP)</w:t>
      </w:r>
      <w:r w:rsidR="007D4D11" w:rsidRPr="00BF20D3">
        <w:rPr>
          <w:sz w:val="20"/>
        </w:rPr>
        <w:t xml:space="preserve"> areas that ha</w:t>
      </w:r>
      <w:r w:rsidR="003E3C38">
        <w:rPr>
          <w:sz w:val="20"/>
        </w:rPr>
        <w:t>s</w:t>
      </w:r>
      <w:r w:rsidR="007D4D11" w:rsidRPr="00BF20D3">
        <w:rPr>
          <w:sz w:val="20"/>
        </w:rPr>
        <w:t xml:space="preserve"> been approved, although some of the land pre-dates the implementation of the PSP program. </w:t>
      </w:r>
    </w:p>
    <w:p w:rsidR="007D4D11" w:rsidRPr="00BF20D3" w:rsidRDefault="007D4D11" w:rsidP="00C14A86">
      <w:pPr>
        <w:ind w:left="426"/>
        <w:rPr>
          <w:sz w:val="20"/>
        </w:rPr>
      </w:pPr>
      <w:r w:rsidRPr="00BF20D3">
        <w:rPr>
          <w:sz w:val="20"/>
        </w:rPr>
        <w:t>At the end of 2009, the Greenfields had approximately 4.4 years’ worth of land that was undergoing or could undergo development. Since then</w:t>
      </w:r>
      <w:r w:rsidR="00E633C4">
        <w:rPr>
          <w:sz w:val="20"/>
        </w:rPr>
        <w:t>,</w:t>
      </w:r>
      <w:r w:rsidRPr="00BF20D3">
        <w:rPr>
          <w:sz w:val="20"/>
        </w:rPr>
        <w:t xml:space="preserve"> with the completion of PSPs</w:t>
      </w:r>
      <w:r w:rsidR="00E633C4">
        <w:rPr>
          <w:sz w:val="20"/>
        </w:rPr>
        <w:t>,</w:t>
      </w:r>
      <w:r w:rsidRPr="00BF20D3">
        <w:rPr>
          <w:sz w:val="20"/>
        </w:rPr>
        <w:t xml:space="preserve"> the number of year</w:t>
      </w:r>
      <w:r w:rsidR="00E633C4">
        <w:rPr>
          <w:sz w:val="20"/>
        </w:rPr>
        <w:t>s’</w:t>
      </w:r>
      <w:r w:rsidRPr="00BF20D3">
        <w:rPr>
          <w:sz w:val="20"/>
        </w:rPr>
        <w:t xml:space="preserve"> supply has grown to above 10 years of supply. </w:t>
      </w:r>
    </w:p>
    <w:p w:rsidR="00A0349D" w:rsidRPr="00BF20D3" w:rsidRDefault="00A0349D" w:rsidP="00C14A86">
      <w:pPr>
        <w:ind w:left="426"/>
        <w:rPr>
          <w:sz w:val="20"/>
        </w:rPr>
      </w:pPr>
    </w:p>
    <w:p w:rsidR="007D4D11" w:rsidRPr="00BF20D3" w:rsidRDefault="007D4D11" w:rsidP="007D4D11">
      <w:pPr>
        <w:rPr>
          <w:sz w:val="20"/>
        </w:rPr>
      </w:pPr>
      <w:r w:rsidRPr="00BF20D3">
        <w:rPr>
          <w:sz w:val="20"/>
        </w:rPr>
        <w:t xml:space="preserve"> </w:t>
      </w:r>
      <w:r w:rsidRPr="00BF20D3">
        <w:rPr>
          <w:noProof/>
          <w:sz w:val="20"/>
          <w:lang w:eastAsia="en-AU"/>
        </w:rPr>
        <w:drawing>
          <wp:inline distT="0" distB="0" distL="0" distR="0" wp14:anchorId="5EFDB240" wp14:editId="45AC359D">
            <wp:extent cx="5731510" cy="3160166"/>
            <wp:effectExtent l="0" t="0" r="2540" b="254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A0349D" w:rsidRPr="00BF20D3" w:rsidRDefault="00A0349D" w:rsidP="00C14A86">
      <w:pPr>
        <w:ind w:left="426"/>
        <w:rPr>
          <w:sz w:val="20"/>
        </w:rPr>
      </w:pPr>
    </w:p>
    <w:p w:rsidR="007D4D11" w:rsidRPr="00BF20D3" w:rsidRDefault="007D4D11" w:rsidP="00C14A86">
      <w:pPr>
        <w:ind w:left="426"/>
        <w:rPr>
          <w:sz w:val="20"/>
        </w:rPr>
      </w:pPr>
      <w:r w:rsidRPr="00BF20D3">
        <w:rPr>
          <w:sz w:val="20"/>
        </w:rPr>
        <w:t>The supply level varies greatly between corridors</w:t>
      </w:r>
      <w:r w:rsidR="003E3C38">
        <w:rPr>
          <w:sz w:val="20"/>
        </w:rPr>
        <w:t>,</w:t>
      </w:r>
      <w:r w:rsidRPr="00BF20D3">
        <w:rPr>
          <w:sz w:val="20"/>
        </w:rPr>
        <w:t xml:space="preserve"> with Wyndham having 19 years of supply and Whittlesea having just over </w:t>
      </w:r>
      <w:r w:rsidR="003E3C38">
        <w:rPr>
          <w:sz w:val="20"/>
        </w:rPr>
        <w:t>two</w:t>
      </w:r>
      <w:r w:rsidRPr="00BF20D3">
        <w:rPr>
          <w:sz w:val="20"/>
        </w:rPr>
        <w:t xml:space="preserve"> years</w:t>
      </w:r>
      <w:r w:rsidR="003E3C38">
        <w:rPr>
          <w:sz w:val="20"/>
        </w:rPr>
        <w:t>’</w:t>
      </w:r>
      <w:r w:rsidRPr="00BF20D3">
        <w:rPr>
          <w:sz w:val="20"/>
        </w:rPr>
        <w:t xml:space="preserve"> supply.</w:t>
      </w:r>
      <w:r w:rsidR="00DB0A6A" w:rsidRPr="00BF20D3">
        <w:rPr>
          <w:sz w:val="20"/>
        </w:rPr>
        <w:t xml:space="preserve"> </w:t>
      </w:r>
      <w:r w:rsidRPr="00BF20D3">
        <w:rPr>
          <w:sz w:val="20"/>
        </w:rPr>
        <w:t xml:space="preserve">Supply of PSP land will increase in 2016 as there </w:t>
      </w:r>
      <w:r w:rsidR="00A0349D" w:rsidRPr="00BF20D3">
        <w:rPr>
          <w:sz w:val="20"/>
        </w:rPr>
        <w:t>are a number</w:t>
      </w:r>
      <w:r w:rsidRPr="00BF20D3">
        <w:rPr>
          <w:sz w:val="20"/>
        </w:rPr>
        <w:t xml:space="preserve"> large PSP</w:t>
      </w:r>
      <w:r w:rsidR="000F691A">
        <w:rPr>
          <w:sz w:val="20"/>
        </w:rPr>
        <w:t>s</w:t>
      </w:r>
      <w:r w:rsidRPr="00BF20D3">
        <w:rPr>
          <w:sz w:val="20"/>
        </w:rPr>
        <w:t xml:space="preserve"> in the final stages of approval</w:t>
      </w:r>
      <w:r w:rsidR="00A0349D" w:rsidRPr="00BF20D3">
        <w:rPr>
          <w:sz w:val="20"/>
        </w:rPr>
        <w:t>, in areas such as Whittlesea</w:t>
      </w:r>
      <w:r w:rsidR="003E3C38">
        <w:rPr>
          <w:sz w:val="20"/>
        </w:rPr>
        <w:t>,</w:t>
      </w:r>
      <w:r w:rsidR="00A0349D" w:rsidRPr="00BF20D3">
        <w:rPr>
          <w:sz w:val="20"/>
        </w:rPr>
        <w:t xml:space="preserve"> where supply levels are low</w:t>
      </w:r>
      <w:r w:rsidRPr="00BF20D3">
        <w:rPr>
          <w:sz w:val="20"/>
        </w:rPr>
        <w:t xml:space="preserve">.  </w:t>
      </w:r>
    </w:p>
    <w:p w:rsidR="007D4D11" w:rsidRPr="00BF20D3" w:rsidRDefault="007D4D11">
      <w:pPr>
        <w:rPr>
          <w:sz w:val="20"/>
        </w:rPr>
      </w:pPr>
      <w:r w:rsidRPr="00BF20D3">
        <w:rPr>
          <w:sz w:val="20"/>
        </w:rPr>
        <w:br w:type="page"/>
      </w:r>
    </w:p>
    <w:p w:rsidR="003565F0" w:rsidRPr="0014025C" w:rsidRDefault="008363D1" w:rsidP="003C4829">
      <w:pPr>
        <w:pStyle w:val="Heading2numbered"/>
        <w:rPr>
          <w:color w:val="002060"/>
        </w:rPr>
      </w:pPr>
      <w:bookmarkStart w:id="52" w:name="_Toc437436636"/>
      <w:bookmarkStart w:id="53" w:name="_Toc458605170"/>
      <w:r w:rsidRPr="0014025C">
        <w:rPr>
          <w:color w:val="002060"/>
        </w:rPr>
        <w:lastRenderedPageBreak/>
        <w:t>Property Sales</w:t>
      </w:r>
      <w:bookmarkEnd w:id="52"/>
      <w:bookmarkEnd w:id="53"/>
    </w:p>
    <w:p w:rsidR="001E39BC" w:rsidRPr="00BF20D3" w:rsidRDefault="00362941" w:rsidP="007D4D11">
      <w:pPr>
        <w:rPr>
          <w:sz w:val="20"/>
        </w:rPr>
      </w:pPr>
      <w:r w:rsidRPr="00BF20D3">
        <w:rPr>
          <w:sz w:val="20"/>
        </w:rPr>
        <w:t>In</w:t>
      </w:r>
      <w:r w:rsidR="0003287B" w:rsidRPr="00BF20D3">
        <w:rPr>
          <w:sz w:val="20"/>
        </w:rPr>
        <w:t xml:space="preserve"> 2015</w:t>
      </w:r>
      <w:r w:rsidRPr="00BF20D3">
        <w:rPr>
          <w:sz w:val="20"/>
        </w:rPr>
        <w:t xml:space="preserve">, there </w:t>
      </w:r>
      <w:r w:rsidR="00DB0A6A" w:rsidRPr="00BF20D3">
        <w:rPr>
          <w:sz w:val="20"/>
        </w:rPr>
        <w:t xml:space="preserve">were </w:t>
      </w:r>
      <w:r w:rsidR="0003287B" w:rsidRPr="00BF20D3">
        <w:rPr>
          <w:sz w:val="20"/>
        </w:rPr>
        <w:t>over 11</w:t>
      </w:r>
      <w:r w:rsidRPr="00BF20D3">
        <w:rPr>
          <w:sz w:val="20"/>
        </w:rPr>
        <w:t>7,000 residential property sales</w:t>
      </w:r>
      <w:r w:rsidR="00A0349D" w:rsidRPr="00BF20D3">
        <w:rPr>
          <w:sz w:val="20"/>
        </w:rPr>
        <w:t xml:space="preserve"> across Victoria</w:t>
      </w:r>
      <w:r w:rsidRPr="00BF20D3">
        <w:rPr>
          <w:sz w:val="20"/>
        </w:rPr>
        <w:t>.</w:t>
      </w:r>
      <w:r w:rsidR="00DB0A6A" w:rsidRPr="00BF20D3">
        <w:rPr>
          <w:sz w:val="20"/>
        </w:rPr>
        <w:t xml:space="preserve"> </w:t>
      </w:r>
      <w:r w:rsidRPr="00BF20D3">
        <w:rPr>
          <w:sz w:val="20"/>
        </w:rPr>
        <w:t>Over three quarters of these sales were in Melbourne.</w:t>
      </w:r>
      <w:r w:rsidR="00DB0A6A" w:rsidRPr="00BF20D3">
        <w:rPr>
          <w:sz w:val="20"/>
        </w:rPr>
        <w:t xml:space="preserve"> </w:t>
      </w:r>
      <w:r w:rsidR="0003287B" w:rsidRPr="00BF20D3">
        <w:rPr>
          <w:sz w:val="20"/>
        </w:rPr>
        <w:t xml:space="preserve">As of December </w:t>
      </w:r>
      <w:r w:rsidR="00DB0A6A" w:rsidRPr="00BF20D3">
        <w:rPr>
          <w:sz w:val="20"/>
        </w:rPr>
        <w:t>2015</w:t>
      </w:r>
      <w:r w:rsidR="0003287B" w:rsidRPr="00BF20D3">
        <w:rPr>
          <w:sz w:val="20"/>
        </w:rPr>
        <w:t>,</w:t>
      </w:r>
      <w:r w:rsidR="00DB0A6A" w:rsidRPr="00BF20D3">
        <w:rPr>
          <w:sz w:val="20"/>
        </w:rPr>
        <w:t xml:space="preserve"> </w:t>
      </w:r>
      <w:r w:rsidR="001E39BC" w:rsidRPr="00BF20D3">
        <w:rPr>
          <w:sz w:val="20"/>
        </w:rPr>
        <w:t xml:space="preserve">there </w:t>
      </w:r>
      <w:r w:rsidR="00DB0A6A" w:rsidRPr="00BF20D3">
        <w:rPr>
          <w:sz w:val="20"/>
        </w:rPr>
        <w:t>was</w:t>
      </w:r>
      <w:r w:rsidR="001E39BC" w:rsidRPr="00BF20D3">
        <w:rPr>
          <w:sz w:val="20"/>
        </w:rPr>
        <w:t xml:space="preserve"> </w:t>
      </w:r>
      <w:r w:rsidR="00DB0A6A" w:rsidRPr="00BF20D3">
        <w:rPr>
          <w:sz w:val="20"/>
        </w:rPr>
        <w:t xml:space="preserve">an </w:t>
      </w:r>
      <w:r w:rsidR="001E39BC" w:rsidRPr="00BF20D3">
        <w:rPr>
          <w:sz w:val="20"/>
        </w:rPr>
        <w:t>estimated 2.4</w:t>
      </w:r>
      <w:r w:rsidR="0003287B" w:rsidRPr="00BF20D3">
        <w:rPr>
          <w:sz w:val="20"/>
        </w:rPr>
        <w:t>57</w:t>
      </w:r>
      <w:r w:rsidR="001E39BC" w:rsidRPr="00BF20D3">
        <w:rPr>
          <w:sz w:val="20"/>
        </w:rPr>
        <w:t xml:space="preserve"> million dwellings in Victoria,</w:t>
      </w:r>
      <w:r w:rsidR="0003287B" w:rsidRPr="00BF20D3">
        <w:rPr>
          <w:sz w:val="20"/>
        </w:rPr>
        <w:t xml:space="preserve"> so the volume of sales</w:t>
      </w:r>
      <w:r w:rsidR="001E39BC" w:rsidRPr="00BF20D3">
        <w:rPr>
          <w:sz w:val="20"/>
        </w:rPr>
        <w:t xml:space="preserve"> represents </w:t>
      </w:r>
      <w:r w:rsidR="00DB0A6A" w:rsidRPr="00BF20D3">
        <w:rPr>
          <w:sz w:val="20"/>
        </w:rPr>
        <w:t>a</w:t>
      </w:r>
      <w:r w:rsidR="0003287B" w:rsidRPr="00BF20D3">
        <w:rPr>
          <w:sz w:val="20"/>
        </w:rPr>
        <w:t>n</w:t>
      </w:r>
      <w:r w:rsidR="00A0349D" w:rsidRPr="00BF20D3">
        <w:rPr>
          <w:sz w:val="20"/>
        </w:rPr>
        <w:t xml:space="preserve"> </w:t>
      </w:r>
      <w:r w:rsidR="0003287B" w:rsidRPr="00BF20D3">
        <w:rPr>
          <w:sz w:val="20"/>
        </w:rPr>
        <w:t>annual turnover of</w:t>
      </w:r>
      <w:r w:rsidR="00A0349D" w:rsidRPr="00BF20D3">
        <w:rPr>
          <w:sz w:val="20"/>
        </w:rPr>
        <w:t xml:space="preserve"> around </w:t>
      </w:r>
      <w:r w:rsidR="0003287B" w:rsidRPr="00BF20D3">
        <w:rPr>
          <w:sz w:val="20"/>
        </w:rPr>
        <w:t>4.8</w:t>
      </w:r>
      <w:r w:rsidR="00A0349D" w:rsidRPr="00BF20D3">
        <w:rPr>
          <w:sz w:val="20"/>
        </w:rPr>
        <w:t>%</w:t>
      </w:r>
      <w:r w:rsidR="001E39BC" w:rsidRPr="00BF20D3">
        <w:rPr>
          <w:sz w:val="20"/>
        </w:rPr>
        <w:t xml:space="preserve">. </w:t>
      </w:r>
    </w:p>
    <w:p w:rsidR="00362941" w:rsidRPr="00BF20D3" w:rsidRDefault="00625153" w:rsidP="007D4D11">
      <w:pPr>
        <w:rPr>
          <w:sz w:val="20"/>
        </w:rPr>
      </w:pPr>
      <w:r w:rsidRPr="00BF20D3">
        <w:rPr>
          <w:sz w:val="20"/>
        </w:rPr>
        <w:t xml:space="preserve">For 2016, the data is currently incomplete. All calculations contained in this report </w:t>
      </w:r>
      <w:r w:rsidR="0013600E">
        <w:rPr>
          <w:sz w:val="20"/>
        </w:rPr>
        <w:t>a</w:t>
      </w:r>
      <w:r w:rsidRPr="00BF20D3">
        <w:rPr>
          <w:sz w:val="20"/>
        </w:rPr>
        <w:t>re based</w:t>
      </w:r>
      <w:r w:rsidR="000F691A">
        <w:rPr>
          <w:sz w:val="20"/>
        </w:rPr>
        <w:t xml:space="preserve"> off</w:t>
      </w:r>
      <w:r w:rsidRPr="00BF20D3">
        <w:rPr>
          <w:sz w:val="20"/>
        </w:rPr>
        <w:t xml:space="preserve"> of the Landata database</w:t>
      </w:r>
      <w:r w:rsidR="0013600E">
        <w:rPr>
          <w:sz w:val="20"/>
        </w:rPr>
        <w:t>,</w:t>
      </w:r>
      <w:r w:rsidRPr="00BF20D3">
        <w:rPr>
          <w:sz w:val="20"/>
        </w:rPr>
        <w:t xml:space="preserve"> as of </w:t>
      </w:r>
      <w:r w:rsidR="000F691A">
        <w:rPr>
          <w:sz w:val="20"/>
        </w:rPr>
        <w:t xml:space="preserve">1 August </w:t>
      </w:r>
      <w:r w:rsidRPr="00BF20D3">
        <w:rPr>
          <w:sz w:val="20"/>
        </w:rPr>
        <w:t>2016</w:t>
      </w:r>
      <w:r w:rsidR="0013600E">
        <w:rPr>
          <w:sz w:val="20"/>
        </w:rPr>
        <w:t>,</w:t>
      </w:r>
      <w:r w:rsidR="00741490" w:rsidRPr="00BF20D3">
        <w:rPr>
          <w:sz w:val="20"/>
        </w:rPr>
        <w:t xml:space="preserve"> but is only truly accurate for the period to about May</w:t>
      </w:r>
      <w:r w:rsidR="000F691A">
        <w:rPr>
          <w:sz w:val="20"/>
        </w:rPr>
        <w:t xml:space="preserve"> 2016</w:t>
      </w:r>
      <w:r w:rsidR="00741490" w:rsidRPr="00BF20D3">
        <w:rPr>
          <w:sz w:val="20"/>
        </w:rPr>
        <w:t>.</w:t>
      </w:r>
      <w:r w:rsidRPr="00BF20D3">
        <w:rPr>
          <w:sz w:val="20"/>
        </w:rPr>
        <w:t xml:space="preserve"> </w:t>
      </w:r>
      <w:r w:rsidR="00362941" w:rsidRPr="00BF20D3">
        <w:rPr>
          <w:sz w:val="20"/>
        </w:rPr>
        <w:t>In all but four inner city LGAs</w:t>
      </w:r>
      <w:r w:rsidR="0013600E">
        <w:rPr>
          <w:sz w:val="20"/>
        </w:rPr>
        <w:t>,</w:t>
      </w:r>
      <w:r w:rsidR="00362941" w:rsidRPr="00BF20D3">
        <w:rPr>
          <w:sz w:val="20"/>
        </w:rPr>
        <w:t xml:space="preserve"> detached house sales were a majority</w:t>
      </w:r>
      <w:r w:rsidRPr="00BF20D3">
        <w:rPr>
          <w:sz w:val="20"/>
        </w:rPr>
        <w:t xml:space="preserve"> of residential property sales</w:t>
      </w:r>
      <w:r w:rsidR="00362941" w:rsidRPr="00BF20D3">
        <w:rPr>
          <w:sz w:val="20"/>
        </w:rPr>
        <w:t xml:space="preserve">.  </w:t>
      </w:r>
    </w:p>
    <w:p w:rsidR="003565F0" w:rsidRPr="00BF20D3" w:rsidRDefault="00625153" w:rsidP="003565F0">
      <w:pPr>
        <w:rPr>
          <w:sz w:val="20"/>
        </w:rPr>
      </w:pPr>
      <w:r w:rsidRPr="00BF20D3">
        <w:rPr>
          <w:noProof/>
          <w:lang w:eastAsia="en-AU"/>
        </w:rPr>
        <w:drawing>
          <wp:inline distT="0" distB="0" distL="0" distR="0" wp14:anchorId="7A91A53E" wp14:editId="407D3A3A">
            <wp:extent cx="5905500" cy="774192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DB0A6A" w:rsidRPr="00BF20D3" w:rsidRDefault="00625153">
      <w:pPr>
        <w:rPr>
          <w:sz w:val="20"/>
        </w:rPr>
      </w:pPr>
      <w:r w:rsidRPr="00BF20D3">
        <w:rPr>
          <w:noProof/>
          <w:lang w:eastAsia="en-AU"/>
        </w:rPr>
        <w:lastRenderedPageBreak/>
        <w:drawing>
          <wp:inline distT="0" distB="0" distL="0" distR="0" wp14:anchorId="1F2FA2E8" wp14:editId="01895DF9">
            <wp:extent cx="6160770" cy="9197340"/>
            <wp:effectExtent l="0" t="0" r="0" b="381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DB0A6A" w:rsidRPr="00BF20D3">
        <w:rPr>
          <w:sz w:val="20"/>
        </w:rPr>
        <w:br w:type="page"/>
      </w:r>
    </w:p>
    <w:p w:rsidR="00741490" w:rsidRPr="00BF20D3" w:rsidRDefault="00625153" w:rsidP="003565F0">
      <w:pPr>
        <w:rPr>
          <w:sz w:val="20"/>
        </w:rPr>
      </w:pPr>
      <w:r w:rsidRPr="00BF20D3">
        <w:rPr>
          <w:sz w:val="20"/>
        </w:rPr>
        <w:lastRenderedPageBreak/>
        <w:t>Within 2016 so far, t</w:t>
      </w:r>
      <w:r w:rsidR="008363D1" w:rsidRPr="00BF20D3">
        <w:rPr>
          <w:sz w:val="20"/>
        </w:rPr>
        <w:t>he median p</w:t>
      </w:r>
      <w:r w:rsidR="000F691A">
        <w:rPr>
          <w:sz w:val="20"/>
        </w:rPr>
        <w:t>rice of a detached house</w:t>
      </w:r>
      <w:r w:rsidRPr="00BF20D3">
        <w:rPr>
          <w:sz w:val="20"/>
        </w:rPr>
        <w:t xml:space="preserve"> </w:t>
      </w:r>
      <w:r w:rsidR="00741490" w:rsidRPr="00BF20D3">
        <w:rPr>
          <w:sz w:val="20"/>
        </w:rPr>
        <w:t xml:space="preserve">exceeded </w:t>
      </w:r>
      <w:r w:rsidR="008363D1" w:rsidRPr="00BF20D3">
        <w:rPr>
          <w:sz w:val="20"/>
        </w:rPr>
        <w:t xml:space="preserve">a million dollars in </w:t>
      </w:r>
      <w:r w:rsidR="00741490" w:rsidRPr="00BF20D3">
        <w:rPr>
          <w:sz w:val="20"/>
        </w:rPr>
        <w:t>eight LGAs</w:t>
      </w:r>
      <w:r w:rsidR="008363D1" w:rsidRPr="00BF20D3">
        <w:rPr>
          <w:sz w:val="20"/>
        </w:rPr>
        <w:t xml:space="preserve"> across Melbourne.</w:t>
      </w:r>
      <w:r w:rsidR="00DB0A6A" w:rsidRPr="00BF20D3">
        <w:rPr>
          <w:sz w:val="20"/>
        </w:rPr>
        <w:t xml:space="preserve"> </w:t>
      </w:r>
      <w:r w:rsidR="008363D1" w:rsidRPr="00BF20D3">
        <w:rPr>
          <w:sz w:val="20"/>
        </w:rPr>
        <w:t xml:space="preserve"> </w:t>
      </w:r>
      <w:r w:rsidR="00741490" w:rsidRPr="00BF20D3">
        <w:rPr>
          <w:sz w:val="20"/>
        </w:rPr>
        <w:t>The only LGAs where median prices were lower than $500,000 were the</w:t>
      </w:r>
      <w:r w:rsidR="008363D1" w:rsidRPr="00BF20D3">
        <w:rPr>
          <w:sz w:val="20"/>
        </w:rPr>
        <w:t xml:space="preserve"> </w:t>
      </w:r>
      <w:r w:rsidR="00975BA2" w:rsidRPr="00BF20D3">
        <w:rPr>
          <w:sz w:val="20"/>
        </w:rPr>
        <w:t xml:space="preserve">outer </w:t>
      </w:r>
      <w:r w:rsidR="008363D1" w:rsidRPr="00BF20D3">
        <w:rPr>
          <w:sz w:val="20"/>
        </w:rPr>
        <w:t xml:space="preserve">growth </w:t>
      </w:r>
      <w:r w:rsidR="00741490" w:rsidRPr="00BF20D3">
        <w:rPr>
          <w:sz w:val="20"/>
        </w:rPr>
        <w:t>LGAs and Brimbank</w:t>
      </w:r>
      <w:r w:rsidR="008363D1" w:rsidRPr="00BF20D3">
        <w:rPr>
          <w:sz w:val="20"/>
        </w:rPr>
        <w:t>.</w:t>
      </w:r>
      <w:r w:rsidR="00DB0A6A" w:rsidRPr="00BF20D3">
        <w:rPr>
          <w:sz w:val="20"/>
        </w:rPr>
        <w:t xml:space="preserve"> </w:t>
      </w:r>
    </w:p>
    <w:p w:rsidR="00137DCB" w:rsidRPr="00BF20D3" w:rsidRDefault="008363D1" w:rsidP="003565F0">
      <w:pPr>
        <w:rPr>
          <w:sz w:val="20"/>
        </w:rPr>
      </w:pPr>
      <w:r w:rsidRPr="00BF20D3">
        <w:rPr>
          <w:sz w:val="20"/>
        </w:rPr>
        <w:t>In regional Victoria, the coastal areas of Queenscliffe and Surf Coast had median prices above half</w:t>
      </w:r>
      <w:r w:rsidR="000F691A">
        <w:rPr>
          <w:sz w:val="20"/>
        </w:rPr>
        <w:t xml:space="preserve"> a</w:t>
      </w:r>
      <w:r w:rsidRPr="00BF20D3">
        <w:rPr>
          <w:sz w:val="20"/>
        </w:rPr>
        <w:t xml:space="preserve"> million dollars.</w:t>
      </w:r>
      <w:r w:rsidR="00DB0A6A" w:rsidRPr="00BF20D3">
        <w:rPr>
          <w:sz w:val="20"/>
        </w:rPr>
        <w:t xml:space="preserve"> </w:t>
      </w:r>
      <w:r w:rsidRPr="00BF20D3">
        <w:rPr>
          <w:sz w:val="20"/>
        </w:rPr>
        <w:t xml:space="preserve">The cheapest houses in the state </w:t>
      </w:r>
      <w:r w:rsidR="000F691A">
        <w:rPr>
          <w:sz w:val="20"/>
        </w:rPr>
        <w:t>w</w:t>
      </w:r>
      <w:r w:rsidRPr="00BF20D3">
        <w:rPr>
          <w:sz w:val="20"/>
        </w:rPr>
        <w:t xml:space="preserve">ere in the Wimmera areas; the lowest was </w:t>
      </w:r>
      <w:r w:rsidR="00741490" w:rsidRPr="00BF20D3">
        <w:rPr>
          <w:sz w:val="20"/>
        </w:rPr>
        <w:t>Buloke where the median price was $82</w:t>
      </w:r>
      <w:r w:rsidRPr="00BF20D3">
        <w:rPr>
          <w:sz w:val="20"/>
        </w:rPr>
        <w:t>,</w:t>
      </w:r>
      <w:r w:rsidR="00741490" w:rsidRPr="00BF20D3">
        <w:rPr>
          <w:sz w:val="20"/>
        </w:rPr>
        <w:t>75</w:t>
      </w:r>
      <w:r w:rsidRPr="00BF20D3">
        <w:rPr>
          <w:sz w:val="20"/>
        </w:rPr>
        <w:t>0.</w:t>
      </w:r>
    </w:p>
    <w:p w:rsidR="00137DCB" w:rsidRPr="00BF20D3" w:rsidRDefault="00741490" w:rsidP="003565F0">
      <w:pPr>
        <w:rPr>
          <w:noProof/>
          <w:lang w:eastAsia="en-AU"/>
        </w:rPr>
      </w:pPr>
      <w:r w:rsidRPr="00BF20D3">
        <w:rPr>
          <w:noProof/>
          <w:lang w:eastAsia="en-AU"/>
        </w:rPr>
        <w:drawing>
          <wp:inline distT="0" distB="0" distL="0" distR="0" wp14:anchorId="0DE6DC12" wp14:editId="6C95645F">
            <wp:extent cx="6080760" cy="8328660"/>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741490" w:rsidRPr="00BF20D3" w:rsidRDefault="00741490" w:rsidP="003565F0">
      <w:pPr>
        <w:rPr>
          <w:noProof/>
          <w:lang w:eastAsia="en-AU"/>
        </w:rPr>
      </w:pPr>
      <w:r w:rsidRPr="00BF20D3">
        <w:rPr>
          <w:noProof/>
          <w:lang w:eastAsia="en-AU"/>
        </w:rPr>
        <w:lastRenderedPageBreak/>
        <w:drawing>
          <wp:inline distT="0" distB="0" distL="0" distR="0" wp14:anchorId="3A3880F1" wp14:editId="24B7797D">
            <wp:extent cx="6080760" cy="8892540"/>
            <wp:effectExtent l="0" t="0" r="15240" b="381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C02544" w:rsidRPr="00BF20D3" w:rsidRDefault="00501120" w:rsidP="003565F0">
      <w:pPr>
        <w:rPr>
          <w:sz w:val="20"/>
        </w:rPr>
      </w:pPr>
      <w:r w:rsidRPr="00BF20D3">
        <w:rPr>
          <w:noProof/>
          <w:lang w:eastAsia="en-AU"/>
        </w:rPr>
        <w:t xml:space="preserve"> </w:t>
      </w:r>
    </w:p>
    <w:p w:rsidR="008F6150" w:rsidRPr="00BF20D3" w:rsidRDefault="00DB0A6A">
      <w:pPr>
        <w:rPr>
          <w:sz w:val="20"/>
        </w:rPr>
      </w:pPr>
      <w:r w:rsidRPr="00BF20D3">
        <w:rPr>
          <w:sz w:val="20"/>
        </w:rPr>
        <w:br w:type="page"/>
      </w:r>
      <w:r w:rsidR="00741490" w:rsidRPr="00BF20D3">
        <w:rPr>
          <w:sz w:val="20"/>
        </w:rPr>
        <w:lastRenderedPageBreak/>
        <w:t>T</w:t>
      </w:r>
      <w:r w:rsidR="00882A09" w:rsidRPr="00BF20D3">
        <w:rPr>
          <w:sz w:val="20"/>
        </w:rPr>
        <w:t>he median price for units in 20</w:t>
      </w:r>
      <w:r w:rsidR="00741490" w:rsidRPr="00BF20D3">
        <w:rPr>
          <w:sz w:val="20"/>
        </w:rPr>
        <w:t>16 so far</w:t>
      </w:r>
      <w:r w:rsidR="00882A09" w:rsidRPr="00BF20D3">
        <w:rPr>
          <w:sz w:val="20"/>
        </w:rPr>
        <w:t xml:space="preserve"> </w:t>
      </w:r>
      <w:r w:rsidR="00D13945" w:rsidRPr="00BF20D3">
        <w:rPr>
          <w:sz w:val="20"/>
        </w:rPr>
        <w:t xml:space="preserve">were generally much lower than house prices in most LGAs of Melbourne. </w:t>
      </w:r>
      <w:r w:rsidRPr="00BF20D3">
        <w:rPr>
          <w:sz w:val="20"/>
        </w:rPr>
        <w:t xml:space="preserve"> </w:t>
      </w:r>
      <w:r w:rsidR="00D13945" w:rsidRPr="00BF20D3">
        <w:rPr>
          <w:sz w:val="20"/>
        </w:rPr>
        <w:t>However, in regional areas there was less price difference between the two</w:t>
      </w:r>
      <w:r w:rsidR="00882A09" w:rsidRPr="00BF20D3">
        <w:rPr>
          <w:sz w:val="20"/>
        </w:rPr>
        <w:t>; in some cases the median prices for a flat was higher than a detached dwelling</w:t>
      </w:r>
      <w:r w:rsidR="00D13945" w:rsidRPr="00BF20D3">
        <w:rPr>
          <w:sz w:val="20"/>
        </w:rPr>
        <w:t>. Some regional LGA</w:t>
      </w:r>
      <w:r w:rsidR="00F7651B" w:rsidRPr="00BF20D3">
        <w:rPr>
          <w:sz w:val="20"/>
        </w:rPr>
        <w:t>s</w:t>
      </w:r>
      <w:r w:rsidR="00D13945" w:rsidRPr="00BF20D3">
        <w:rPr>
          <w:sz w:val="20"/>
        </w:rPr>
        <w:t xml:space="preserve"> had no sales of strata title properties in the first six months. </w:t>
      </w:r>
      <w:bookmarkStart w:id="54" w:name="_Toc437436637"/>
      <w:r w:rsidR="00741490" w:rsidRPr="00BF20D3">
        <w:rPr>
          <w:noProof/>
          <w:lang w:eastAsia="en-AU"/>
        </w:rPr>
        <w:drawing>
          <wp:inline distT="0" distB="0" distL="0" distR="0" wp14:anchorId="2DBC8561" wp14:editId="3455B354">
            <wp:extent cx="6362700" cy="8382000"/>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741490" w:rsidRPr="00BF20D3" w:rsidRDefault="00741490">
      <w:pPr>
        <w:rPr>
          <w:b/>
          <w:sz w:val="20"/>
        </w:rPr>
      </w:pPr>
    </w:p>
    <w:p w:rsidR="00741490" w:rsidRPr="00BF20D3" w:rsidRDefault="00741490">
      <w:pPr>
        <w:rPr>
          <w:b/>
          <w:sz w:val="20"/>
        </w:rPr>
      </w:pPr>
      <w:r w:rsidRPr="00BF20D3">
        <w:rPr>
          <w:noProof/>
          <w:lang w:eastAsia="en-AU"/>
        </w:rPr>
        <w:lastRenderedPageBreak/>
        <w:drawing>
          <wp:inline distT="0" distB="0" distL="0" distR="0" wp14:anchorId="56CD763B" wp14:editId="233D91AC">
            <wp:extent cx="6080760" cy="8892540"/>
            <wp:effectExtent l="0" t="0" r="0" b="381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741490" w:rsidRPr="00BF20D3" w:rsidRDefault="00741490">
      <w:pPr>
        <w:rPr>
          <w:b/>
          <w:sz w:val="20"/>
        </w:rPr>
      </w:pPr>
      <w:r w:rsidRPr="00BF20D3">
        <w:rPr>
          <w:b/>
          <w:sz w:val="20"/>
        </w:rPr>
        <w:br w:type="page"/>
      </w:r>
    </w:p>
    <w:p w:rsidR="00D13945" w:rsidRPr="0014025C" w:rsidRDefault="00D13945" w:rsidP="003C4829">
      <w:pPr>
        <w:pStyle w:val="Heading2numbered"/>
        <w:rPr>
          <w:color w:val="002060"/>
        </w:rPr>
      </w:pPr>
      <w:bookmarkStart w:id="55" w:name="_Toc458605171"/>
      <w:r w:rsidRPr="0014025C">
        <w:rPr>
          <w:color w:val="002060"/>
        </w:rPr>
        <w:lastRenderedPageBreak/>
        <w:t>Rent</w:t>
      </w:r>
      <w:bookmarkEnd w:id="54"/>
      <w:r w:rsidR="00E845E0" w:rsidRPr="0014025C">
        <w:rPr>
          <w:color w:val="002060"/>
        </w:rPr>
        <w:t>s</w:t>
      </w:r>
      <w:bookmarkEnd w:id="55"/>
    </w:p>
    <w:p w:rsidR="00D13945" w:rsidRPr="00BF20D3" w:rsidRDefault="005B7FE9" w:rsidP="003565F0">
      <w:pPr>
        <w:rPr>
          <w:sz w:val="20"/>
        </w:rPr>
      </w:pPr>
      <w:r w:rsidRPr="00BF20D3">
        <w:rPr>
          <w:sz w:val="20"/>
        </w:rPr>
        <w:t xml:space="preserve">The </w:t>
      </w:r>
      <w:r w:rsidR="0050044B">
        <w:rPr>
          <w:sz w:val="20"/>
        </w:rPr>
        <w:t>D</w:t>
      </w:r>
      <w:r w:rsidRPr="00BF20D3">
        <w:rPr>
          <w:sz w:val="20"/>
        </w:rPr>
        <w:t xml:space="preserve">epartment of Housing and Human Services </w:t>
      </w:r>
      <w:r w:rsidR="000F5421" w:rsidRPr="00BF20D3">
        <w:rPr>
          <w:sz w:val="20"/>
        </w:rPr>
        <w:t xml:space="preserve">prepares a Quarterly Rental </w:t>
      </w:r>
      <w:r w:rsidR="0050044B">
        <w:rPr>
          <w:sz w:val="20"/>
        </w:rPr>
        <w:t>R</w:t>
      </w:r>
      <w:r w:rsidR="000F5421" w:rsidRPr="00BF20D3">
        <w:rPr>
          <w:sz w:val="20"/>
        </w:rPr>
        <w:t>eport for Victoria. This provides information on the median rents.</w:t>
      </w:r>
      <w:r w:rsidR="00966CC5" w:rsidRPr="00BF20D3">
        <w:rPr>
          <w:sz w:val="20"/>
        </w:rPr>
        <w:t xml:space="preserve"> </w:t>
      </w:r>
      <w:r w:rsidR="000F5421" w:rsidRPr="00BF20D3">
        <w:rPr>
          <w:sz w:val="20"/>
        </w:rPr>
        <w:t xml:space="preserve">For example, the median rent for </w:t>
      </w:r>
      <w:r w:rsidR="00966CC5" w:rsidRPr="00BF20D3">
        <w:rPr>
          <w:sz w:val="20"/>
        </w:rPr>
        <w:t>a two</w:t>
      </w:r>
      <w:r w:rsidR="0050044B">
        <w:rPr>
          <w:sz w:val="20"/>
        </w:rPr>
        <w:t>-</w:t>
      </w:r>
      <w:r w:rsidR="00966CC5" w:rsidRPr="00BF20D3">
        <w:rPr>
          <w:sz w:val="20"/>
        </w:rPr>
        <w:t>b</w:t>
      </w:r>
      <w:r w:rsidR="00D206D4" w:rsidRPr="00BF20D3">
        <w:rPr>
          <w:sz w:val="20"/>
        </w:rPr>
        <w:t>edroom flat in Melbourne was $400 a week compared to $24</w:t>
      </w:r>
      <w:r w:rsidR="000F5421" w:rsidRPr="00BF20D3">
        <w:rPr>
          <w:sz w:val="20"/>
        </w:rPr>
        <w:t xml:space="preserve">0 in non-metropolitan areas. </w:t>
      </w:r>
    </w:p>
    <w:p w:rsidR="00D13945" w:rsidRPr="00BF20D3" w:rsidRDefault="002936A9" w:rsidP="003565F0">
      <w:pPr>
        <w:rPr>
          <w:sz w:val="20"/>
        </w:rPr>
      </w:pPr>
      <w:r w:rsidRPr="00BF20D3">
        <w:rPr>
          <w:noProof/>
          <w:lang w:eastAsia="en-AU"/>
        </w:rPr>
        <w:drawing>
          <wp:inline distT="0" distB="0" distL="0" distR="0" wp14:anchorId="0C0A3DF7" wp14:editId="7FF7F555">
            <wp:extent cx="6069330" cy="3261360"/>
            <wp:effectExtent l="0" t="0" r="7620" b="0"/>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F10D07" w:rsidRPr="00BF20D3" w:rsidRDefault="00D206D4" w:rsidP="003565F0">
      <w:pPr>
        <w:rPr>
          <w:sz w:val="20"/>
        </w:rPr>
      </w:pPr>
      <w:r w:rsidRPr="00BF20D3">
        <w:rPr>
          <w:sz w:val="20"/>
        </w:rPr>
        <w:t>The median r</w:t>
      </w:r>
      <w:r w:rsidR="00F10D07" w:rsidRPr="00BF20D3">
        <w:rPr>
          <w:sz w:val="20"/>
        </w:rPr>
        <w:t xml:space="preserve">ents have risen in the past </w:t>
      </w:r>
      <w:r w:rsidRPr="00BF20D3">
        <w:rPr>
          <w:sz w:val="20"/>
        </w:rPr>
        <w:t>12</w:t>
      </w:r>
      <w:r w:rsidR="00F10D07" w:rsidRPr="00BF20D3">
        <w:rPr>
          <w:sz w:val="20"/>
        </w:rPr>
        <w:t xml:space="preserve"> months in both Metro and Non-Metro in all categories</w:t>
      </w:r>
      <w:r w:rsidRPr="00BF20D3">
        <w:rPr>
          <w:sz w:val="20"/>
        </w:rPr>
        <w:t>.</w:t>
      </w:r>
      <w:r w:rsidR="00A518FB" w:rsidRPr="00BF20D3">
        <w:rPr>
          <w:sz w:val="20"/>
        </w:rPr>
        <w:t xml:space="preserve"> </w:t>
      </w:r>
      <w:r w:rsidR="007A1F3D" w:rsidRPr="00BF20D3">
        <w:rPr>
          <w:sz w:val="20"/>
        </w:rPr>
        <w:t>However, increases in rents have been fairly modest for several years</w:t>
      </w:r>
      <w:r w:rsidRPr="00BF20D3">
        <w:rPr>
          <w:sz w:val="20"/>
        </w:rPr>
        <w:t xml:space="preserve"> and have yet to repeat the </w:t>
      </w:r>
      <w:r w:rsidR="00416341" w:rsidRPr="00BF20D3">
        <w:rPr>
          <w:sz w:val="20"/>
        </w:rPr>
        <w:t>rapid rise that occurred from</w:t>
      </w:r>
      <w:r w:rsidRPr="00BF20D3">
        <w:rPr>
          <w:sz w:val="20"/>
        </w:rPr>
        <w:t xml:space="preserve"> 2005 to 2010</w:t>
      </w:r>
      <w:r w:rsidR="007A1F3D" w:rsidRPr="00BF20D3">
        <w:rPr>
          <w:sz w:val="20"/>
        </w:rPr>
        <w:t>.</w:t>
      </w:r>
    </w:p>
    <w:p w:rsidR="00F10D07" w:rsidRPr="00BF20D3" w:rsidRDefault="00D206D4" w:rsidP="003565F0">
      <w:pPr>
        <w:rPr>
          <w:sz w:val="20"/>
        </w:rPr>
      </w:pPr>
      <w:r w:rsidRPr="00BF20D3">
        <w:rPr>
          <w:noProof/>
          <w:lang w:eastAsia="en-AU"/>
        </w:rPr>
        <w:drawing>
          <wp:inline distT="0" distB="0" distL="0" distR="0" wp14:anchorId="668BBE74" wp14:editId="1A165CA8">
            <wp:extent cx="6209665" cy="4450080"/>
            <wp:effectExtent l="0" t="0" r="635" b="7620"/>
            <wp:docPr id="105" name="Chart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9534B7" w:rsidRPr="00BF20D3" w:rsidRDefault="009534B7" w:rsidP="003565F0">
      <w:pPr>
        <w:rPr>
          <w:sz w:val="20"/>
        </w:rPr>
      </w:pPr>
      <w:r w:rsidRPr="00BF20D3">
        <w:rPr>
          <w:sz w:val="20"/>
        </w:rPr>
        <w:lastRenderedPageBreak/>
        <w:t xml:space="preserve">There is clearly a general trend in Melbourne that the Inner City </w:t>
      </w:r>
      <w:r w:rsidR="00966CC5" w:rsidRPr="00BF20D3">
        <w:rPr>
          <w:sz w:val="20"/>
        </w:rPr>
        <w:t xml:space="preserve">Local government </w:t>
      </w:r>
      <w:r w:rsidR="00AF12A8">
        <w:rPr>
          <w:sz w:val="20"/>
        </w:rPr>
        <w:t>A</w:t>
      </w:r>
      <w:r w:rsidR="00966CC5" w:rsidRPr="00BF20D3">
        <w:rPr>
          <w:sz w:val="20"/>
        </w:rPr>
        <w:t>reas (LGAs)</w:t>
      </w:r>
      <w:r w:rsidRPr="00BF20D3">
        <w:rPr>
          <w:sz w:val="20"/>
        </w:rPr>
        <w:t xml:space="preserve"> have high</w:t>
      </w:r>
      <w:r w:rsidR="00966CC5" w:rsidRPr="00BF20D3">
        <w:rPr>
          <w:sz w:val="20"/>
        </w:rPr>
        <w:t>er median rents compared to LGA</w:t>
      </w:r>
      <w:r w:rsidRPr="00BF20D3">
        <w:rPr>
          <w:sz w:val="20"/>
        </w:rPr>
        <w:t>s that a</w:t>
      </w:r>
      <w:r w:rsidR="00966CC5" w:rsidRPr="00BF20D3">
        <w:rPr>
          <w:sz w:val="20"/>
        </w:rPr>
        <w:t>re</w:t>
      </w:r>
      <w:r w:rsidRPr="00BF20D3">
        <w:rPr>
          <w:sz w:val="20"/>
        </w:rPr>
        <w:t xml:space="preserve"> further out. This is true of both units and houses.</w:t>
      </w:r>
      <w:r w:rsidR="00966CC5" w:rsidRPr="00BF20D3">
        <w:rPr>
          <w:sz w:val="20"/>
        </w:rPr>
        <w:t xml:space="preserve"> </w:t>
      </w:r>
      <w:r w:rsidRPr="00BF20D3">
        <w:rPr>
          <w:sz w:val="20"/>
        </w:rPr>
        <w:t>The difference between rents for houses and units is also greater the closer to the centre.</w:t>
      </w:r>
      <w:r w:rsidR="00966CC5" w:rsidRPr="00BF20D3">
        <w:rPr>
          <w:sz w:val="20"/>
        </w:rPr>
        <w:t xml:space="preserve"> </w:t>
      </w:r>
      <w:r w:rsidRPr="00BF20D3">
        <w:rPr>
          <w:sz w:val="20"/>
        </w:rPr>
        <w:t>In some of the fringe LGA</w:t>
      </w:r>
      <w:r w:rsidR="00966CC5" w:rsidRPr="00BF20D3">
        <w:rPr>
          <w:sz w:val="20"/>
        </w:rPr>
        <w:t>s</w:t>
      </w:r>
      <w:r w:rsidRPr="00BF20D3">
        <w:rPr>
          <w:sz w:val="20"/>
        </w:rPr>
        <w:t xml:space="preserve"> there is little difference in rent for a two</w:t>
      </w:r>
      <w:r w:rsidR="00AF12A8">
        <w:rPr>
          <w:sz w:val="20"/>
        </w:rPr>
        <w:t>-</w:t>
      </w:r>
      <w:r w:rsidRPr="00BF20D3">
        <w:rPr>
          <w:sz w:val="20"/>
        </w:rPr>
        <w:t>bedroom house and two</w:t>
      </w:r>
      <w:r w:rsidR="00AF12A8">
        <w:rPr>
          <w:sz w:val="20"/>
        </w:rPr>
        <w:t>-</w:t>
      </w:r>
      <w:r w:rsidRPr="00BF20D3">
        <w:rPr>
          <w:sz w:val="20"/>
        </w:rPr>
        <w:t>bedroom flat.</w:t>
      </w:r>
    </w:p>
    <w:p w:rsidR="009534B7" w:rsidRPr="00BF20D3" w:rsidRDefault="003C6A8A" w:rsidP="003565F0">
      <w:pPr>
        <w:rPr>
          <w:sz w:val="20"/>
        </w:rPr>
      </w:pPr>
      <w:r>
        <w:rPr>
          <w:sz w:val="20"/>
        </w:rPr>
        <w:t>In regional areas, there are</w:t>
      </w:r>
      <w:r w:rsidR="009534B7" w:rsidRPr="00BF20D3">
        <w:rPr>
          <w:sz w:val="20"/>
        </w:rPr>
        <w:t xml:space="preserve"> generally fewer flats rented and therefore there is little difference between houses and units in most cases. </w:t>
      </w:r>
      <w:r w:rsidR="00385888" w:rsidRPr="00BF20D3">
        <w:rPr>
          <w:sz w:val="20"/>
        </w:rPr>
        <w:t>In many LGA</w:t>
      </w:r>
      <w:r w:rsidR="00966CC5" w:rsidRPr="00BF20D3">
        <w:rPr>
          <w:sz w:val="20"/>
        </w:rPr>
        <w:t>s</w:t>
      </w:r>
      <w:r w:rsidR="00385888" w:rsidRPr="00BF20D3">
        <w:rPr>
          <w:sz w:val="20"/>
        </w:rPr>
        <w:t xml:space="preserve"> there were no rentals of</w:t>
      </w:r>
      <w:r w:rsidR="000F691A">
        <w:rPr>
          <w:sz w:val="20"/>
        </w:rPr>
        <w:t xml:space="preserve"> any </w:t>
      </w:r>
      <w:r w:rsidR="00385888" w:rsidRPr="00BF20D3">
        <w:rPr>
          <w:sz w:val="20"/>
        </w:rPr>
        <w:t xml:space="preserve">flats of each type. </w:t>
      </w:r>
    </w:p>
    <w:p w:rsidR="00E845E0" w:rsidRPr="00BF20D3" w:rsidRDefault="00E845E0" w:rsidP="003565F0">
      <w:pPr>
        <w:rPr>
          <w:sz w:val="20"/>
        </w:rPr>
      </w:pPr>
    </w:p>
    <w:p w:rsidR="00C02544" w:rsidRPr="00BF20D3" w:rsidRDefault="00501120" w:rsidP="003565F0">
      <w:pPr>
        <w:rPr>
          <w:sz w:val="20"/>
        </w:rPr>
      </w:pPr>
      <w:r w:rsidRPr="00BF20D3">
        <w:rPr>
          <w:noProof/>
          <w:lang w:eastAsia="en-AU"/>
        </w:rPr>
        <w:lastRenderedPageBreak/>
        <w:t xml:space="preserve"> </w:t>
      </w:r>
      <w:r w:rsidR="00827E06" w:rsidRPr="00BF20D3">
        <w:rPr>
          <w:noProof/>
          <w:lang w:eastAsia="en-AU"/>
        </w:rPr>
        <w:drawing>
          <wp:inline distT="0" distB="0" distL="0" distR="0" wp14:anchorId="66ED5DD0" wp14:editId="3B34EB06">
            <wp:extent cx="6217920" cy="8961120"/>
            <wp:effectExtent l="0" t="0" r="0" b="0"/>
            <wp:docPr id="102" name="Chart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C02544" w:rsidRPr="00BF20D3" w:rsidRDefault="00827E06" w:rsidP="003565F0">
      <w:pPr>
        <w:rPr>
          <w:sz w:val="20"/>
        </w:rPr>
      </w:pPr>
      <w:r w:rsidRPr="00BF20D3">
        <w:rPr>
          <w:noProof/>
          <w:lang w:eastAsia="en-AU"/>
        </w:rPr>
        <w:lastRenderedPageBreak/>
        <w:drawing>
          <wp:inline distT="0" distB="0" distL="0" distR="0" wp14:anchorId="782925AF" wp14:editId="5D97A8FA">
            <wp:extent cx="6195060" cy="9212580"/>
            <wp:effectExtent l="0" t="0" r="0" b="7620"/>
            <wp:docPr id="100" name="Chart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C02544" w:rsidRPr="00BF20D3" w:rsidRDefault="00827E06" w:rsidP="003565F0">
      <w:pPr>
        <w:rPr>
          <w:sz w:val="20"/>
        </w:rPr>
      </w:pPr>
      <w:r w:rsidRPr="00BF20D3">
        <w:rPr>
          <w:noProof/>
          <w:lang w:eastAsia="en-AU"/>
        </w:rPr>
        <w:lastRenderedPageBreak/>
        <w:drawing>
          <wp:inline distT="0" distB="0" distL="0" distR="0" wp14:anchorId="1E3A6925" wp14:editId="41E0809D">
            <wp:extent cx="6294120" cy="9372600"/>
            <wp:effectExtent l="0" t="0" r="0" b="0"/>
            <wp:docPr id="92"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8F6150" w:rsidRPr="00BF20D3" w:rsidRDefault="00B52AB2">
      <w:pPr>
        <w:rPr>
          <w:b/>
          <w:sz w:val="20"/>
        </w:rPr>
      </w:pPr>
      <w:r w:rsidRPr="00BF20D3">
        <w:rPr>
          <w:noProof/>
          <w:lang w:eastAsia="en-AU"/>
        </w:rPr>
        <w:lastRenderedPageBreak/>
        <w:drawing>
          <wp:inline distT="0" distB="0" distL="0" distR="0" wp14:anchorId="5CB2EE82" wp14:editId="5774EB82">
            <wp:extent cx="6278880" cy="9166860"/>
            <wp:effectExtent l="0" t="0" r="7620" b="0"/>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bookmarkStart w:id="56" w:name="_Toc437436638"/>
      <w:r w:rsidR="008F6150" w:rsidRPr="00BF20D3">
        <w:rPr>
          <w:b/>
          <w:sz w:val="20"/>
        </w:rPr>
        <w:br w:type="page"/>
      </w:r>
    </w:p>
    <w:p w:rsidR="00225ABE" w:rsidRPr="0014025C" w:rsidRDefault="00225ABE" w:rsidP="00225ABE">
      <w:pPr>
        <w:pStyle w:val="Heading2numbered"/>
        <w:rPr>
          <w:color w:val="002060"/>
        </w:rPr>
      </w:pPr>
      <w:bookmarkStart w:id="57" w:name="_Toc458605172"/>
      <w:r w:rsidRPr="0014025C">
        <w:rPr>
          <w:color w:val="002060"/>
        </w:rPr>
        <w:lastRenderedPageBreak/>
        <w:t>Residential Rental Bonds</w:t>
      </w:r>
      <w:bookmarkEnd w:id="57"/>
    </w:p>
    <w:p w:rsidR="00225ABE" w:rsidRPr="00C322A7" w:rsidRDefault="00225ABE" w:rsidP="00420CBD">
      <w:pPr>
        <w:rPr>
          <w:sz w:val="20"/>
          <w:szCs w:val="20"/>
        </w:rPr>
      </w:pPr>
      <w:r w:rsidRPr="00C322A7">
        <w:rPr>
          <w:sz w:val="20"/>
          <w:szCs w:val="20"/>
        </w:rPr>
        <w:t xml:space="preserve">At the end of March 2016, there were 533,867 active residential rental bonds in Victoria. As there is generally one bond per residential rental property, this a good indicator of the number </w:t>
      </w:r>
      <w:r w:rsidR="00A67B1C" w:rsidRPr="00C322A7">
        <w:rPr>
          <w:sz w:val="20"/>
          <w:szCs w:val="20"/>
        </w:rPr>
        <w:t>of rental properties in Victoria</w:t>
      </w:r>
      <w:r w:rsidRPr="00C322A7">
        <w:rPr>
          <w:sz w:val="20"/>
          <w:szCs w:val="20"/>
        </w:rPr>
        <w:t>. The number of bonds has increase</w:t>
      </w:r>
      <w:r w:rsidR="000F691A" w:rsidRPr="00C322A7">
        <w:rPr>
          <w:sz w:val="20"/>
          <w:szCs w:val="20"/>
        </w:rPr>
        <w:t>d</w:t>
      </w:r>
      <w:r w:rsidRPr="00C322A7">
        <w:rPr>
          <w:sz w:val="20"/>
          <w:szCs w:val="20"/>
        </w:rPr>
        <w:t xml:space="preserve"> 3.2% in the past year and 31% in the past </w:t>
      </w:r>
      <w:r w:rsidR="00716793">
        <w:rPr>
          <w:sz w:val="20"/>
          <w:szCs w:val="20"/>
        </w:rPr>
        <w:t>five</w:t>
      </w:r>
      <w:r w:rsidRPr="00C322A7">
        <w:rPr>
          <w:sz w:val="20"/>
          <w:szCs w:val="20"/>
        </w:rPr>
        <w:t xml:space="preserve"> years.</w:t>
      </w:r>
    </w:p>
    <w:p w:rsidR="00225ABE" w:rsidRPr="00C322A7" w:rsidRDefault="00225ABE" w:rsidP="00420CBD">
      <w:pPr>
        <w:rPr>
          <w:sz w:val="20"/>
          <w:szCs w:val="20"/>
        </w:rPr>
      </w:pPr>
      <w:r w:rsidRPr="00C322A7">
        <w:rPr>
          <w:sz w:val="20"/>
          <w:szCs w:val="20"/>
        </w:rPr>
        <w:t xml:space="preserve">At the local government level, the City of Melbourne had the most active bonds </w:t>
      </w:r>
      <w:r w:rsidR="00A67B1C" w:rsidRPr="00C322A7">
        <w:rPr>
          <w:sz w:val="20"/>
          <w:szCs w:val="20"/>
        </w:rPr>
        <w:t>in the state and West Wimmeria had the least.</w:t>
      </w:r>
      <w:r w:rsidRPr="00C322A7">
        <w:rPr>
          <w:sz w:val="20"/>
          <w:szCs w:val="20"/>
        </w:rPr>
        <w:t xml:space="preserve"> </w:t>
      </w:r>
    </w:p>
    <w:p w:rsidR="00225ABE" w:rsidRPr="00BF20D3" w:rsidRDefault="00225ABE" w:rsidP="00420CBD">
      <w:r w:rsidRPr="00BF20D3">
        <w:rPr>
          <w:noProof/>
          <w:lang w:eastAsia="en-AU"/>
        </w:rPr>
        <w:drawing>
          <wp:inline distT="0" distB="0" distL="0" distR="0" wp14:anchorId="3B7BC4DA" wp14:editId="163BA4E2">
            <wp:extent cx="6217920" cy="749046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225ABE" w:rsidRPr="00BF20D3" w:rsidRDefault="00225ABE" w:rsidP="00420CBD"/>
    <w:p w:rsidR="00A67B1C" w:rsidRPr="00BF20D3" w:rsidRDefault="00225ABE" w:rsidP="00420CBD">
      <w:r w:rsidRPr="00BF20D3">
        <w:rPr>
          <w:noProof/>
          <w:lang w:eastAsia="en-AU"/>
        </w:rPr>
        <w:lastRenderedPageBreak/>
        <w:drawing>
          <wp:inline distT="0" distB="0" distL="0" distR="0" wp14:anchorId="093122BC" wp14:editId="3D0E355A">
            <wp:extent cx="5867400" cy="9341485"/>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225ABE" w:rsidRPr="00BF20D3" w:rsidRDefault="00A67B1C" w:rsidP="00420CBD">
      <w:r w:rsidRPr="00BF20D3">
        <w:rPr>
          <w:noProof/>
          <w:lang w:eastAsia="en-AU"/>
        </w:rPr>
        <w:lastRenderedPageBreak/>
        <w:drawing>
          <wp:inline distT="0" distB="0" distL="0" distR="0" wp14:anchorId="65219A3B" wp14:editId="5526AFC9">
            <wp:extent cx="6193155" cy="8755380"/>
            <wp:effectExtent l="0" t="0" r="0" b="762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Pr="00BF20D3">
        <w:rPr>
          <w:noProof/>
          <w:lang w:eastAsia="en-AU"/>
        </w:rPr>
        <w:t xml:space="preserve"> </w:t>
      </w:r>
      <w:r w:rsidRPr="00BF20D3">
        <w:rPr>
          <w:noProof/>
          <w:lang w:eastAsia="en-AU"/>
        </w:rPr>
        <w:lastRenderedPageBreak/>
        <w:drawing>
          <wp:inline distT="0" distB="0" distL="0" distR="0" wp14:anchorId="48329081" wp14:editId="56DE8093">
            <wp:extent cx="5696585" cy="9341485"/>
            <wp:effectExtent l="0" t="0" r="18415" b="1206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3949A3" w:rsidRPr="0014025C" w:rsidRDefault="0054382A" w:rsidP="003C4829">
      <w:pPr>
        <w:pStyle w:val="Heading2numbered"/>
        <w:rPr>
          <w:color w:val="002060"/>
        </w:rPr>
      </w:pPr>
      <w:bookmarkStart w:id="58" w:name="_Toc458605173"/>
      <w:r w:rsidRPr="0014025C">
        <w:rPr>
          <w:color w:val="002060"/>
        </w:rPr>
        <w:lastRenderedPageBreak/>
        <w:t>Unemployment</w:t>
      </w:r>
      <w:bookmarkEnd w:id="56"/>
      <w:bookmarkEnd w:id="58"/>
      <w:r w:rsidRPr="0014025C">
        <w:rPr>
          <w:color w:val="002060"/>
        </w:rPr>
        <w:t xml:space="preserve"> </w:t>
      </w:r>
    </w:p>
    <w:p w:rsidR="0050486F" w:rsidRPr="00BF20D3" w:rsidRDefault="0054382A" w:rsidP="003565F0">
      <w:pPr>
        <w:rPr>
          <w:sz w:val="20"/>
        </w:rPr>
      </w:pPr>
      <w:r w:rsidRPr="00BF20D3">
        <w:rPr>
          <w:sz w:val="20"/>
        </w:rPr>
        <w:t>The lates</w:t>
      </w:r>
      <w:r w:rsidR="00CC1CB6" w:rsidRPr="00BF20D3">
        <w:rPr>
          <w:sz w:val="20"/>
        </w:rPr>
        <w:t>t</w:t>
      </w:r>
      <w:r w:rsidR="00666B54" w:rsidRPr="00BF20D3">
        <w:rPr>
          <w:sz w:val="20"/>
        </w:rPr>
        <w:t xml:space="preserve"> ABS labour force data (June</w:t>
      </w:r>
      <w:r w:rsidR="000850CD" w:rsidRPr="00BF20D3">
        <w:rPr>
          <w:sz w:val="20"/>
        </w:rPr>
        <w:t xml:space="preserve"> 2016</w:t>
      </w:r>
      <w:r w:rsidRPr="00BF20D3">
        <w:rPr>
          <w:sz w:val="20"/>
        </w:rPr>
        <w:t xml:space="preserve">) puts Victoria’s </w:t>
      </w:r>
      <w:r w:rsidR="00716793">
        <w:rPr>
          <w:sz w:val="20"/>
        </w:rPr>
        <w:t>u</w:t>
      </w:r>
      <w:r w:rsidRPr="00BF20D3">
        <w:rPr>
          <w:sz w:val="20"/>
        </w:rPr>
        <w:t>nemployment</w:t>
      </w:r>
      <w:r w:rsidR="00CC1CB6" w:rsidRPr="00BF20D3">
        <w:rPr>
          <w:sz w:val="20"/>
        </w:rPr>
        <w:t xml:space="preserve"> rate at </w:t>
      </w:r>
      <w:r w:rsidR="000850CD" w:rsidRPr="00BF20D3">
        <w:rPr>
          <w:sz w:val="20"/>
        </w:rPr>
        <w:t>5.7</w:t>
      </w:r>
      <w:r w:rsidR="001C3970" w:rsidRPr="00BF20D3">
        <w:rPr>
          <w:sz w:val="20"/>
        </w:rPr>
        <w:t>%</w:t>
      </w:r>
      <w:r w:rsidR="00716793">
        <w:rPr>
          <w:sz w:val="20"/>
        </w:rPr>
        <w:t>,</w:t>
      </w:r>
      <w:r w:rsidR="00666B54" w:rsidRPr="00BF20D3">
        <w:rPr>
          <w:sz w:val="20"/>
        </w:rPr>
        <w:t xml:space="preserve"> having decreased from 6</w:t>
      </w:r>
      <w:r w:rsidR="001C3970" w:rsidRPr="00BF20D3">
        <w:rPr>
          <w:sz w:val="20"/>
        </w:rPr>
        <w:t xml:space="preserve">% in </w:t>
      </w:r>
      <w:r w:rsidR="00666B54" w:rsidRPr="00BF20D3">
        <w:rPr>
          <w:sz w:val="20"/>
        </w:rPr>
        <w:t>June</w:t>
      </w:r>
      <w:r w:rsidR="001C3970" w:rsidRPr="00BF20D3">
        <w:rPr>
          <w:sz w:val="20"/>
        </w:rPr>
        <w:t xml:space="preserve"> 201</w:t>
      </w:r>
      <w:r w:rsidR="000850CD" w:rsidRPr="00BF20D3">
        <w:rPr>
          <w:sz w:val="20"/>
        </w:rPr>
        <w:t>5</w:t>
      </w:r>
      <w:r w:rsidR="001C3970" w:rsidRPr="00BF20D3">
        <w:rPr>
          <w:sz w:val="20"/>
        </w:rPr>
        <w:t>.</w:t>
      </w:r>
      <w:r w:rsidR="0050486F" w:rsidRPr="00BF20D3">
        <w:rPr>
          <w:sz w:val="20"/>
        </w:rPr>
        <w:t xml:space="preserve">  </w:t>
      </w:r>
    </w:p>
    <w:p w:rsidR="0054382A" w:rsidRPr="00BF20D3" w:rsidRDefault="001C3970" w:rsidP="003565F0">
      <w:pPr>
        <w:rPr>
          <w:sz w:val="20"/>
        </w:rPr>
      </w:pPr>
      <w:r w:rsidRPr="00BF20D3">
        <w:rPr>
          <w:sz w:val="20"/>
        </w:rPr>
        <w:t>The Department of Employment produces labour market figures for smaller areas.</w:t>
      </w:r>
      <w:r w:rsidR="00966CC5" w:rsidRPr="00BF20D3">
        <w:rPr>
          <w:sz w:val="20"/>
        </w:rPr>
        <w:t xml:space="preserve"> </w:t>
      </w:r>
      <w:r w:rsidRPr="00BF20D3">
        <w:rPr>
          <w:sz w:val="20"/>
        </w:rPr>
        <w:t xml:space="preserve">The latest set released was for the </w:t>
      </w:r>
      <w:r w:rsidR="00666B54" w:rsidRPr="00BF20D3">
        <w:rPr>
          <w:sz w:val="20"/>
        </w:rPr>
        <w:t xml:space="preserve">March </w:t>
      </w:r>
      <w:r w:rsidRPr="00BF20D3">
        <w:rPr>
          <w:sz w:val="20"/>
        </w:rPr>
        <w:t>201</w:t>
      </w:r>
      <w:r w:rsidR="00666B54" w:rsidRPr="00BF20D3">
        <w:rPr>
          <w:sz w:val="20"/>
        </w:rPr>
        <w:t>6</w:t>
      </w:r>
      <w:r w:rsidRPr="00BF20D3">
        <w:rPr>
          <w:sz w:val="20"/>
        </w:rPr>
        <w:t xml:space="preserve"> quarter.</w:t>
      </w:r>
      <w:r w:rsidR="00966CC5" w:rsidRPr="00BF20D3">
        <w:rPr>
          <w:sz w:val="20"/>
        </w:rPr>
        <w:t xml:space="preserve"> </w:t>
      </w:r>
      <w:r w:rsidR="0050486F" w:rsidRPr="00BF20D3">
        <w:rPr>
          <w:sz w:val="20"/>
        </w:rPr>
        <w:t>Greater Dandenong ha</w:t>
      </w:r>
      <w:r w:rsidR="00E5387D" w:rsidRPr="00BF20D3">
        <w:rPr>
          <w:sz w:val="20"/>
        </w:rPr>
        <w:t>d</w:t>
      </w:r>
      <w:r w:rsidR="0050486F" w:rsidRPr="00BF20D3">
        <w:rPr>
          <w:sz w:val="20"/>
        </w:rPr>
        <w:t xml:space="preserve"> the highest unemployment rate </w:t>
      </w:r>
      <w:r w:rsidR="00966CC5" w:rsidRPr="00BF20D3">
        <w:rPr>
          <w:sz w:val="20"/>
        </w:rPr>
        <w:t>for a</w:t>
      </w:r>
      <w:r w:rsidR="00E5387D" w:rsidRPr="00BF20D3">
        <w:rPr>
          <w:sz w:val="20"/>
        </w:rPr>
        <w:t xml:space="preserve"> </w:t>
      </w:r>
      <w:r w:rsidR="00E76CF2" w:rsidRPr="00BF20D3">
        <w:rPr>
          <w:sz w:val="20"/>
        </w:rPr>
        <w:t>Local Government A</w:t>
      </w:r>
      <w:r w:rsidR="00966CC5" w:rsidRPr="00BF20D3">
        <w:rPr>
          <w:sz w:val="20"/>
        </w:rPr>
        <w:t xml:space="preserve">rea (LGAs) </w:t>
      </w:r>
      <w:r w:rsidR="0050486F" w:rsidRPr="00BF20D3">
        <w:rPr>
          <w:sz w:val="20"/>
        </w:rPr>
        <w:t>in</w:t>
      </w:r>
      <w:r w:rsidR="00E76CF2" w:rsidRPr="00BF20D3">
        <w:rPr>
          <w:sz w:val="20"/>
        </w:rPr>
        <w:t xml:space="preserve"> the </w:t>
      </w:r>
      <w:r w:rsidR="00716793">
        <w:rPr>
          <w:sz w:val="20"/>
        </w:rPr>
        <w:t>s</w:t>
      </w:r>
      <w:r w:rsidR="00E5387D" w:rsidRPr="00BF20D3">
        <w:rPr>
          <w:sz w:val="20"/>
        </w:rPr>
        <w:t xml:space="preserve">tate (12.3%) and </w:t>
      </w:r>
      <w:r w:rsidR="000850CD" w:rsidRPr="00BF20D3">
        <w:rPr>
          <w:sz w:val="20"/>
        </w:rPr>
        <w:t>Moyne</w:t>
      </w:r>
      <w:r w:rsidR="00E5387D" w:rsidRPr="00BF20D3">
        <w:rPr>
          <w:sz w:val="20"/>
        </w:rPr>
        <w:t xml:space="preserve"> had the lowest (</w:t>
      </w:r>
      <w:r w:rsidR="00666B54" w:rsidRPr="00BF20D3">
        <w:rPr>
          <w:sz w:val="20"/>
        </w:rPr>
        <w:t>2</w:t>
      </w:r>
      <w:r w:rsidR="00E5387D" w:rsidRPr="00BF20D3">
        <w:rPr>
          <w:sz w:val="20"/>
        </w:rPr>
        <w:t xml:space="preserve">%). Other areas with high rates were Brimbank and Central Goldfields.  </w:t>
      </w:r>
      <w:r w:rsidR="0050486F" w:rsidRPr="00BF20D3">
        <w:rPr>
          <w:sz w:val="20"/>
        </w:rPr>
        <w:t xml:space="preserve"> </w:t>
      </w:r>
      <w:r w:rsidRPr="00BF20D3">
        <w:rPr>
          <w:sz w:val="20"/>
        </w:rPr>
        <w:t xml:space="preserve"> </w:t>
      </w:r>
    </w:p>
    <w:p w:rsidR="00624593" w:rsidRPr="00BF20D3" w:rsidRDefault="00624593" w:rsidP="003565F0">
      <w:pPr>
        <w:rPr>
          <w:sz w:val="20"/>
        </w:rPr>
      </w:pPr>
      <w:r w:rsidRPr="00BF20D3">
        <w:rPr>
          <w:sz w:val="20"/>
        </w:rPr>
        <w:t xml:space="preserve">In terms of raw numbers of unemployed persons, </w:t>
      </w:r>
      <w:r w:rsidR="00807FEF" w:rsidRPr="00BF20D3">
        <w:rPr>
          <w:sz w:val="20"/>
        </w:rPr>
        <w:t xml:space="preserve">Casey and Brimbank both have over 10,000 unemployed people.  </w:t>
      </w:r>
      <w:r w:rsidR="00A75E5E" w:rsidRPr="00BF20D3">
        <w:rPr>
          <w:sz w:val="20"/>
        </w:rPr>
        <w:t>Some of the regional areas with high unemployment rates have small populations</w:t>
      </w:r>
      <w:r w:rsidR="00104188">
        <w:rPr>
          <w:sz w:val="20"/>
        </w:rPr>
        <w:t>,</w:t>
      </w:r>
      <w:r w:rsidR="00A75E5E" w:rsidRPr="00BF20D3">
        <w:rPr>
          <w:sz w:val="20"/>
        </w:rPr>
        <w:t xml:space="preserve"> so the actual number of unemployed people is quite low. </w:t>
      </w:r>
    </w:p>
    <w:p w:rsidR="00CD47B4" w:rsidRPr="00BF20D3" w:rsidRDefault="00CD47B4" w:rsidP="003565F0">
      <w:pPr>
        <w:rPr>
          <w:sz w:val="20"/>
        </w:rPr>
      </w:pPr>
      <w:r w:rsidRPr="00BF20D3">
        <w:rPr>
          <w:sz w:val="20"/>
        </w:rPr>
        <w:t>The unemployment rates are not evenly spread within</w:t>
      </w:r>
      <w:r w:rsidR="000F691A">
        <w:rPr>
          <w:sz w:val="20"/>
        </w:rPr>
        <w:t xml:space="preserve"> the</w:t>
      </w:r>
      <w:r w:rsidRPr="00BF20D3">
        <w:rPr>
          <w:sz w:val="20"/>
        </w:rPr>
        <w:t xml:space="preserve"> </w:t>
      </w:r>
      <w:r w:rsidR="00966CC5" w:rsidRPr="00BF20D3">
        <w:rPr>
          <w:sz w:val="20"/>
        </w:rPr>
        <w:t>LGAs</w:t>
      </w:r>
      <w:r w:rsidRPr="00BF20D3">
        <w:rPr>
          <w:sz w:val="20"/>
        </w:rPr>
        <w:t>.</w:t>
      </w:r>
      <w:r w:rsidR="00966CC5" w:rsidRPr="00BF20D3">
        <w:rPr>
          <w:sz w:val="20"/>
        </w:rPr>
        <w:t xml:space="preserve"> </w:t>
      </w:r>
      <w:r w:rsidRPr="00BF20D3">
        <w:rPr>
          <w:sz w:val="20"/>
        </w:rPr>
        <w:t>For example, Hume has an unemployment rate</w:t>
      </w:r>
      <w:r w:rsidR="000F691A">
        <w:rPr>
          <w:sz w:val="20"/>
        </w:rPr>
        <w:t xml:space="preserve"> of</w:t>
      </w:r>
      <w:r w:rsidRPr="00BF20D3">
        <w:rPr>
          <w:sz w:val="20"/>
        </w:rPr>
        <w:t xml:space="preserve"> 8.9% but </w:t>
      </w:r>
      <w:r w:rsidR="00104188">
        <w:rPr>
          <w:sz w:val="20"/>
        </w:rPr>
        <w:t xml:space="preserve">some suburbs, </w:t>
      </w:r>
      <w:r w:rsidRPr="00BF20D3">
        <w:rPr>
          <w:sz w:val="20"/>
        </w:rPr>
        <w:t>such as Broadmeadows</w:t>
      </w:r>
      <w:r w:rsidR="00104188">
        <w:rPr>
          <w:sz w:val="20"/>
        </w:rPr>
        <w:t>,</w:t>
      </w:r>
      <w:r w:rsidRPr="00BF20D3">
        <w:rPr>
          <w:sz w:val="20"/>
        </w:rPr>
        <w:t xml:space="preserve"> have unemployment above 20%</w:t>
      </w:r>
      <w:r w:rsidR="00104188">
        <w:rPr>
          <w:sz w:val="20"/>
        </w:rPr>
        <w:t>,</w:t>
      </w:r>
      <w:r w:rsidRPr="00BF20D3">
        <w:rPr>
          <w:sz w:val="20"/>
        </w:rPr>
        <w:t xml:space="preserve"> whereas Sunbury has a rate less than 5%. </w:t>
      </w:r>
      <w:r w:rsidR="00966CC5" w:rsidRPr="00BF20D3">
        <w:rPr>
          <w:sz w:val="20"/>
        </w:rPr>
        <w:t xml:space="preserve"> </w:t>
      </w:r>
      <w:r w:rsidRPr="00BF20D3">
        <w:rPr>
          <w:sz w:val="20"/>
        </w:rPr>
        <w:t>See maps in Appendix</w:t>
      </w:r>
      <w:r w:rsidR="00BE384F" w:rsidRPr="00BF20D3">
        <w:rPr>
          <w:sz w:val="20"/>
        </w:rPr>
        <w:t xml:space="preserve"> 3</w:t>
      </w:r>
      <w:r w:rsidRPr="00BF20D3">
        <w:rPr>
          <w:sz w:val="20"/>
        </w:rPr>
        <w:t xml:space="preserve"> for more examples. </w:t>
      </w:r>
    </w:p>
    <w:p w:rsidR="00C02544" w:rsidRPr="00BF20D3" w:rsidRDefault="00095C58" w:rsidP="003565F0">
      <w:pPr>
        <w:rPr>
          <w:sz w:val="20"/>
        </w:rPr>
      </w:pPr>
      <w:r w:rsidRPr="00BF20D3">
        <w:rPr>
          <w:noProof/>
          <w:lang w:eastAsia="en-AU"/>
        </w:rPr>
        <w:drawing>
          <wp:inline distT="0" distB="0" distL="0" distR="0" wp14:anchorId="243EB5C9" wp14:editId="7F81CD10">
            <wp:extent cx="6042660" cy="6568440"/>
            <wp:effectExtent l="0" t="0" r="0" b="381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C02544" w:rsidRPr="00BF20D3" w:rsidRDefault="00666B54" w:rsidP="003565F0">
      <w:pPr>
        <w:rPr>
          <w:sz w:val="20"/>
        </w:rPr>
      </w:pPr>
      <w:r w:rsidRPr="00BF20D3">
        <w:rPr>
          <w:noProof/>
          <w:lang w:eastAsia="en-AU"/>
        </w:rPr>
        <w:lastRenderedPageBreak/>
        <w:drawing>
          <wp:inline distT="0" distB="0" distL="0" distR="0" wp14:anchorId="39D04767" wp14:editId="0E6A2FEC">
            <wp:extent cx="6088380" cy="9288780"/>
            <wp:effectExtent l="0" t="0" r="7620" b="762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C02544" w:rsidRPr="00BF20D3" w:rsidRDefault="00087737" w:rsidP="003565F0">
      <w:pPr>
        <w:rPr>
          <w:sz w:val="20"/>
        </w:rPr>
      </w:pPr>
      <w:r w:rsidRPr="00BF20D3">
        <w:rPr>
          <w:noProof/>
          <w:lang w:eastAsia="en-AU"/>
        </w:rPr>
        <w:lastRenderedPageBreak/>
        <w:drawing>
          <wp:inline distT="0" distB="0" distL="0" distR="0" wp14:anchorId="76820110" wp14:editId="1BC7BF41">
            <wp:extent cx="6209665" cy="8846820"/>
            <wp:effectExtent l="0" t="0" r="635"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C02544" w:rsidRPr="00BF20D3" w:rsidRDefault="00087737" w:rsidP="003565F0">
      <w:pPr>
        <w:rPr>
          <w:sz w:val="20"/>
        </w:rPr>
      </w:pPr>
      <w:r w:rsidRPr="00BF20D3">
        <w:rPr>
          <w:noProof/>
          <w:lang w:eastAsia="en-AU"/>
        </w:rPr>
        <w:lastRenderedPageBreak/>
        <w:drawing>
          <wp:inline distT="0" distB="0" distL="0" distR="0" wp14:anchorId="1A606F94" wp14:editId="6B7FE97F">
            <wp:extent cx="6332220" cy="9174480"/>
            <wp:effectExtent l="0" t="0" r="0" b="762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C02544" w:rsidRPr="00BF20D3" w:rsidRDefault="00C02544" w:rsidP="003565F0">
      <w:pPr>
        <w:rPr>
          <w:noProof/>
          <w:sz w:val="20"/>
          <w:lang w:eastAsia="en-AU"/>
        </w:rPr>
      </w:pPr>
      <w:r w:rsidRPr="00BF20D3">
        <w:rPr>
          <w:noProof/>
          <w:sz w:val="20"/>
          <w:lang w:eastAsia="en-AU"/>
        </w:rPr>
        <w:lastRenderedPageBreak/>
        <w:t xml:space="preserve"> </w:t>
      </w:r>
      <w:r w:rsidR="008A519F" w:rsidRPr="00BF20D3">
        <w:rPr>
          <w:noProof/>
          <w:lang w:eastAsia="en-AU"/>
        </w:rPr>
        <w:drawing>
          <wp:inline distT="0" distB="0" distL="0" distR="0" wp14:anchorId="26C31B6A" wp14:editId="2BC96756">
            <wp:extent cx="6134100" cy="8869680"/>
            <wp:effectExtent l="0" t="0" r="0" b="7620"/>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385888" w:rsidRPr="00BF20D3" w:rsidRDefault="00385888" w:rsidP="00385888">
      <w:pPr>
        <w:pStyle w:val="ListParagraph"/>
        <w:rPr>
          <w:sz w:val="20"/>
        </w:rPr>
      </w:pPr>
    </w:p>
    <w:p w:rsidR="008F6150" w:rsidRPr="00BF20D3" w:rsidRDefault="008A519F" w:rsidP="00463F52">
      <w:pPr>
        <w:pStyle w:val="ListParagraph"/>
        <w:rPr>
          <w:b/>
          <w:sz w:val="20"/>
        </w:rPr>
      </w:pPr>
      <w:r w:rsidRPr="00BF20D3">
        <w:rPr>
          <w:noProof/>
          <w:lang w:eastAsia="en-AU"/>
        </w:rPr>
        <w:lastRenderedPageBreak/>
        <w:drawing>
          <wp:inline distT="0" distB="0" distL="0" distR="0" wp14:anchorId="3DCB5183" wp14:editId="4D98C4C8">
            <wp:extent cx="5852160" cy="9189720"/>
            <wp:effectExtent l="0" t="0" r="0" b="0"/>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008F6150" w:rsidRPr="00BF20D3">
        <w:rPr>
          <w:b/>
          <w:sz w:val="20"/>
        </w:rPr>
        <w:br w:type="page"/>
      </w:r>
    </w:p>
    <w:p w:rsidR="000604EE" w:rsidRPr="0014025C" w:rsidRDefault="000604EE" w:rsidP="003C4829">
      <w:pPr>
        <w:pStyle w:val="Heading2numbered"/>
        <w:rPr>
          <w:color w:val="002060"/>
        </w:rPr>
      </w:pPr>
      <w:bookmarkStart w:id="59" w:name="_Toc458605174"/>
      <w:r w:rsidRPr="0014025C">
        <w:rPr>
          <w:color w:val="002060"/>
        </w:rPr>
        <w:lastRenderedPageBreak/>
        <w:t>Employment Mix of Victoria</w:t>
      </w:r>
      <w:bookmarkEnd w:id="59"/>
    </w:p>
    <w:p w:rsidR="00341351" w:rsidRPr="00BF20D3" w:rsidRDefault="000604EE" w:rsidP="003565F0">
      <w:pPr>
        <w:rPr>
          <w:sz w:val="20"/>
        </w:rPr>
      </w:pPr>
      <w:r w:rsidRPr="00BF20D3">
        <w:rPr>
          <w:sz w:val="20"/>
        </w:rPr>
        <w:t xml:space="preserve">The largest industry sector of the Victorian Labour Force is </w:t>
      </w:r>
      <w:r w:rsidR="00962092">
        <w:rPr>
          <w:sz w:val="20"/>
        </w:rPr>
        <w:t>h</w:t>
      </w:r>
      <w:r w:rsidRPr="00BF20D3">
        <w:rPr>
          <w:sz w:val="20"/>
        </w:rPr>
        <w:t xml:space="preserve">ealth </w:t>
      </w:r>
      <w:r w:rsidR="00962092">
        <w:rPr>
          <w:sz w:val="20"/>
        </w:rPr>
        <w:t>c</w:t>
      </w:r>
      <w:r w:rsidRPr="00BF20D3">
        <w:rPr>
          <w:sz w:val="20"/>
        </w:rPr>
        <w:t xml:space="preserve">are and </w:t>
      </w:r>
      <w:r w:rsidR="00962092">
        <w:rPr>
          <w:sz w:val="20"/>
        </w:rPr>
        <w:t>s</w:t>
      </w:r>
      <w:r w:rsidR="00356C36" w:rsidRPr="00BF20D3">
        <w:rPr>
          <w:sz w:val="20"/>
        </w:rPr>
        <w:t xml:space="preserve">ocial </w:t>
      </w:r>
      <w:r w:rsidR="00962092">
        <w:rPr>
          <w:sz w:val="20"/>
        </w:rPr>
        <w:t>a</w:t>
      </w:r>
      <w:r w:rsidR="00356C36" w:rsidRPr="00BF20D3">
        <w:rPr>
          <w:sz w:val="20"/>
        </w:rPr>
        <w:t>ssistance</w:t>
      </w:r>
      <w:r w:rsidR="00962092">
        <w:rPr>
          <w:sz w:val="20"/>
        </w:rPr>
        <w:t>,</w:t>
      </w:r>
      <w:r w:rsidR="00356C36" w:rsidRPr="00BF20D3">
        <w:rPr>
          <w:sz w:val="20"/>
        </w:rPr>
        <w:t xml:space="preserve"> with </w:t>
      </w:r>
      <w:r w:rsidR="002D7483" w:rsidRPr="00BF20D3">
        <w:rPr>
          <w:sz w:val="20"/>
        </w:rPr>
        <w:t>almost 400</w:t>
      </w:r>
      <w:r w:rsidRPr="00BF20D3">
        <w:rPr>
          <w:sz w:val="20"/>
        </w:rPr>
        <w:t xml:space="preserve">,000 workers. Retail is the second largest sector in the state. Despite </w:t>
      </w:r>
      <w:r w:rsidR="00ED1847" w:rsidRPr="00BF20D3">
        <w:rPr>
          <w:sz w:val="20"/>
        </w:rPr>
        <w:t>the difficulties facing this sector</w:t>
      </w:r>
      <w:r w:rsidRPr="00BF20D3">
        <w:rPr>
          <w:sz w:val="20"/>
        </w:rPr>
        <w:t>,</w:t>
      </w:r>
      <w:r w:rsidR="00356C36" w:rsidRPr="00BF20D3">
        <w:rPr>
          <w:sz w:val="20"/>
        </w:rPr>
        <w:t xml:space="preserve"> </w:t>
      </w:r>
      <w:r w:rsidR="00962092">
        <w:rPr>
          <w:sz w:val="20"/>
        </w:rPr>
        <w:t>m</w:t>
      </w:r>
      <w:r w:rsidR="00356C36" w:rsidRPr="00BF20D3">
        <w:rPr>
          <w:sz w:val="20"/>
        </w:rPr>
        <w:t xml:space="preserve">anufacturing remains the </w:t>
      </w:r>
      <w:r w:rsidR="00962092">
        <w:rPr>
          <w:sz w:val="20"/>
        </w:rPr>
        <w:t xml:space="preserve">fourth </w:t>
      </w:r>
      <w:r w:rsidRPr="00BF20D3">
        <w:rPr>
          <w:sz w:val="20"/>
        </w:rPr>
        <w:t>largest sector of the economy</w:t>
      </w:r>
      <w:r w:rsidR="00962092">
        <w:rPr>
          <w:sz w:val="20"/>
        </w:rPr>
        <w:t>,</w:t>
      </w:r>
      <w:r w:rsidRPr="00BF20D3">
        <w:rPr>
          <w:sz w:val="20"/>
        </w:rPr>
        <w:t xml:space="preserve"> with over a quarter of a million workers. </w:t>
      </w:r>
    </w:p>
    <w:p w:rsidR="000604EE" w:rsidRPr="00BF20D3" w:rsidRDefault="00341351" w:rsidP="003565F0">
      <w:pPr>
        <w:rPr>
          <w:sz w:val="20"/>
        </w:rPr>
      </w:pPr>
      <w:r w:rsidRPr="00BF20D3">
        <w:rPr>
          <w:sz w:val="20"/>
        </w:rPr>
        <w:t xml:space="preserve">Victoria has very few people directly employed in the mining sector, unlike many other states. </w:t>
      </w:r>
      <w:r w:rsidR="000604EE" w:rsidRPr="00BF20D3">
        <w:rPr>
          <w:sz w:val="20"/>
        </w:rPr>
        <w:t xml:space="preserve">  </w:t>
      </w:r>
    </w:p>
    <w:p w:rsidR="008150A9" w:rsidRPr="00BF20D3" w:rsidRDefault="002D7483" w:rsidP="003565F0">
      <w:pPr>
        <w:rPr>
          <w:sz w:val="20"/>
          <w14:textOutline w14:w="3175" w14:cap="rnd" w14:cmpd="sng" w14:algn="ctr">
            <w14:solidFill>
              <w14:schemeClr w14:val="tx1"/>
            </w14:solidFill>
            <w14:prstDash w14:val="solid"/>
            <w14:bevel/>
          </w14:textOutline>
        </w:rPr>
      </w:pPr>
      <w:r w:rsidRPr="00BF20D3">
        <w:rPr>
          <w:noProof/>
          <w:lang w:eastAsia="en-AU"/>
        </w:rPr>
        <w:drawing>
          <wp:inline distT="0" distB="0" distL="0" distR="0" wp14:anchorId="0B3831D2" wp14:editId="2F66F91B">
            <wp:extent cx="6209665" cy="6320790"/>
            <wp:effectExtent l="0" t="0" r="635" b="381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A54DA9" w:rsidRPr="00BF20D3" w:rsidRDefault="00A54DA9" w:rsidP="003565F0">
      <w:pPr>
        <w:rPr>
          <w:sz w:val="20"/>
        </w:rPr>
      </w:pPr>
    </w:p>
    <w:p w:rsidR="00A54DA9" w:rsidRPr="00BF20D3" w:rsidRDefault="00A54DA9" w:rsidP="003565F0">
      <w:pPr>
        <w:rPr>
          <w:sz w:val="20"/>
        </w:rPr>
      </w:pPr>
    </w:p>
    <w:p w:rsidR="00A54DA9" w:rsidRPr="00BF20D3" w:rsidRDefault="00A54DA9">
      <w:pPr>
        <w:rPr>
          <w:sz w:val="20"/>
        </w:rPr>
      </w:pPr>
      <w:r w:rsidRPr="00BF20D3">
        <w:rPr>
          <w:sz w:val="20"/>
        </w:rPr>
        <w:br w:type="page"/>
      </w:r>
    </w:p>
    <w:p w:rsidR="00611DB4" w:rsidRPr="00BF20D3" w:rsidRDefault="00611DB4">
      <w:pPr>
        <w:rPr>
          <w:sz w:val="20"/>
        </w:rPr>
      </w:pPr>
      <w:r w:rsidRPr="00BF20D3">
        <w:rPr>
          <w:sz w:val="20"/>
        </w:rPr>
        <w:lastRenderedPageBreak/>
        <w:br w:type="page"/>
      </w:r>
    </w:p>
    <w:p w:rsidR="00ED1847" w:rsidRPr="0014025C" w:rsidRDefault="00ED1847" w:rsidP="003C4829">
      <w:pPr>
        <w:pStyle w:val="Heading1"/>
        <w:rPr>
          <w:color w:val="002060"/>
        </w:rPr>
      </w:pPr>
      <w:bookmarkStart w:id="60" w:name="_Toc458605175"/>
      <w:r w:rsidRPr="0014025C">
        <w:rPr>
          <w:color w:val="002060"/>
        </w:rPr>
        <w:lastRenderedPageBreak/>
        <w:t>APPENDICES</w:t>
      </w:r>
      <w:bookmarkEnd w:id="60"/>
    </w:p>
    <w:p w:rsidR="00A54DA9" w:rsidRPr="0014025C" w:rsidRDefault="00A54DA9" w:rsidP="002A47D7">
      <w:pPr>
        <w:pStyle w:val="Appendicesnumbered"/>
        <w:rPr>
          <w:color w:val="002060"/>
        </w:rPr>
      </w:pPr>
      <w:r w:rsidRPr="0014025C">
        <w:rPr>
          <w:color w:val="002060"/>
        </w:rPr>
        <w:t>Appendix 1 – Building Approvals for 2014-15</w:t>
      </w:r>
    </w:p>
    <w:p w:rsidR="00A54DA9" w:rsidRPr="00BF20D3" w:rsidRDefault="00A54DA9" w:rsidP="003565F0">
      <w:pPr>
        <w:rPr>
          <w:sz w:val="20"/>
        </w:rPr>
      </w:pPr>
      <w:r w:rsidRPr="00BF20D3">
        <w:rPr>
          <w:sz w:val="20"/>
        </w:rPr>
        <w:t xml:space="preserve"> </w:t>
      </w:r>
      <w:r w:rsidRPr="00BF20D3">
        <w:rPr>
          <w:noProof/>
          <w:sz w:val="20"/>
          <w:lang w:eastAsia="en-AU"/>
        </w:rPr>
        <w:drawing>
          <wp:inline distT="0" distB="0" distL="0" distR="0" wp14:anchorId="4AFB025A" wp14:editId="1A960DEA">
            <wp:extent cx="6385560" cy="7629753"/>
            <wp:effectExtent l="0" t="0" r="0"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A54DA9" w:rsidRPr="00BF20D3" w:rsidRDefault="00A54DA9" w:rsidP="003565F0">
      <w:pPr>
        <w:rPr>
          <w:sz w:val="20"/>
        </w:rPr>
      </w:pPr>
      <w:r w:rsidRPr="00BF20D3">
        <w:rPr>
          <w:noProof/>
          <w:sz w:val="20"/>
          <w:lang w:eastAsia="en-AU"/>
        </w:rPr>
        <w:lastRenderedPageBreak/>
        <w:drawing>
          <wp:inline distT="0" distB="0" distL="0" distR="0" wp14:anchorId="09A08DF9" wp14:editId="6F733344">
            <wp:extent cx="6309360" cy="8633460"/>
            <wp:effectExtent l="0" t="0" r="0" b="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A54DA9" w:rsidRPr="00BF20D3" w:rsidRDefault="00A54DA9" w:rsidP="003565F0">
      <w:pPr>
        <w:rPr>
          <w:sz w:val="20"/>
        </w:rPr>
      </w:pPr>
      <w:r w:rsidRPr="00BF20D3">
        <w:rPr>
          <w:noProof/>
          <w:sz w:val="20"/>
          <w:lang w:eastAsia="en-AU"/>
        </w:rPr>
        <w:lastRenderedPageBreak/>
        <w:drawing>
          <wp:inline distT="0" distB="0" distL="0" distR="0" wp14:anchorId="31829F2E" wp14:editId="7B217BB4">
            <wp:extent cx="6286500" cy="9022080"/>
            <wp:effectExtent l="0" t="0" r="0" b="762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A54DA9" w:rsidRPr="00BF20D3" w:rsidRDefault="00A54DA9" w:rsidP="003565F0">
      <w:pPr>
        <w:rPr>
          <w:sz w:val="20"/>
        </w:rPr>
      </w:pPr>
      <w:r w:rsidRPr="00BF20D3">
        <w:rPr>
          <w:noProof/>
          <w:sz w:val="20"/>
          <w:lang w:eastAsia="en-AU"/>
        </w:rPr>
        <w:lastRenderedPageBreak/>
        <w:drawing>
          <wp:inline distT="0" distB="0" distL="0" distR="0" wp14:anchorId="4E9399FB" wp14:editId="0F871A1D">
            <wp:extent cx="6080760" cy="9006840"/>
            <wp:effectExtent l="0" t="0" r="0" b="381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A54DA9" w:rsidRPr="00BF20D3" w:rsidRDefault="00A54DA9" w:rsidP="003565F0">
      <w:pPr>
        <w:rPr>
          <w:sz w:val="20"/>
        </w:rPr>
      </w:pPr>
      <w:r w:rsidRPr="00BF20D3">
        <w:rPr>
          <w:noProof/>
          <w:sz w:val="20"/>
          <w:lang w:eastAsia="en-AU"/>
        </w:rPr>
        <w:lastRenderedPageBreak/>
        <w:drawing>
          <wp:inline distT="0" distB="0" distL="0" distR="0" wp14:anchorId="4D017B8A" wp14:editId="4CED2F07">
            <wp:extent cx="6195060" cy="9174480"/>
            <wp:effectExtent l="0" t="0" r="0" b="762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A54DA9" w:rsidRPr="00BF20D3" w:rsidRDefault="00A54DA9" w:rsidP="003565F0">
      <w:pPr>
        <w:rPr>
          <w:sz w:val="20"/>
        </w:rPr>
      </w:pPr>
      <w:r w:rsidRPr="00BF20D3">
        <w:rPr>
          <w:noProof/>
          <w:sz w:val="20"/>
          <w:lang w:eastAsia="en-AU"/>
        </w:rPr>
        <w:lastRenderedPageBreak/>
        <w:drawing>
          <wp:inline distT="0" distB="0" distL="0" distR="0" wp14:anchorId="42320DD6" wp14:editId="1549B2F8">
            <wp:extent cx="6103620" cy="8983980"/>
            <wp:effectExtent l="0" t="0" r="0" b="762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A54DA9" w:rsidRPr="00BF20D3" w:rsidRDefault="00A54DA9" w:rsidP="003565F0">
      <w:pPr>
        <w:rPr>
          <w:sz w:val="20"/>
        </w:rPr>
      </w:pPr>
      <w:r w:rsidRPr="00BF20D3">
        <w:rPr>
          <w:noProof/>
          <w:sz w:val="20"/>
          <w:lang w:eastAsia="en-AU"/>
        </w:rPr>
        <w:lastRenderedPageBreak/>
        <w:drawing>
          <wp:inline distT="0" distB="0" distL="0" distR="0" wp14:anchorId="4763A0F8" wp14:editId="542331DE">
            <wp:extent cx="6145530" cy="8976360"/>
            <wp:effectExtent l="0" t="0" r="7620" b="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A54DA9" w:rsidRPr="00BF20D3" w:rsidRDefault="00A54DA9" w:rsidP="003565F0">
      <w:pPr>
        <w:rPr>
          <w:sz w:val="20"/>
        </w:rPr>
      </w:pPr>
      <w:r w:rsidRPr="00BF20D3">
        <w:rPr>
          <w:noProof/>
          <w:sz w:val="20"/>
          <w:lang w:eastAsia="en-AU"/>
        </w:rPr>
        <w:lastRenderedPageBreak/>
        <w:drawing>
          <wp:inline distT="0" distB="0" distL="0" distR="0" wp14:anchorId="653D0171" wp14:editId="706D2630">
            <wp:extent cx="6294120" cy="9136380"/>
            <wp:effectExtent l="0" t="0" r="0" b="762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A54DA9" w:rsidRPr="00BF20D3" w:rsidRDefault="00A54DA9" w:rsidP="003565F0">
      <w:pPr>
        <w:rPr>
          <w:sz w:val="20"/>
        </w:rPr>
      </w:pPr>
      <w:r w:rsidRPr="00BF20D3">
        <w:rPr>
          <w:noProof/>
          <w:sz w:val="20"/>
          <w:lang w:eastAsia="en-AU"/>
        </w:rPr>
        <w:lastRenderedPageBreak/>
        <w:drawing>
          <wp:inline distT="0" distB="0" distL="0" distR="0" wp14:anchorId="265EECFC" wp14:editId="22B6489B">
            <wp:extent cx="6217920" cy="8915400"/>
            <wp:effectExtent l="0" t="0" r="0" b="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Pr="00BF20D3">
        <w:rPr>
          <w:noProof/>
          <w:sz w:val="20"/>
          <w:lang w:eastAsia="en-AU"/>
        </w:rPr>
        <w:lastRenderedPageBreak/>
        <w:drawing>
          <wp:inline distT="0" distB="0" distL="0" distR="0" wp14:anchorId="460C199B" wp14:editId="593F2B18">
            <wp:extent cx="6339840" cy="9151620"/>
            <wp:effectExtent l="0" t="0" r="3810" b="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B4038E" w:rsidRPr="0014025C" w:rsidRDefault="00B4038E" w:rsidP="00B4038E">
      <w:pPr>
        <w:pStyle w:val="Appendicesnumbered"/>
        <w:rPr>
          <w:color w:val="002060"/>
        </w:rPr>
      </w:pPr>
      <w:r w:rsidRPr="0014025C">
        <w:rPr>
          <w:color w:val="002060"/>
        </w:rPr>
        <w:lastRenderedPageBreak/>
        <w:t>Appendix 2 – LGA POPULATIONS June 30 2015</w:t>
      </w:r>
    </w:p>
    <w:p w:rsidR="00182BCD" w:rsidRPr="00BF20D3" w:rsidRDefault="00B4038E" w:rsidP="003565F0">
      <w:pPr>
        <w:rPr>
          <w:sz w:val="20"/>
        </w:rPr>
      </w:pPr>
      <w:r w:rsidRPr="00BF20D3">
        <w:rPr>
          <w:noProof/>
          <w:lang w:eastAsia="en-AU"/>
        </w:rPr>
        <w:drawing>
          <wp:inline distT="0" distB="0" distL="0" distR="0" wp14:anchorId="7FBDF1F9" wp14:editId="33A34C74">
            <wp:extent cx="6035040" cy="8808720"/>
            <wp:effectExtent l="0" t="0" r="381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B4038E" w:rsidRPr="00BF20D3" w:rsidRDefault="00B4038E" w:rsidP="003565F0">
      <w:pPr>
        <w:rPr>
          <w:sz w:val="20"/>
        </w:rPr>
      </w:pPr>
      <w:r w:rsidRPr="00BF20D3">
        <w:rPr>
          <w:noProof/>
          <w:lang w:eastAsia="en-AU"/>
        </w:rPr>
        <w:lastRenderedPageBreak/>
        <w:drawing>
          <wp:inline distT="0" distB="0" distL="0" distR="0" wp14:anchorId="1D7118EA" wp14:editId="1885B29D">
            <wp:extent cx="6209665" cy="9235440"/>
            <wp:effectExtent l="0" t="0" r="635" b="381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7545C6" w:rsidRPr="0014025C" w:rsidRDefault="007545C6" w:rsidP="007545C6">
      <w:pPr>
        <w:pStyle w:val="Appendicesnumbered"/>
        <w:rPr>
          <w:color w:val="002060"/>
        </w:rPr>
      </w:pPr>
      <w:r w:rsidRPr="0014025C">
        <w:rPr>
          <w:color w:val="002060"/>
        </w:rPr>
        <w:lastRenderedPageBreak/>
        <w:t>Appendix 3 – Cordell Connect Projects by LGA</w:t>
      </w:r>
    </w:p>
    <w:p w:rsidR="007545C6" w:rsidRPr="00BF20D3" w:rsidRDefault="00D922BB" w:rsidP="003565F0">
      <w:pPr>
        <w:rPr>
          <w:sz w:val="20"/>
        </w:rPr>
      </w:pPr>
      <w:r w:rsidRPr="00BF20D3">
        <w:rPr>
          <w:noProof/>
          <w:lang w:eastAsia="en-AU"/>
        </w:rPr>
        <w:drawing>
          <wp:inline distT="0" distB="0" distL="0" distR="0" wp14:anchorId="2E2D5537" wp14:editId="0E29AAEA">
            <wp:extent cx="6209665" cy="8892540"/>
            <wp:effectExtent l="0" t="0" r="635" b="381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62285A" w:rsidRPr="00BF20D3" w:rsidRDefault="00D922BB" w:rsidP="003565F0">
      <w:pPr>
        <w:rPr>
          <w:sz w:val="20"/>
        </w:rPr>
      </w:pPr>
      <w:r w:rsidRPr="00BF20D3">
        <w:rPr>
          <w:noProof/>
          <w:lang w:eastAsia="en-AU"/>
        </w:rPr>
        <w:lastRenderedPageBreak/>
        <w:drawing>
          <wp:inline distT="0" distB="0" distL="0" distR="0" wp14:anchorId="3DB8A4A7" wp14:editId="09BD3757">
            <wp:extent cx="6209665" cy="9273540"/>
            <wp:effectExtent l="0" t="0" r="635" b="381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62285A" w:rsidRPr="00BF20D3" w:rsidRDefault="00D922BB" w:rsidP="003565F0">
      <w:pPr>
        <w:rPr>
          <w:sz w:val="20"/>
        </w:rPr>
      </w:pPr>
      <w:r w:rsidRPr="00BF20D3">
        <w:rPr>
          <w:noProof/>
          <w:lang w:eastAsia="en-AU"/>
        </w:rPr>
        <w:lastRenderedPageBreak/>
        <w:drawing>
          <wp:inline distT="0" distB="0" distL="0" distR="0" wp14:anchorId="64257C4C" wp14:editId="6775D589">
            <wp:extent cx="6209665" cy="9182100"/>
            <wp:effectExtent l="0" t="0" r="635" b="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625153" w:rsidRPr="00BF20D3" w:rsidRDefault="00D922BB" w:rsidP="003565F0">
      <w:pPr>
        <w:rPr>
          <w:sz w:val="20"/>
        </w:rPr>
      </w:pPr>
      <w:r w:rsidRPr="00BF20D3">
        <w:rPr>
          <w:noProof/>
          <w:lang w:eastAsia="en-AU"/>
        </w:rPr>
        <w:lastRenderedPageBreak/>
        <w:drawing>
          <wp:inline distT="0" distB="0" distL="0" distR="0" wp14:anchorId="540DB35D" wp14:editId="59454C4F">
            <wp:extent cx="6209665" cy="9256395"/>
            <wp:effectExtent l="0" t="0" r="635" b="1905"/>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625153" w:rsidRPr="00BF20D3" w:rsidRDefault="0014025C" w:rsidP="00D922BB">
      <w:pPr>
        <w:pStyle w:val="Appendicesnumbered"/>
        <w:rPr>
          <w:sz w:val="20"/>
        </w:rPr>
      </w:pPr>
      <w:r>
        <w:rPr>
          <w:color w:val="002060"/>
        </w:rPr>
        <w:lastRenderedPageBreak/>
        <w:t>Appendix 4</w:t>
      </w:r>
      <w:r w:rsidR="00D922BB" w:rsidRPr="0014025C">
        <w:rPr>
          <w:color w:val="002060"/>
        </w:rPr>
        <w:t xml:space="preserve"> – Property Sales 2015</w:t>
      </w:r>
      <w:r w:rsidR="00625153" w:rsidRPr="00BF20D3">
        <w:rPr>
          <w:noProof/>
          <w:lang w:eastAsia="en-AU"/>
        </w:rPr>
        <w:drawing>
          <wp:inline distT="0" distB="0" distL="0" distR="0" wp14:anchorId="658E9239" wp14:editId="298C6FF9">
            <wp:extent cx="6134100" cy="8938260"/>
            <wp:effectExtent l="0" t="0" r="0" b="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sidR="00625153" w:rsidRPr="00BF20D3">
        <w:rPr>
          <w:noProof/>
          <w:lang w:eastAsia="en-AU"/>
        </w:rPr>
        <w:lastRenderedPageBreak/>
        <w:drawing>
          <wp:inline distT="0" distB="0" distL="0" distR="0" wp14:anchorId="0BB06014" wp14:editId="086290B9">
            <wp:extent cx="6134100" cy="9060180"/>
            <wp:effectExtent l="0" t="0" r="0" b="7620"/>
            <wp:docPr id="95" name="Chart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sidR="00625153" w:rsidRPr="00BF20D3">
        <w:rPr>
          <w:noProof/>
          <w:lang w:eastAsia="en-AU"/>
        </w:rPr>
        <w:lastRenderedPageBreak/>
        <w:drawing>
          <wp:inline distT="0" distB="0" distL="0" distR="0" wp14:anchorId="4856B830" wp14:editId="41E4DF01">
            <wp:extent cx="6134100" cy="8065770"/>
            <wp:effectExtent l="0" t="0" r="0" b="0"/>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r w:rsidR="00625153" w:rsidRPr="00BF20D3">
        <w:rPr>
          <w:noProof/>
          <w:lang w:eastAsia="en-AU"/>
        </w:rPr>
        <w:lastRenderedPageBreak/>
        <w:drawing>
          <wp:inline distT="0" distB="0" distL="0" distR="0" wp14:anchorId="044C13D7" wp14:editId="75A1D6D9">
            <wp:extent cx="6134100" cy="8839200"/>
            <wp:effectExtent l="0" t="0" r="0" b="0"/>
            <wp:docPr id="96" name="Chart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625153" w:rsidRPr="00BF20D3" w:rsidRDefault="00625153" w:rsidP="00625153">
      <w:pPr>
        <w:rPr>
          <w:sz w:val="20"/>
        </w:rPr>
      </w:pPr>
      <w:r w:rsidRPr="00BF20D3">
        <w:rPr>
          <w:noProof/>
          <w:lang w:eastAsia="en-AU"/>
        </w:rPr>
        <w:lastRenderedPageBreak/>
        <w:drawing>
          <wp:inline distT="0" distB="0" distL="0" distR="0" wp14:anchorId="2A035450" wp14:editId="5CC652CF">
            <wp:extent cx="6209665" cy="8442960"/>
            <wp:effectExtent l="0" t="0" r="635"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625153" w:rsidRPr="00BF20D3" w:rsidRDefault="00625153" w:rsidP="00625153">
      <w:pPr>
        <w:rPr>
          <w:sz w:val="20"/>
        </w:rPr>
      </w:pPr>
      <w:r w:rsidRPr="00BF20D3">
        <w:rPr>
          <w:noProof/>
          <w:lang w:eastAsia="en-AU"/>
        </w:rPr>
        <w:lastRenderedPageBreak/>
        <w:drawing>
          <wp:inline distT="0" distB="0" distL="0" distR="0" wp14:anchorId="3F63AF8F" wp14:editId="6E52CB0D">
            <wp:extent cx="6209665" cy="8534400"/>
            <wp:effectExtent l="0" t="0" r="635" b="0"/>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Pr="00BF20D3">
        <w:rPr>
          <w:noProof/>
          <w:lang w:eastAsia="en-AU"/>
        </w:rPr>
        <w:lastRenderedPageBreak/>
        <w:drawing>
          <wp:inline distT="0" distB="0" distL="0" distR="0" wp14:anchorId="07640316" wp14:editId="22D72887">
            <wp:extent cx="6134100" cy="8450580"/>
            <wp:effectExtent l="0" t="0" r="0" b="762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r w:rsidRPr="00BF20D3">
        <w:rPr>
          <w:noProof/>
          <w:lang w:eastAsia="en-AU"/>
        </w:rPr>
        <w:lastRenderedPageBreak/>
        <w:drawing>
          <wp:inline distT="0" distB="0" distL="0" distR="0" wp14:anchorId="7FF69F2F" wp14:editId="3345D7DE">
            <wp:extent cx="6149340" cy="9227820"/>
            <wp:effectExtent l="0" t="0" r="3810" b="0"/>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625153" w:rsidRPr="00BF20D3" w:rsidRDefault="00625153" w:rsidP="00625153">
      <w:pPr>
        <w:rPr>
          <w:sz w:val="20"/>
        </w:rPr>
        <w:sectPr w:rsidR="00625153" w:rsidRPr="00BF20D3" w:rsidSect="00E469CF">
          <w:headerReference w:type="even" r:id="rId93"/>
          <w:headerReference w:type="default" r:id="rId94"/>
          <w:footerReference w:type="even" r:id="rId95"/>
          <w:footerReference w:type="default" r:id="rId96"/>
          <w:footerReference w:type="first" r:id="rId97"/>
          <w:pgSz w:w="11906" w:h="16838" w:code="9"/>
          <w:pgMar w:top="1276" w:right="851" w:bottom="851" w:left="1276" w:header="567" w:footer="284" w:gutter="0"/>
          <w:pgNumType w:start="0"/>
          <w:cols w:space="708"/>
          <w:titlePg/>
          <w:docGrid w:linePitch="360"/>
        </w:sectPr>
      </w:pPr>
    </w:p>
    <w:p w:rsidR="007127DF" w:rsidRPr="0014025C" w:rsidRDefault="004B7E39" w:rsidP="00B8132A">
      <w:pPr>
        <w:pStyle w:val="Appendicesnumbered"/>
        <w:ind w:left="0" w:firstLine="0"/>
        <w:rPr>
          <w:color w:val="002060"/>
        </w:rPr>
      </w:pPr>
      <w:r w:rsidRPr="0014025C">
        <w:rPr>
          <w:noProof/>
          <w:color w:val="002060"/>
          <w:sz w:val="32"/>
          <w:lang w:eastAsia="en-AU"/>
        </w:rPr>
        <w:lastRenderedPageBreak/>
        <w:drawing>
          <wp:anchor distT="0" distB="0" distL="114300" distR="114300" simplePos="0" relativeHeight="251664384" behindDoc="0" locked="0" layoutInCell="1" allowOverlap="1" wp14:anchorId="70874253" wp14:editId="1008505C">
            <wp:simplePos x="0" y="0"/>
            <wp:positionH relativeFrom="column">
              <wp:posOffset>963874</wp:posOffset>
            </wp:positionH>
            <wp:positionV relativeFrom="paragraph">
              <wp:posOffset>346686</wp:posOffset>
            </wp:positionV>
            <wp:extent cx="7790400" cy="5511600"/>
            <wp:effectExtent l="0" t="0" r="1270" b="0"/>
            <wp:wrapNone/>
            <wp:docPr id="64" name="Picture 64" descr="X:\David Lees\Reporting\Births 2014 by SA2 Melbou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David Lees\Reporting\Births 2014 by SA2 Melbourne.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790400" cy="551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025C" w:rsidRPr="0014025C">
        <w:rPr>
          <w:color w:val="002060"/>
        </w:rPr>
        <w:t>Appendix 5</w:t>
      </w:r>
      <w:r w:rsidR="00182BCD" w:rsidRPr="0014025C">
        <w:rPr>
          <w:color w:val="002060"/>
        </w:rPr>
        <w:t xml:space="preserve"> – Maps of Births</w:t>
      </w:r>
    </w:p>
    <w:p w:rsidR="007127DF" w:rsidRPr="00BF20D3" w:rsidRDefault="007127DF">
      <w:pPr>
        <w:rPr>
          <w:rFonts w:asciiTheme="majorHAnsi" w:hAnsiTheme="majorHAnsi"/>
          <w:b/>
          <w:caps/>
          <w:color w:val="00788E"/>
          <w:sz w:val="24"/>
        </w:rPr>
      </w:pPr>
      <w:r w:rsidRPr="00BF20D3">
        <w:br w:type="page"/>
      </w:r>
    </w:p>
    <w:p w:rsidR="00182BCD" w:rsidRPr="00BF20D3" w:rsidRDefault="00182BCD" w:rsidP="00B8132A">
      <w:pPr>
        <w:pStyle w:val="Appendicesnumbered"/>
        <w:ind w:left="0" w:firstLine="0"/>
      </w:pPr>
      <w:r w:rsidRPr="00BF20D3">
        <w:lastRenderedPageBreak/>
        <w:t xml:space="preserve">  </w:t>
      </w:r>
    </w:p>
    <w:p w:rsidR="00182BCD" w:rsidRPr="00AB5CD7" w:rsidRDefault="00540674" w:rsidP="00182BCD">
      <w:pPr>
        <w:rPr>
          <w:sz w:val="20"/>
        </w:rPr>
      </w:pPr>
      <w:r w:rsidRPr="00AB5CD7">
        <w:rPr>
          <w:noProof/>
          <w:sz w:val="20"/>
          <w:lang w:eastAsia="en-AU"/>
        </w:rPr>
        <w:drawing>
          <wp:anchor distT="0" distB="0" distL="114300" distR="114300" simplePos="0" relativeHeight="251665408" behindDoc="0" locked="0" layoutInCell="1" allowOverlap="1" wp14:anchorId="5DD3DF7E" wp14:editId="2431CE0D">
            <wp:simplePos x="0" y="0"/>
            <wp:positionH relativeFrom="margin">
              <wp:posOffset>686435</wp:posOffset>
            </wp:positionH>
            <wp:positionV relativeFrom="paragraph">
              <wp:posOffset>113810</wp:posOffset>
            </wp:positionV>
            <wp:extent cx="8390890" cy="5683170"/>
            <wp:effectExtent l="0" t="0" r="0" b="0"/>
            <wp:wrapNone/>
            <wp:docPr id="65" name="Picture 65" descr="X:\David Lees\Reporting\Births 2014 by SA2 Vict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David Lees\Reporting\Births 2014 by SA2 Victoria.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2147" b="2015"/>
                    <a:stretch/>
                  </pic:blipFill>
                  <pic:spPr bwMode="auto">
                    <a:xfrm>
                      <a:off x="0" y="0"/>
                      <a:ext cx="8390890" cy="5683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27DF" w:rsidRPr="00AB5CD7" w:rsidRDefault="007127DF" w:rsidP="007127DF"/>
    <w:p w:rsidR="007127DF" w:rsidRPr="00AB5CD7" w:rsidRDefault="007127DF" w:rsidP="007127DF"/>
    <w:p w:rsidR="007127DF" w:rsidRPr="00AB5CD7" w:rsidRDefault="007127DF" w:rsidP="007127DF"/>
    <w:p w:rsidR="007127DF" w:rsidRPr="00AB5CD7" w:rsidRDefault="007127DF" w:rsidP="007127DF"/>
    <w:p w:rsidR="007127DF" w:rsidRPr="00AB5CD7" w:rsidRDefault="007127DF" w:rsidP="007127DF"/>
    <w:p w:rsidR="007127DF" w:rsidRPr="00AB5CD7" w:rsidRDefault="007127DF" w:rsidP="007127DF"/>
    <w:p w:rsidR="007127DF" w:rsidRPr="00AB5CD7" w:rsidRDefault="007127DF" w:rsidP="007127DF"/>
    <w:p w:rsidR="007127DF" w:rsidRPr="00AB5CD7" w:rsidRDefault="007127DF" w:rsidP="007127DF"/>
    <w:p w:rsidR="00C55201" w:rsidRPr="00AB5CD7" w:rsidRDefault="00C55201" w:rsidP="007127DF">
      <w:pPr>
        <w:jc w:val="right"/>
      </w:pPr>
    </w:p>
    <w:p w:rsidR="007127DF" w:rsidRPr="00AB5CD7" w:rsidRDefault="007127DF">
      <w:r w:rsidRPr="00AB5CD7">
        <w:br w:type="page"/>
      </w:r>
    </w:p>
    <w:p w:rsidR="007127DF" w:rsidRPr="00AB5CD7" w:rsidRDefault="0014025C" w:rsidP="0062285A">
      <w:pPr>
        <w:pStyle w:val="Appendicesnumbered"/>
      </w:pPr>
      <w:bookmarkStart w:id="61" w:name="_Toc437439677"/>
      <w:bookmarkStart w:id="62" w:name="_Toc437440918"/>
      <w:bookmarkStart w:id="63" w:name="_Toc437606656"/>
      <w:bookmarkStart w:id="64" w:name="_Toc438124222"/>
      <w:bookmarkStart w:id="65" w:name="_Toc438124364"/>
      <w:bookmarkStart w:id="66" w:name="_Toc438125645"/>
      <w:r>
        <w:lastRenderedPageBreak/>
        <w:tab/>
      </w:r>
      <w:r w:rsidRPr="0014025C">
        <w:rPr>
          <w:color w:val="002060"/>
        </w:rPr>
        <w:t>APPENDIX 6</w:t>
      </w:r>
      <w:r w:rsidR="007127DF" w:rsidRPr="0014025C">
        <w:rPr>
          <w:color w:val="002060"/>
        </w:rPr>
        <w:t xml:space="preserve"> – Maps of Unemployment</w:t>
      </w:r>
    </w:p>
    <w:bookmarkEnd w:id="61"/>
    <w:bookmarkEnd w:id="62"/>
    <w:bookmarkEnd w:id="63"/>
    <w:bookmarkEnd w:id="64"/>
    <w:bookmarkEnd w:id="65"/>
    <w:bookmarkEnd w:id="66"/>
    <w:p w:rsidR="007127DF" w:rsidRPr="00BF20D3" w:rsidRDefault="007127DF" w:rsidP="007127DF">
      <w:pPr>
        <w:tabs>
          <w:tab w:val="left" w:pos="1641"/>
          <w:tab w:val="right" w:pos="14711"/>
        </w:tabs>
      </w:pPr>
      <w:r w:rsidRPr="00AB5CD7">
        <w:rPr>
          <w:noProof/>
          <w:sz w:val="32"/>
          <w:lang w:eastAsia="en-AU"/>
        </w:rPr>
        <w:drawing>
          <wp:anchor distT="0" distB="0" distL="114300" distR="114300" simplePos="0" relativeHeight="251666432" behindDoc="0" locked="0" layoutInCell="1" allowOverlap="1" wp14:anchorId="37EC6955" wp14:editId="0391AA43">
            <wp:simplePos x="0" y="0"/>
            <wp:positionH relativeFrom="page">
              <wp:posOffset>1356360</wp:posOffset>
            </wp:positionH>
            <wp:positionV relativeFrom="paragraph">
              <wp:posOffset>83987</wp:posOffset>
            </wp:positionV>
            <wp:extent cx="7992000" cy="5648400"/>
            <wp:effectExtent l="0" t="0" r="9525"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David Lees\Reporting\Labour Force\Unemployment Rate June 2015 Melbourne.jpg"/>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7992000" cy="564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54DA9" w:rsidRDefault="00182BCD" w:rsidP="00297D19">
      <w:pPr>
        <w:jc w:val="center"/>
      </w:pPr>
      <w:r w:rsidRPr="00A22309">
        <w:rPr>
          <w:noProof/>
          <w:lang w:eastAsia="en-AU"/>
        </w:rPr>
        <w:lastRenderedPageBreak/>
        <w:drawing>
          <wp:inline distT="0" distB="0" distL="0" distR="0" wp14:anchorId="289834C1" wp14:editId="722CAAC6">
            <wp:extent cx="8750986" cy="6187074"/>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David Lees\Reporting\Labour Force\Unemployment Rate June 2015 Victoria.jpg"/>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8750986" cy="6187074"/>
                    </a:xfrm>
                    <a:prstGeom prst="rect">
                      <a:avLst/>
                    </a:prstGeom>
                    <a:noFill/>
                    <a:ln>
                      <a:noFill/>
                    </a:ln>
                  </pic:spPr>
                </pic:pic>
              </a:graphicData>
            </a:graphic>
          </wp:inline>
        </w:drawing>
      </w:r>
    </w:p>
    <w:p w:rsidR="00A22309" w:rsidRDefault="00A22309" w:rsidP="00A22309">
      <w:pPr>
        <w:pStyle w:val="Appendicesnumbered"/>
      </w:pPr>
      <w:r>
        <w:lastRenderedPageBreak/>
        <w:t>APPENDIX 8</w:t>
      </w:r>
      <w:r w:rsidRPr="00AB5CD7">
        <w:t xml:space="preserve"> – </w:t>
      </w:r>
      <w:r>
        <w:t>Active Greenfield Projects</w:t>
      </w:r>
    </w:p>
    <w:p w:rsidR="00A22309" w:rsidRDefault="00A22309" w:rsidP="00297D19">
      <w:pPr>
        <w:jc w:val="center"/>
      </w:pPr>
      <w:r>
        <w:rPr>
          <w:noProof/>
          <w:lang w:eastAsia="en-AU"/>
        </w:rPr>
        <w:drawing>
          <wp:inline distT="0" distB="0" distL="0" distR="0">
            <wp:extent cx="8355600" cy="5900400"/>
            <wp:effectExtent l="0" t="0" r="7620" b="5715"/>
            <wp:docPr id="18" name="Picture 18" descr="X:\David Lees\Active Projects\June 2016\Active Projects June 2016 Sales R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David Lees\Active Projects\June 2016\Active Projects June 2016 Sales Rates.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355600" cy="5900400"/>
                    </a:xfrm>
                    <a:prstGeom prst="rect">
                      <a:avLst/>
                    </a:prstGeom>
                    <a:noFill/>
                    <a:ln>
                      <a:noFill/>
                    </a:ln>
                  </pic:spPr>
                </pic:pic>
              </a:graphicData>
            </a:graphic>
          </wp:inline>
        </w:drawing>
      </w:r>
    </w:p>
    <w:p w:rsidR="00297D19" w:rsidRPr="00297D19" w:rsidRDefault="00297D19" w:rsidP="00297D19">
      <w:pPr>
        <w:pStyle w:val="Heading2numbered"/>
        <w:numPr>
          <w:ilvl w:val="0"/>
          <w:numId w:val="0"/>
        </w:numPr>
        <w:ind w:left="360"/>
      </w:pPr>
      <w:r>
        <w:rPr>
          <w:noProof/>
          <w:lang w:eastAsia="en-AU"/>
        </w:rPr>
        <w:lastRenderedPageBreak/>
        <w:drawing>
          <wp:inline distT="0" distB="0" distL="0" distR="0">
            <wp:extent cx="8778240" cy="6202680"/>
            <wp:effectExtent l="0" t="0" r="3810" b="7620"/>
            <wp:docPr id="36" name="Picture 36" descr="X:\David Lees\Active Projects\June 2016\Active Projects June 2016 St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David Lees\Active Projects\June 2016\Active Projects June 2016 Stock.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8778240" cy="6202680"/>
                    </a:xfrm>
                    <a:prstGeom prst="rect">
                      <a:avLst/>
                    </a:prstGeom>
                    <a:noFill/>
                    <a:ln>
                      <a:noFill/>
                    </a:ln>
                  </pic:spPr>
                </pic:pic>
              </a:graphicData>
            </a:graphic>
          </wp:inline>
        </w:drawing>
      </w:r>
    </w:p>
    <w:sectPr w:rsidR="00297D19" w:rsidRPr="00297D19" w:rsidSect="00AC4E6E">
      <w:headerReference w:type="even" r:id="rId104"/>
      <w:headerReference w:type="default" r:id="rId105"/>
      <w:footerReference w:type="default" r:id="rId106"/>
      <w:pgSz w:w="16838" w:h="11906" w:orient="landscape" w:code="9"/>
      <w:pgMar w:top="1276" w:right="1276" w:bottom="851" w:left="851" w:header="567"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F1167" w:rsidRDefault="00BF1167" w:rsidP="00385888">
      <w:pPr>
        <w:spacing w:after="0" w:line="240" w:lineRule="auto"/>
      </w:pPr>
      <w:r>
        <w:separator/>
      </w:r>
    </w:p>
  </w:endnote>
  <w:endnote w:type="continuationSeparator" w:id="0">
    <w:p w:rsidR="00BF1167" w:rsidRDefault="00BF1167" w:rsidP="003858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2319392"/>
      <w:docPartObj>
        <w:docPartGallery w:val="Page Numbers (Bottom of Page)"/>
        <w:docPartUnique/>
      </w:docPartObj>
    </w:sdtPr>
    <w:sdtEndPr>
      <w:rPr>
        <w:b/>
        <w:noProof/>
        <w:sz w:val="18"/>
      </w:rPr>
    </w:sdtEndPr>
    <w:sdtContent>
      <w:sdt>
        <w:sdtPr>
          <w:id w:val="-104350985"/>
          <w:docPartObj>
            <w:docPartGallery w:val="Page Numbers (Bottom of Page)"/>
            <w:docPartUnique/>
          </w:docPartObj>
        </w:sdtPr>
        <w:sdtEndPr>
          <w:rPr>
            <w:b/>
            <w:noProof/>
            <w:sz w:val="18"/>
          </w:rPr>
        </w:sdtEndPr>
        <w:sdtContent>
          <w:p w:rsidR="00C22DA1" w:rsidRDefault="00C22DA1" w:rsidP="00FF2512">
            <w:pPr>
              <w:pStyle w:val="Footer"/>
              <w:pBdr>
                <w:top w:val="single" w:sz="4" w:space="1" w:color="auto"/>
              </w:pBdr>
              <w:tabs>
                <w:tab w:val="clear" w:pos="9026"/>
                <w:tab w:val="right" w:pos="14853"/>
              </w:tabs>
              <w:ind w:right="-142"/>
              <w:rPr>
                <w:b/>
                <w:noProof/>
                <w:sz w:val="18"/>
              </w:rPr>
            </w:pPr>
            <w:r>
              <w:rPr>
                <w:sz w:val="14"/>
              </w:rPr>
              <w:t>Victoria’s Key Metrics Update –</w:t>
            </w:r>
            <w:r w:rsidR="00BE62FD">
              <w:rPr>
                <w:sz w:val="14"/>
              </w:rPr>
              <w:t xml:space="preserve"> September</w:t>
            </w:r>
            <w:r>
              <w:rPr>
                <w:sz w:val="14"/>
              </w:rPr>
              <w:t xml:space="preserve"> 2016</w:t>
            </w:r>
            <w:r>
              <w:tab/>
            </w:r>
            <w:r>
              <w:tab/>
            </w:r>
            <w:r w:rsidRPr="002B20C0">
              <w:rPr>
                <w:sz w:val="14"/>
              </w:rPr>
              <w:t>Page</w:t>
            </w:r>
            <w:r>
              <w:rPr>
                <w:sz w:val="14"/>
              </w:rPr>
              <w:t xml:space="preserve">  </w:t>
            </w:r>
            <w:r w:rsidRPr="002B20C0">
              <w:rPr>
                <w:sz w:val="14"/>
              </w:rPr>
              <w:t xml:space="preserve"> </w:t>
            </w:r>
            <w:r w:rsidRPr="002B20C0">
              <w:rPr>
                <w:b/>
                <w:sz w:val="18"/>
              </w:rPr>
              <w:fldChar w:fldCharType="begin"/>
            </w:r>
            <w:r w:rsidRPr="002B20C0">
              <w:rPr>
                <w:b/>
                <w:sz w:val="18"/>
              </w:rPr>
              <w:instrText xml:space="preserve"> PAGE   \* MERGEFORMAT </w:instrText>
            </w:r>
            <w:r w:rsidRPr="002B20C0">
              <w:rPr>
                <w:b/>
                <w:sz w:val="18"/>
              </w:rPr>
              <w:fldChar w:fldCharType="separate"/>
            </w:r>
            <w:r w:rsidR="0016748E">
              <w:rPr>
                <w:b/>
                <w:noProof/>
                <w:sz w:val="18"/>
              </w:rPr>
              <w:t>20</w:t>
            </w:r>
            <w:r w:rsidRPr="002B20C0">
              <w:rPr>
                <w:b/>
                <w:noProof/>
                <w:sz w:val="18"/>
              </w:rPr>
              <w:fldChar w:fldCharType="end"/>
            </w:r>
          </w:p>
          <w:p w:rsidR="00C22DA1" w:rsidRPr="00824C10" w:rsidRDefault="00BF1167" w:rsidP="00AF425B">
            <w:pPr>
              <w:pStyle w:val="Footer"/>
              <w:pBdr>
                <w:top w:val="single" w:sz="4" w:space="1" w:color="auto"/>
              </w:pBdr>
              <w:tabs>
                <w:tab w:val="clear" w:pos="9026"/>
                <w:tab w:val="right" w:pos="8931"/>
              </w:tabs>
              <w:ind w:right="-142"/>
              <w:rPr>
                <w:b/>
                <w:sz w:val="18"/>
              </w:rPr>
            </w:pP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DA1" w:rsidRPr="00824C10" w:rsidRDefault="00BF1167" w:rsidP="00AF425B">
    <w:pPr>
      <w:pStyle w:val="Footer"/>
      <w:pBdr>
        <w:top w:val="single" w:sz="4" w:space="1" w:color="auto"/>
      </w:pBdr>
      <w:tabs>
        <w:tab w:val="clear" w:pos="9026"/>
        <w:tab w:val="right" w:pos="9923"/>
      </w:tabs>
      <w:ind w:right="-142"/>
      <w:rPr>
        <w:b/>
        <w:sz w:val="18"/>
      </w:rPr>
    </w:pPr>
    <w:sdt>
      <w:sdtPr>
        <w:id w:val="-398525730"/>
        <w:docPartObj>
          <w:docPartGallery w:val="Page Numbers (Bottom of Page)"/>
          <w:docPartUnique/>
        </w:docPartObj>
      </w:sdtPr>
      <w:sdtEndPr>
        <w:rPr>
          <w:b/>
          <w:noProof/>
          <w:sz w:val="18"/>
        </w:rPr>
      </w:sdtEndPr>
      <w:sdtContent>
        <w:r w:rsidR="00C22DA1" w:rsidRPr="002B20C0">
          <w:rPr>
            <w:sz w:val="14"/>
          </w:rPr>
          <w:t>Page</w:t>
        </w:r>
        <w:r w:rsidR="00C22DA1">
          <w:rPr>
            <w:sz w:val="14"/>
          </w:rPr>
          <w:t xml:space="preserve">  </w:t>
        </w:r>
        <w:r w:rsidR="00C22DA1" w:rsidRPr="002B20C0">
          <w:rPr>
            <w:sz w:val="14"/>
          </w:rPr>
          <w:t xml:space="preserve"> </w:t>
        </w:r>
        <w:r w:rsidR="00C22DA1" w:rsidRPr="002B20C0">
          <w:rPr>
            <w:b/>
            <w:sz w:val="18"/>
          </w:rPr>
          <w:fldChar w:fldCharType="begin"/>
        </w:r>
        <w:r w:rsidR="00C22DA1" w:rsidRPr="002B20C0">
          <w:rPr>
            <w:b/>
            <w:sz w:val="18"/>
          </w:rPr>
          <w:instrText xml:space="preserve"> PAGE   \* MERGEFORMAT </w:instrText>
        </w:r>
        <w:r w:rsidR="00C22DA1" w:rsidRPr="002B20C0">
          <w:rPr>
            <w:b/>
            <w:sz w:val="18"/>
          </w:rPr>
          <w:fldChar w:fldCharType="separate"/>
        </w:r>
        <w:r w:rsidR="0016748E">
          <w:rPr>
            <w:b/>
            <w:noProof/>
            <w:sz w:val="18"/>
          </w:rPr>
          <w:t>1</w:t>
        </w:r>
        <w:r w:rsidR="00C22DA1" w:rsidRPr="002B20C0">
          <w:rPr>
            <w:b/>
            <w:noProof/>
            <w:sz w:val="18"/>
          </w:rPr>
          <w:fldChar w:fldCharType="end"/>
        </w:r>
        <w:r w:rsidR="00C22DA1">
          <w:rPr>
            <w:sz w:val="14"/>
          </w:rPr>
          <w:t xml:space="preserve"> </w:t>
        </w:r>
        <w:r w:rsidR="00C22DA1">
          <w:rPr>
            <w:sz w:val="14"/>
          </w:rPr>
          <w:tab/>
        </w:r>
        <w:r w:rsidR="00C22DA1">
          <w:rPr>
            <w:sz w:val="14"/>
          </w:rPr>
          <w:tab/>
          <w:t>Victoria’s Key Metrics Update –</w:t>
        </w:r>
        <w:r w:rsidR="00DB1E84">
          <w:rPr>
            <w:sz w:val="14"/>
          </w:rPr>
          <w:t xml:space="preserve"> September</w:t>
        </w:r>
        <w:r w:rsidR="00C22DA1">
          <w:rPr>
            <w:sz w:val="14"/>
          </w:rPr>
          <w:t xml:space="preserve"> 2016</w:t>
        </w:r>
      </w:sdtContent>
    </w:sdt>
  </w:p>
  <w:p w:rsidR="00C22DA1" w:rsidRDefault="00C22DA1" w:rsidP="00AF425B">
    <w:pPr>
      <w:pStyle w:val="Footer"/>
      <w:pBdr>
        <w:top w:val="single" w:sz="4" w:space="1" w:color="auto"/>
      </w:pBdr>
      <w:tabs>
        <w:tab w:val="clear" w:pos="9026"/>
        <w:tab w:val="right" w:pos="8931"/>
      </w:tabs>
      <w:ind w:right="-142"/>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DA1" w:rsidRDefault="00C22DA1" w:rsidP="00A91F30">
    <w:pPr>
      <w:pStyle w:val="Footer"/>
      <w:ind w:left="-127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DA1" w:rsidRPr="00824C10" w:rsidRDefault="00BF1167" w:rsidP="00EA409F">
    <w:pPr>
      <w:pStyle w:val="Footer"/>
      <w:pBdr>
        <w:top w:val="single" w:sz="4" w:space="1" w:color="auto"/>
      </w:pBdr>
      <w:tabs>
        <w:tab w:val="clear" w:pos="9026"/>
        <w:tab w:val="left" w:pos="11482"/>
      </w:tabs>
      <w:ind w:right="-142"/>
      <w:rPr>
        <w:b/>
        <w:sz w:val="18"/>
      </w:rPr>
    </w:pPr>
    <w:sdt>
      <w:sdtPr>
        <w:id w:val="-896122205"/>
        <w:docPartObj>
          <w:docPartGallery w:val="Page Numbers (Bottom of Page)"/>
          <w:docPartUnique/>
        </w:docPartObj>
      </w:sdtPr>
      <w:sdtEndPr>
        <w:rPr>
          <w:b/>
          <w:noProof/>
          <w:sz w:val="18"/>
        </w:rPr>
      </w:sdtEndPr>
      <w:sdtContent>
        <w:r w:rsidR="00C22DA1" w:rsidRPr="002B20C0">
          <w:rPr>
            <w:sz w:val="14"/>
          </w:rPr>
          <w:t>Page</w:t>
        </w:r>
        <w:r w:rsidR="00C22DA1">
          <w:rPr>
            <w:sz w:val="14"/>
          </w:rPr>
          <w:t xml:space="preserve">  </w:t>
        </w:r>
        <w:r w:rsidR="00C22DA1" w:rsidRPr="002B20C0">
          <w:rPr>
            <w:sz w:val="14"/>
          </w:rPr>
          <w:t xml:space="preserve"> </w:t>
        </w:r>
        <w:r w:rsidR="00C22DA1" w:rsidRPr="002B20C0">
          <w:rPr>
            <w:b/>
            <w:sz w:val="18"/>
          </w:rPr>
          <w:fldChar w:fldCharType="begin"/>
        </w:r>
        <w:r w:rsidR="00C22DA1" w:rsidRPr="002B20C0">
          <w:rPr>
            <w:b/>
            <w:sz w:val="18"/>
          </w:rPr>
          <w:instrText xml:space="preserve"> PAGE   \* MERGEFORMAT </w:instrText>
        </w:r>
        <w:r w:rsidR="00C22DA1" w:rsidRPr="002B20C0">
          <w:rPr>
            <w:b/>
            <w:sz w:val="18"/>
          </w:rPr>
          <w:fldChar w:fldCharType="separate"/>
        </w:r>
        <w:r w:rsidR="00710950">
          <w:rPr>
            <w:b/>
            <w:noProof/>
            <w:sz w:val="18"/>
          </w:rPr>
          <w:t>85</w:t>
        </w:r>
        <w:r w:rsidR="00C22DA1" w:rsidRPr="002B20C0">
          <w:rPr>
            <w:b/>
            <w:noProof/>
            <w:sz w:val="18"/>
          </w:rPr>
          <w:fldChar w:fldCharType="end"/>
        </w:r>
        <w:r w:rsidR="00C22DA1">
          <w:rPr>
            <w:sz w:val="14"/>
          </w:rPr>
          <w:t xml:space="preserve"> </w:t>
        </w:r>
        <w:r w:rsidR="00C22DA1">
          <w:rPr>
            <w:sz w:val="14"/>
          </w:rPr>
          <w:tab/>
        </w:r>
        <w:r w:rsidR="00C22DA1">
          <w:rPr>
            <w:sz w:val="14"/>
          </w:rPr>
          <w:tab/>
          <w:t>V</w:t>
        </w:r>
        <w:r w:rsidR="00DB1E84">
          <w:rPr>
            <w:sz w:val="14"/>
          </w:rPr>
          <w:t>ictoria’s Key Metrics Update – September</w:t>
        </w:r>
        <w:r w:rsidR="00C22DA1">
          <w:rPr>
            <w:sz w:val="14"/>
          </w:rPr>
          <w:t xml:space="preserve"> 2016</w:t>
        </w:r>
      </w:sdtContent>
    </w:sdt>
  </w:p>
  <w:p w:rsidR="00C22DA1" w:rsidRDefault="00C22DA1" w:rsidP="00AF425B">
    <w:pPr>
      <w:pStyle w:val="Footer"/>
      <w:pBdr>
        <w:top w:val="single" w:sz="4" w:space="1" w:color="auto"/>
      </w:pBdr>
      <w:tabs>
        <w:tab w:val="clear" w:pos="9026"/>
        <w:tab w:val="right" w:pos="8931"/>
      </w:tabs>
      <w:ind w:right="-142"/>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F1167" w:rsidRDefault="00BF1167" w:rsidP="00385888">
      <w:pPr>
        <w:spacing w:after="0" w:line="240" w:lineRule="auto"/>
      </w:pPr>
      <w:r>
        <w:separator/>
      </w:r>
    </w:p>
  </w:footnote>
  <w:footnote w:type="continuationSeparator" w:id="0">
    <w:p w:rsidR="00BF1167" w:rsidRDefault="00BF1167" w:rsidP="0038588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DA1" w:rsidRPr="00A25460" w:rsidRDefault="00F356AA" w:rsidP="00A25460">
    <w:pPr>
      <w:pStyle w:val="Header"/>
    </w:pPr>
    <w:r>
      <w:rPr>
        <w:noProof/>
        <w:lang w:eastAsia="en-AU"/>
      </w:rPr>
      <w:drawing>
        <wp:anchor distT="0" distB="0" distL="114300" distR="114300" simplePos="0" relativeHeight="251686912" behindDoc="0" locked="0" layoutInCell="1" allowOverlap="1" wp14:anchorId="29DDFEEB" wp14:editId="4489435B">
          <wp:simplePos x="0" y="0"/>
          <wp:positionH relativeFrom="margin">
            <wp:align>right</wp:align>
          </wp:positionH>
          <wp:positionV relativeFrom="margin">
            <wp:posOffset>-633095</wp:posOffset>
          </wp:positionV>
          <wp:extent cx="918000" cy="374400"/>
          <wp:effectExtent l="0" t="0" r="0" b="6985"/>
          <wp:wrapSquare wrapText="bothSides"/>
          <wp:docPr id="47" name="Picture 47" descr="X:\Drawings &amp; Graphics\VPA_Branding\01_VPA_logo\VPA_logo_CMYK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Drawings &amp; Graphics\VPA_Branding\01_VPA_logo\VPA_logo_CMYK_small.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18000" cy="374400"/>
                  </a:xfrm>
                  <a:prstGeom prst="rect">
                    <a:avLst/>
                  </a:prstGeom>
                  <a:noFill/>
                  <a:ln>
                    <a:noFill/>
                  </a:ln>
                </pic:spPr>
              </pic:pic>
            </a:graphicData>
          </a:graphic>
        </wp:anchor>
      </w:drawing>
    </w:r>
    <w:r w:rsidR="00C22DA1">
      <w:rPr>
        <w:noProof/>
        <w:color w:val="1F497D"/>
        <w:sz w:val="21"/>
        <w:szCs w:val="21"/>
        <w:lang w:eastAsia="en-AU"/>
      </w:rPr>
      <mc:AlternateContent>
        <mc:Choice Requires="wps">
          <w:drawing>
            <wp:anchor distT="0" distB="0" distL="114300" distR="114300" simplePos="0" relativeHeight="251673600" behindDoc="0" locked="0" layoutInCell="1" allowOverlap="1" wp14:anchorId="449BEE08" wp14:editId="2D0787C4">
              <wp:simplePos x="0" y="0"/>
              <wp:positionH relativeFrom="margin">
                <wp:posOffset>0</wp:posOffset>
              </wp:positionH>
              <wp:positionV relativeFrom="paragraph">
                <wp:posOffset>302115</wp:posOffset>
              </wp:positionV>
              <wp:extent cx="6146156" cy="0"/>
              <wp:effectExtent l="0" t="0" r="26670" b="19050"/>
              <wp:wrapNone/>
              <wp:docPr id="2" name="Straight Connector 2"/>
              <wp:cNvGraphicFramePr/>
              <a:graphic xmlns:a="http://schemas.openxmlformats.org/drawingml/2006/main">
                <a:graphicData uri="http://schemas.microsoft.com/office/word/2010/wordprocessingShape">
                  <wps:wsp>
                    <wps:cNvCnPr/>
                    <wps:spPr>
                      <a:xfrm>
                        <a:off x="0" y="0"/>
                        <a:ext cx="6146156" cy="0"/>
                      </a:xfrm>
                      <a:prstGeom prst="line">
                        <a:avLst/>
                      </a:prstGeom>
                      <a:ln>
                        <a:solidFill>
                          <a:srgbClr val="00516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5F6C90" id="Straight Connector 2" o:spid="_x0000_s1026" style="position:absolute;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23.8pt" to="483.9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" strokecolor="#005163" strokeweight=".5pt">
              <v:stroke joinstyle="miter"/>
              <w10:wrap anchorx="margin"/>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DA1" w:rsidRDefault="00F356AA">
    <w:pPr>
      <w:pStyle w:val="Header"/>
    </w:pPr>
    <w:r>
      <w:rPr>
        <w:noProof/>
        <w:lang w:eastAsia="en-AU"/>
      </w:rPr>
      <w:drawing>
        <wp:anchor distT="0" distB="0" distL="114300" distR="114300" simplePos="0" relativeHeight="251684864" behindDoc="0" locked="0" layoutInCell="1" allowOverlap="1">
          <wp:simplePos x="0" y="0"/>
          <wp:positionH relativeFrom="margin">
            <wp:align>left</wp:align>
          </wp:positionH>
          <wp:positionV relativeFrom="margin">
            <wp:posOffset>-655955</wp:posOffset>
          </wp:positionV>
          <wp:extent cx="918000" cy="374400"/>
          <wp:effectExtent l="0" t="0" r="0" b="6985"/>
          <wp:wrapSquare wrapText="bothSides"/>
          <wp:docPr id="42" name="Picture 42" descr="X:\Drawings &amp; Graphics\VPA_Branding\01_VPA_logo\VPA_logo_CMYK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Drawings &amp; Graphics\VPA_Branding\01_VPA_logo\VPA_logo_CMYK_small.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18000" cy="374400"/>
                  </a:xfrm>
                  <a:prstGeom prst="rect">
                    <a:avLst/>
                  </a:prstGeom>
                  <a:noFill/>
                  <a:ln>
                    <a:noFill/>
                  </a:ln>
                </pic:spPr>
              </pic:pic>
            </a:graphicData>
          </a:graphic>
        </wp:anchor>
      </w:drawing>
    </w:r>
    <w:r w:rsidR="00C22DA1">
      <w:rPr>
        <w:noProof/>
        <w:color w:val="1F497D"/>
        <w:sz w:val="21"/>
        <w:szCs w:val="21"/>
        <w:lang w:eastAsia="en-AU"/>
      </w:rPr>
      <mc:AlternateContent>
        <mc:Choice Requires="wps">
          <w:drawing>
            <wp:anchor distT="0" distB="0" distL="114300" distR="114300" simplePos="0" relativeHeight="251670528" behindDoc="0" locked="0" layoutInCell="1" allowOverlap="1" wp14:anchorId="1A1EC3DB" wp14:editId="294C5AFD">
              <wp:simplePos x="0" y="0"/>
              <wp:positionH relativeFrom="margin">
                <wp:posOffset>11543</wp:posOffset>
              </wp:positionH>
              <wp:positionV relativeFrom="paragraph">
                <wp:posOffset>299712</wp:posOffset>
              </wp:positionV>
              <wp:extent cx="6146156" cy="0"/>
              <wp:effectExtent l="0" t="0" r="26670" b="19050"/>
              <wp:wrapNone/>
              <wp:docPr id="20" name="Straight Connector 20"/>
              <wp:cNvGraphicFramePr/>
              <a:graphic xmlns:a="http://schemas.openxmlformats.org/drawingml/2006/main">
                <a:graphicData uri="http://schemas.microsoft.com/office/word/2010/wordprocessingShape">
                  <wps:wsp>
                    <wps:cNvCnPr/>
                    <wps:spPr>
                      <a:xfrm>
                        <a:off x="0" y="0"/>
                        <a:ext cx="6146156" cy="0"/>
                      </a:xfrm>
                      <a:prstGeom prst="line">
                        <a:avLst/>
                      </a:prstGeom>
                      <a:ln>
                        <a:solidFill>
                          <a:srgbClr val="00516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B810C5" id="Straight Connector 20" o:spid="_x0000_s1026" style="position:absolute;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pt,23.6pt" to="484.8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" strokecolor="#005163" strokeweight=".5pt">
              <v:stroke joinstyle="miter"/>
              <w10:wrap anchorx="margin"/>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DA1" w:rsidRPr="00A25460" w:rsidRDefault="00A45D4F" w:rsidP="00A25460">
    <w:pPr>
      <w:pStyle w:val="Header"/>
    </w:pPr>
    <w:r>
      <w:rPr>
        <w:noProof/>
        <w:lang w:eastAsia="en-AU"/>
      </w:rPr>
      <w:drawing>
        <wp:anchor distT="0" distB="0" distL="114300" distR="114300" simplePos="0" relativeHeight="251688960" behindDoc="0" locked="0" layoutInCell="1" allowOverlap="1" wp14:anchorId="2EB106F6" wp14:editId="5864CC07">
          <wp:simplePos x="0" y="0"/>
          <wp:positionH relativeFrom="margin">
            <wp:posOffset>0</wp:posOffset>
          </wp:positionH>
          <wp:positionV relativeFrom="margin">
            <wp:posOffset>-281940</wp:posOffset>
          </wp:positionV>
          <wp:extent cx="918000" cy="374400"/>
          <wp:effectExtent l="0" t="0" r="0" b="6985"/>
          <wp:wrapSquare wrapText="bothSides"/>
          <wp:docPr id="50" name="Picture 50" descr="X:\Drawings &amp; Graphics\VPA_Branding\01_VPA_logo\VPA_logo_CMYK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Drawings &amp; Graphics\VPA_Branding\01_VPA_logo\VPA_logo_CMYK_small.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18000" cy="374400"/>
                  </a:xfrm>
                  <a:prstGeom prst="rect">
                    <a:avLst/>
                  </a:prstGeom>
                  <a:noFill/>
                  <a:ln>
                    <a:noFill/>
                  </a:ln>
                </pic:spPr>
              </pic:pic>
            </a:graphicData>
          </a:graphic>
        </wp:anchor>
      </w:drawing>
    </w:r>
    <w:r w:rsidR="00C22DA1">
      <w:rPr>
        <w:noProof/>
        <w:color w:val="1F497D"/>
        <w:sz w:val="21"/>
        <w:szCs w:val="21"/>
        <w:lang w:eastAsia="en-AU"/>
      </w:rPr>
      <mc:AlternateContent>
        <mc:Choice Requires="wps">
          <w:drawing>
            <wp:anchor distT="0" distB="0" distL="114300" distR="114300" simplePos="0" relativeHeight="251683840" behindDoc="0" locked="0" layoutInCell="1" allowOverlap="1" wp14:anchorId="2DF41F61" wp14:editId="0964A93A">
              <wp:simplePos x="0" y="0"/>
              <wp:positionH relativeFrom="margin">
                <wp:posOffset>0</wp:posOffset>
              </wp:positionH>
              <wp:positionV relativeFrom="paragraph">
                <wp:posOffset>285605</wp:posOffset>
              </wp:positionV>
              <wp:extent cx="9467850" cy="0"/>
              <wp:effectExtent l="0" t="0" r="19050" b="19050"/>
              <wp:wrapNone/>
              <wp:docPr id="41" name="Straight Connector 41"/>
              <wp:cNvGraphicFramePr/>
              <a:graphic xmlns:a="http://schemas.openxmlformats.org/drawingml/2006/main">
                <a:graphicData uri="http://schemas.microsoft.com/office/word/2010/wordprocessingShape">
                  <wps:wsp>
                    <wps:cNvCnPr/>
                    <wps:spPr>
                      <a:xfrm>
                        <a:off x="0" y="0"/>
                        <a:ext cx="9467850" cy="0"/>
                      </a:xfrm>
                      <a:prstGeom prst="line">
                        <a:avLst/>
                      </a:prstGeom>
                      <a:ln>
                        <a:solidFill>
                          <a:srgbClr val="00516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D27BE7" id="Straight Connector 41" o:spid="_x0000_s1026" style="position:absolute;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22.5pt" to="745.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" strokecolor="#005163" strokeweight=".5pt">
              <v:stroke joinstyle="miter"/>
              <w10:wrap anchorx="margin"/>
            </v:lin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DA1" w:rsidRDefault="00C22DA1">
    <w:pPr>
      <w:pStyle w:val="Header"/>
    </w:pPr>
    <w:r>
      <w:rPr>
        <w:noProof/>
        <w:color w:val="1F497D"/>
        <w:sz w:val="21"/>
        <w:szCs w:val="21"/>
        <w:lang w:eastAsia="en-AU"/>
      </w:rPr>
      <mc:AlternateContent>
        <mc:Choice Requires="wps">
          <w:drawing>
            <wp:anchor distT="0" distB="0" distL="114300" distR="114300" simplePos="0" relativeHeight="251678720" behindDoc="0" locked="0" layoutInCell="1" allowOverlap="1" wp14:anchorId="56572B22" wp14:editId="691E977B">
              <wp:simplePos x="0" y="0"/>
              <wp:positionH relativeFrom="margin">
                <wp:posOffset>15200</wp:posOffset>
              </wp:positionH>
              <wp:positionV relativeFrom="paragraph">
                <wp:posOffset>299712</wp:posOffset>
              </wp:positionV>
              <wp:extent cx="9468091" cy="0"/>
              <wp:effectExtent l="0" t="0" r="19050" b="19050"/>
              <wp:wrapNone/>
              <wp:docPr id="5" name="Straight Connector 5"/>
              <wp:cNvGraphicFramePr/>
              <a:graphic xmlns:a="http://schemas.openxmlformats.org/drawingml/2006/main">
                <a:graphicData uri="http://schemas.microsoft.com/office/word/2010/wordprocessingShape">
                  <wps:wsp>
                    <wps:cNvCnPr/>
                    <wps:spPr>
                      <a:xfrm>
                        <a:off x="0" y="0"/>
                        <a:ext cx="9468091" cy="0"/>
                      </a:xfrm>
                      <a:prstGeom prst="line">
                        <a:avLst/>
                      </a:prstGeom>
                      <a:ln>
                        <a:solidFill>
                          <a:srgbClr val="00516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0A8478" id="Straight Connector 5" o:spid="_x0000_s1026" style="position:absolute;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pt,23.6pt" to="746.7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" strokecolor="#005163" strokeweight=".5pt">
              <v:stroke joinstyle="miter"/>
              <w10:wrap anchorx="margin"/>
            </v:line>
          </w:pict>
        </mc:Fallback>
      </mc:AlternateContent>
    </w:r>
    <w:r w:rsidR="00A45D4F">
      <w:rPr>
        <w:noProof/>
        <w:lang w:eastAsia="en-AU"/>
      </w:rPr>
      <w:drawing>
        <wp:inline distT="0" distB="0" distL="0" distR="0" wp14:anchorId="45A08E67" wp14:editId="3B83E075">
          <wp:extent cx="914400" cy="377825"/>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377825"/>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676A1F"/>
    <w:multiLevelType w:val="hybridMultilevel"/>
    <w:tmpl w:val="5B0C3AF8"/>
    <w:lvl w:ilvl="0" w:tplc="0C090019">
      <w:start w:val="3"/>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8D466BB"/>
    <w:multiLevelType w:val="hybridMultilevel"/>
    <w:tmpl w:val="CD7A6D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E82185"/>
    <w:multiLevelType w:val="hybridMultilevel"/>
    <w:tmpl w:val="E0FCD290"/>
    <w:lvl w:ilvl="0" w:tplc="5BAA2050">
      <w:start w:val="2"/>
      <w:numFmt w:val="lowerLetter"/>
      <w:lvlText w:val="%1."/>
      <w:lvlJc w:val="left"/>
      <w:pPr>
        <w:ind w:left="1778" w:hanging="360"/>
      </w:pPr>
      <w:rPr>
        <w:rFonts w:hint="default"/>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3" w15:restartNumberingAfterBreak="0">
    <w:nsid w:val="0F893F4A"/>
    <w:multiLevelType w:val="hybridMultilevel"/>
    <w:tmpl w:val="57FA6752"/>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4" w15:restartNumberingAfterBreak="0">
    <w:nsid w:val="17974337"/>
    <w:multiLevelType w:val="hybridMultilevel"/>
    <w:tmpl w:val="9678E3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8D30E4A"/>
    <w:multiLevelType w:val="hybridMultilevel"/>
    <w:tmpl w:val="AF38630E"/>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 w15:restartNumberingAfterBreak="0">
    <w:nsid w:val="2016244F"/>
    <w:multiLevelType w:val="hybridMultilevel"/>
    <w:tmpl w:val="67E09296"/>
    <w:lvl w:ilvl="0" w:tplc="0C090017">
      <w:start w:val="1"/>
      <w:numFmt w:val="lowerLetter"/>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BD70A59"/>
    <w:multiLevelType w:val="hybridMultilevel"/>
    <w:tmpl w:val="48706B2A"/>
    <w:lvl w:ilvl="0" w:tplc="0C09001B">
      <w:start w:val="1"/>
      <w:numFmt w:val="lowerRoman"/>
      <w:lvlText w:val="%1."/>
      <w:lvlJc w:val="right"/>
      <w:pPr>
        <w:ind w:left="2340" w:hanging="360"/>
      </w:pPr>
    </w:lvl>
    <w:lvl w:ilvl="1" w:tplc="0C090019" w:tentative="1">
      <w:start w:val="1"/>
      <w:numFmt w:val="lowerLetter"/>
      <w:lvlText w:val="%2."/>
      <w:lvlJc w:val="left"/>
      <w:pPr>
        <w:ind w:left="3060" w:hanging="360"/>
      </w:pPr>
    </w:lvl>
    <w:lvl w:ilvl="2" w:tplc="0C09001B" w:tentative="1">
      <w:start w:val="1"/>
      <w:numFmt w:val="lowerRoman"/>
      <w:lvlText w:val="%3."/>
      <w:lvlJc w:val="right"/>
      <w:pPr>
        <w:ind w:left="3780" w:hanging="180"/>
      </w:pPr>
    </w:lvl>
    <w:lvl w:ilvl="3" w:tplc="0C09000F" w:tentative="1">
      <w:start w:val="1"/>
      <w:numFmt w:val="decimal"/>
      <w:lvlText w:val="%4."/>
      <w:lvlJc w:val="left"/>
      <w:pPr>
        <w:ind w:left="4500" w:hanging="360"/>
      </w:pPr>
    </w:lvl>
    <w:lvl w:ilvl="4" w:tplc="0C090019" w:tentative="1">
      <w:start w:val="1"/>
      <w:numFmt w:val="lowerLetter"/>
      <w:lvlText w:val="%5."/>
      <w:lvlJc w:val="left"/>
      <w:pPr>
        <w:ind w:left="5220" w:hanging="360"/>
      </w:pPr>
    </w:lvl>
    <w:lvl w:ilvl="5" w:tplc="0C09001B" w:tentative="1">
      <w:start w:val="1"/>
      <w:numFmt w:val="lowerRoman"/>
      <w:lvlText w:val="%6."/>
      <w:lvlJc w:val="right"/>
      <w:pPr>
        <w:ind w:left="5940" w:hanging="180"/>
      </w:pPr>
    </w:lvl>
    <w:lvl w:ilvl="6" w:tplc="0C09000F" w:tentative="1">
      <w:start w:val="1"/>
      <w:numFmt w:val="decimal"/>
      <w:lvlText w:val="%7."/>
      <w:lvlJc w:val="left"/>
      <w:pPr>
        <w:ind w:left="6660" w:hanging="360"/>
      </w:pPr>
    </w:lvl>
    <w:lvl w:ilvl="7" w:tplc="0C090019" w:tentative="1">
      <w:start w:val="1"/>
      <w:numFmt w:val="lowerLetter"/>
      <w:lvlText w:val="%8."/>
      <w:lvlJc w:val="left"/>
      <w:pPr>
        <w:ind w:left="7380" w:hanging="360"/>
      </w:pPr>
    </w:lvl>
    <w:lvl w:ilvl="8" w:tplc="0C09001B" w:tentative="1">
      <w:start w:val="1"/>
      <w:numFmt w:val="lowerRoman"/>
      <w:lvlText w:val="%9."/>
      <w:lvlJc w:val="right"/>
      <w:pPr>
        <w:ind w:left="8100" w:hanging="180"/>
      </w:pPr>
    </w:lvl>
  </w:abstractNum>
  <w:abstractNum w:abstractNumId="8" w15:restartNumberingAfterBreak="0">
    <w:nsid w:val="37882D28"/>
    <w:multiLevelType w:val="hybridMultilevel"/>
    <w:tmpl w:val="451CB852"/>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9" w15:restartNumberingAfterBreak="0">
    <w:nsid w:val="3D7E40DF"/>
    <w:multiLevelType w:val="multilevel"/>
    <w:tmpl w:val="7EA4E2F2"/>
    <w:lvl w:ilvl="0">
      <w:start w:val="1"/>
      <w:numFmt w:val="decimal"/>
      <w:pStyle w:val="Heading2numbered"/>
      <w:lvlText w:val="%1."/>
      <w:lvlJc w:val="left"/>
      <w:pPr>
        <w:ind w:left="360" w:hanging="360"/>
      </w:pPr>
    </w:lvl>
    <w:lvl w:ilvl="1">
      <w:start w:val="1"/>
      <w:numFmt w:val="lowerLetter"/>
      <w:pStyle w:val="Heading3list"/>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pStyle w:val="Heading4list"/>
      <w:lvlText w:val="%9."/>
      <w:lvlJc w:val="left"/>
      <w:pPr>
        <w:ind w:left="3240" w:hanging="360"/>
      </w:pPr>
    </w:lvl>
  </w:abstractNum>
  <w:abstractNum w:abstractNumId="10" w15:restartNumberingAfterBreak="0">
    <w:nsid w:val="5ED8463D"/>
    <w:multiLevelType w:val="hybridMultilevel"/>
    <w:tmpl w:val="9C34F0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11E7C95"/>
    <w:multiLevelType w:val="hybridMultilevel"/>
    <w:tmpl w:val="AA0876AE"/>
    <w:lvl w:ilvl="0" w:tplc="11ECEA22">
      <w:start w:val="2"/>
      <w:numFmt w:val="upp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 w15:restartNumberingAfterBreak="0">
    <w:nsid w:val="63807DB3"/>
    <w:multiLevelType w:val="hybridMultilevel"/>
    <w:tmpl w:val="4B7E929C"/>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13" w15:restartNumberingAfterBreak="0">
    <w:nsid w:val="647D6776"/>
    <w:multiLevelType w:val="hybridMultilevel"/>
    <w:tmpl w:val="53E282F6"/>
    <w:lvl w:ilvl="0" w:tplc="0C090001">
      <w:start w:val="1"/>
      <w:numFmt w:val="bullet"/>
      <w:lvlText w:val=""/>
      <w:lvlJc w:val="left"/>
      <w:pPr>
        <w:ind w:left="6480" w:hanging="360"/>
      </w:pPr>
      <w:rPr>
        <w:rFonts w:ascii="Symbol" w:hAnsi="Symbol" w:hint="default"/>
      </w:rPr>
    </w:lvl>
    <w:lvl w:ilvl="1" w:tplc="0C090003">
      <w:start w:val="1"/>
      <w:numFmt w:val="bullet"/>
      <w:lvlText w:val="o"/>
      <w:lvlJc w:val="left"/>
      <w:pPr>
        <w:ind w:left="7200" w:hanging="360"/>
      </w:pPr>
      <w:rPr>
        <w:rFonts w:ascii="Courier New" w:hAnsi="Courier New" w:cs="Courier New" w:hint="default"/>
      </w:rPr>
    </w:lvl>
    <w:lvl w:ilvl="2" w:tplc="0C090005" w:tentative="1">
      <w:start w:val="1"/>
      <w:numFmt w:val="bullet"/>
      <w:lvlText w:val=""/>
      <w:lvlJc w:val="left"/>
      <w:pPr>
        <w:ind w:left="7920" w:hanging="360"/>
      </w:pPr>
      <w:rPr>
        <w:rFonts w:ascii="Wingdings" w:hAnsi="Wingdings" w:hint="default"/>
      </w:rPr>
    </w:lvl>
    <w:lvl w:ilvl="3" w:tplc="0C090001" w:tentative="1">
      <w:start w:val="1"/>
      <w:numFmt w:val="bullet"/>
      <w:lvlText w:val=""/>
      <w:lvlJc w:val="left"/>
      <w:pPr>
        <w:ind w:left="8640" w:hanging="360"/>
      </w:pPr>
      <w:rPr>
        <w:rFonts w:ascii="Symbol" w:hAnsi="Symbol" w:hint="default"/>
      </w:rPr>
    </w:lvl>
    <w:lvl w:ilvl="4" w:tplc="0C090003" w:tentative="1">
      <w:start w:val="1"/>
      <w:numFmt w:val="bullet"/>
      <w:lvlText w:val="o"/>
      <w:lvlJc w:val="left"/>
      <w:pPr>
        <w:ind w:left="9360" w:hanging="360"/>
      </w:pPr>
      <w:rPr>
        <w:rFonts w:ascii="Courier New" w:hAnsi="Courier New" w:cs="Courier New" w:hint="default"/>
      </w:rPr>
    </w:lvl>
    <w:lvl w:ilvl="5" w:tplc="0C090005" w:tentative="1">
      <w:start w:val="1"/>
      <w:numFmt w:val="bullet"/>
      <w:lvlText w:val=""/>
      <w:lvlJc w:val="left"/>
      <w:pPr>
        <w:ind w:left="10080" w:hanging="360"/>
      </w:pPr>
      <w:rPr>
        <w:rFonts w:ascii="Wingdings" w:hAnsi="Wingdings" w:hint="default"/>
      </w:rPr>
    </w:lvl>
    <w:lvl w:ilvl="6" w:tplc="0C090001" w:tentative="1">
      <w:start w:val="1"/>
      <w:numFmt w:val="bullet"/>
      <w:lvlText w:val=""/>
      <w:lvlJc w:val="left"/>
      <w:pPr>
        <w:ind w:left="10800" w:hanging="360"/>
      </w:pPr>
      <w:rPr>
        <w:rFonts w:ascii="Symbol" w:hAnsi="Symbol" w:hint="default"/>
      </w:rPr>
    </w:lvl>
    <w:lvl w:ilvl="7" w:tplc="0C090003" w:tentative="1">
      <w:start w:val="1"/>
      <w:numFmt w:val="bullet"/>
      <w:lvlText w:val="o"/>
      <w:lvlJc w:val="left"/>
      <w:pPr>
        <w:ind w:left="11520" w:hanging="360"/>
      </w:pPr>
      <w:rPr>
        <w:rFonts w:ascii="Courier New" w:hAnsi="Courier New" w:cs="Courier New" w:hint="default"/>
      </w:rPr>
    </w:lvl>
    <w:lvl w:ilvl="8" w:tplc="0C090005" w:tentative="1">
      <w:start w:val="1"/>
      <w:numFmt w:val="bullet"/>
      <w:lvlText w:val=""/>
      <w:lvlJc w:val="left"/>
      <w:pPr>
        <w:ind w:left="12240" w:hanging="360"/>
      </w:pPr>
      <w:rPr>
        <w:rFonts w:ascii="Wingdings" w:hAnsi="Wingdings" w:hint="default"/>
      </w:rPr>
    </w:lvl>
  </w:abstractNum>
  <w:num w:numId="1">
    <w:abstractNumId w:val="9"/>
  </w:num>
  <w:num w:numId="2">
    <w:abstractNumId w:val="4"/>
  </w:num>
  <w:num w:numId="3">
    <w:abstractNumId w:val="8"/>
  </w:num>
  <w:num w:numId="4">
    <w:abstractNumId w:val="12"/>
  </w:num>
  <w:num w:numId="5">
    <w:abstractNumId w:val="10"/>
  </w:num>
  <w:num w:numId="6">
    <w:abstractNumId w:val="5"/>
  </w:num>
  <w:num w:numId="7">
    <w:abstractNumId w:val="7"/>
  </w:num>
  <w:num w:numId="8">
    <w:abstractNumId w:val="2"/>
  </w:num>
  <w:num w:numId="9">
    <w:abstractNumId w:val="0"/>
  </w:num>
  <w:num w:numId="10">
    <w:abstractNumId w:val="11"/>
  </w:num>
  <w:num w:numId="11">
    <w:abstractNumId w:val="3"/>
  </w:num>
  <w:num w:numId="12">
    <w:abstractNumId w:val="13"/>
  </w:num>
  <w:num w:numId="13">
    <w:abstractNumId w:val="1"/>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readOnly" w:enforcement="1" w:cryptProviderType="rsaAES" w:cryptAlgorithmClass="hash" w:cryptAlgorithmType="typeAny" w:cryptAlgorithmSid="14" w:cryptSpinCount="100000" w:hash="1EtL0i0mEimDPqUhuP/kz3gOnHLK3NKrNFXchHynR8G4OKJiQ7dUpGhgGppAUdR8IippHipHHA71fG9yPl16qg==" w:salt="VnKdT9YOABY066SFLfjVpg=="/>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33A9"/>
    <w:rsid w:val="0000010D"/>
    <w:rsid w:val="000174C5"/>
    <w:rsid w:val="0002371E"/>
    <w:rsid w:val="00030C92"/>
    <w:rsid w:val="0003287B"/>
    <w:rsid w:val="000348E1"/>
    <w:rsid w:val="000401C2"/>
    <w:rsid w:val="0004101F"/>
    <w:rsid w:val="00041823"/>
    <w:rsid w:val="00055988"/>
    <w:rsid w:val="000604EE"/>
    <w:rsid w:val="00073D92"/>
    <w:rsid w:val="00081CB1"/>
    <w:rsid w:val="00083715"/>
    <w:rsid w:val="000850CD"/>
    <w:rsid w:val="00087737"/>
    <w:rsid w:val="00095C58"/>
    <w:rsid w:val="00097D72"/>
    <w:rsid w:val="000A48B4"/>
    <w:rsid w:val="000A7D00"/>
    <w:rsid w:val="000A7D6C"/>
    <w:rsid w:val="000B6A15"/>
    <w:rsid w:val="000D03DC"/>
    <w:rsid w:val="000D3CB3"/>
    <w:rsid w:val="000D543A"/>
    <w:rsid w:val="000E29A1"/>
    <w:rsid w:val="000E53CB"/>
    <w:rsid w:val="000F2445"/>
    <w:rsid w:val="000F462C"/>
    <w:rsid w:val="000F5421"/>
    <w:rsid w:val="000F691A"/>
    <w:rsid w:val="00104188"/>
    <w:rsid w:val="001210F1"/>
    <w:rsid w:val="001216AF"/>
    <w:rsid w:val="00125468"/>
    <w:rsid w:val="00133B2E"/>
    <w:rsid w:val="0013600E"/>
    <w:rsid w:val="00137DCB"/>
    <w:rsid w:val="0014025C"/>
    <w:rsid w:val="001431AD"/>
    <w:rsid w:val="00154F86"/>
    <w:rsid w:val="001559D3"/>
    <w:rsid w:val="0016005C"/>
    <w:rsid w:val="00162D82"/>
    <w:rsid w:val="001661D2"/>
    <w:rsid w:val="001669EC"/>
    <w:rsid w:val="0016748E"/>
    <w:rsid w:val="00182660"/>
    <w:rsid w:val="00182BCD"/>
    <w:rsid w:val="00185F40"/>
    <w:rsid w:val="001A12FA"/>
    <w:rsid w:val="001A20A2"/>
    <w:rsid w:val="001A4BCB"/>
    <w:rsid w:val="001A6FB8"/>
    <w:rsid w:val="001B6126"/>
    <w:rsid w:val="001C3970"/>
    <w:rsid w:val="001C39E9"/>
    <w:rsid w:val="001D71EC"/>
    <w:rsid w:val="001E3608"/>
    <w:rsid w:val="001E39BC"/>
    <w:rsid w:val="001F6C42"/>
    <w:rsid w:val="00210FC8"/>
    <w:rsid w:val="00223957"/>
    <w:rsid w:val="00224274"/>
    <w:rsid w:val="00225ABE"/>
    <w:rsid w:val="002328D9"/>
    <w:rsid w:val="00236C9C"/>
    <w:rsid w:val="002374AA"/>
    <w:rsid w:val="002513C6"/>
    <w:rsid w:val="002514BF"/>
    <w:rsid w:val="002533A9"/>
    <w:rsid w:val="00253E13"/>
    <w:rsid w:val="002725AA"/>
    <w:rsid w:val="002936A9"/>
    <w:rsid w:val="0029550A"/>
    <w:rsid w:val="0029639C"/>
    <w:rsid w:val="00297D19"/>
    <w:rsid w:val="002A47D7"/>
    <w:rsid w:val="002B20C0"/>
    <w:rsid w:val="002B250B"/>
    <w:rsid w:val="002B74EC"/>
    <w:rsid w:val="002D5A37"/>
    <w:rsid w:val="002D7483"/>
    <w:rsid w:val="002E3D04"/>
    <w:rsid w:val="002E42A5"/>
    <w:rsid w:val="002F348B"/>
    <w:rsid w:val="00316E36"/>
    <w:rsid w:val="00321043"/>
    <w:rsid w:val="00321877"/>
    <w:rsid w:val="00337DE6"/>
    <w:rsid w:val="00340EB3"/>
    <w:rsid w:val="003412FC"/>
    <w:rsid w:val="00341351"/>
    <w:rsid w:val="003457A4"/>
    <w:rsid w:val="0035585F"/>
    <w:rsid w:val="003565F0"/>
    <w:rsid w:val="00356C36"/>
    <w:rsid w:val="003571BF"/>
    <w:rsid w:val="00362941"/>
    <w:rsid w:val="003711B2"/>
    <w:rsid w:val="00385326"/>
    <w:rsid w:val="00385888"/>
    <w:rsid w:val="003922FF"/>
    <w:rsid w:val="003949A3"/>
    <w:rsid w:val="003B5617"/>
    <w:rsid w:val="003C041A"/>
    <w:rsid w:val="003C4829"/>
    <w:rsid w:val="003C6A8A"/>
    <w:rsid w:val="003D2B97"/>
    <w:rsid w:val="003D484A"/>
    <w:rsid w:val="003D6BF1"/>
    <w:rsid w:val="003E3C38"/>
    <w:rsid w:val="003F71C5"/>
    <w:rsid w:val="003F7814"/>
    <w:rsid w:val="00403297"/>
    <w:rsid w:val="00407102"/>
    <w:rsid w:val="00416341"/>
    <w:rsid w:val="00420CBD"/>
    <w:rsid w:val="0042419D"/>
    <w:rsid w:val="00426562"/>
    <w:rsid w:val="00432E29"/>
    <w:rsid w:val="004333C0"/>
    <w:rsid w:val="00436D9A"/>
    <w:rsid w:val="00437188"/>
    <w:rsid w:val="00440762"/>
    <w:rsid w:val="0044449C"/>
    <w:rsid w:val="00444778"/>
    <w:rsid w:val="00452EF8"/>
    <w:rsid w:val="004538F8"/>
    <w:rsid w:val="004569EC"/>
    <w:rsid w:val="00457D55"/>
    <w:rsid w:val="00463F52"/>
    <w:rsid w:val="00464D36"/>
    <w:rsid w:val="004A2D5B"/>
    <w:rsid w:val="004A5277"/>
    <w:rsid w:val="004B7E39"/>
    <w:rsid w:val="004C2E67"/>
    <w:rsid w:val="004C3734"/>
    <w:rsid w:val="004E470E"/>
    <w:rsid w:val="004F6EC6"/>
    <w:rsid w:val="0050044B"/>
    <w:rsid w:val="00501120"/>
    <w:rsid w:val="0050486F"/>
    <w:rsid w:val="005051E3"/>
    <w:rsid w:val="005209DD"/>
    <w:rsid w:val="00521242"/>
    <w:rsid w:val="00524330"/>
    <w:rsid w:val="0053025E"/>
    <w:rsid w:val="00531FB7"/>
    <w:rsid w:val="00532C80"/>
    <w:rsid w:val="00540674"/>
    <w:rsid w:val="00543006"/>
    <w:rsid w:val="005437D0"/>
    <w:rsid w:val="0054382A"/>
    <w:rsid w:val="005501FD"/>
    <w:rsid w:val="005603D0"/>
    <w:rsid w:val="005604B9"/>
    <w:rsid w:val="00565B68"/>
    <w:rsid w:val="00571481"/>
    <w:rsid w:val="00572759"/>
    <w:rsid w:val="0057466D"/>
    <w:rsid w:val="0058393A"/>
    <w:rsid w:val="00585FED"/>
    <w:rsid w:val="00586416"/>
    <w:rsid w:val="0058655D"/>
    <w:rsid w:val="00590D0A"/>
    <w:rsid w:val="00591DB5"/>
    <w:rsid w:val="0059252E"/>
    <w:rsid w:val="005945E3"/>
    <w:rsid w:val="0059535D"/>
    <w:rsid w:val="005A0660"/>
    <w:rsid w:val="005B5D83"/>
    <w:rsid w:val="005B7FE9"/>
    <w:rsid w:val="005D20A2"/>
    <w:rsid w:val="005E0C53"/>
    <w:rsid w:val="005F6451"/>
    <w:rsid w:val="005F6535"/>
    <w:rsid w:val="00611DB4"/>
    <w:rsid w:val="00622648"/>
    <w:rsid w:val="0062285A"/>
    <w:rsid w:val="00624593"/>
    <w:rsid w:val="00625153"/>
    <w:rsid w:val="00626AB9"/>
    <w:rsid w:val="00632450"/>
    <w:rsid w:val="006358DE"/>
    <w:rsid w:val="00635E6D"/>
    <w:rsid w:val="00653C21"/>
    <w:rsid w:val="00666B54"/>
    <w:rsid w:val="00686E77"/>
    <w:rsid w:val="006879C8"/>
    <w:rsid w:val="00690B60"/>
    <w:rsid w:val="006A209C"/>
    <w:rsid w:val="006B1B0A"/>
    <w:rsid w:val="006B4FD4"/>
    <w:rsid w:val="006C319F"/>
    <w:rsid w:val="006D4BB2"/>
    <w:rsid w:val="006E2822"/>
    <w:rsid w:val="006E5E26"/>
    <w:rsid w:val="007068F1"/>
    <w:rsid w:val="00710950"/>
    <w:rsid w:val="007127DF"/>
    <w:rsid w:val="00716793"/>
    <w:rsid w:val="007169B3"/>
    <w:rsid w:val="0072166A"/>
    <w:rsid w:val="00732620"/>
    <w:rsid w:val="00741490"/>
    <w:rsid w:val="00742B73"/>
    <w:rsid w:val="007469C7"/>
    <w:rsid w:val="007525B6"/>
    <w:rsid w:val="00752880"/>
    <w:rsid w:val="007545C6"/>
    <w:rsid w:val="00764EB6"/>
    <w:rsid w:val="00774AAB"/>
    <w:rsid w:val="00777DE8"/>
    <w:rsid w:val="00782193"/>
    <w:rsid w:val="0078268B"/>
    <w:rsid w:val="00786B2B"/>
    <w:rsid w:val="007A1F3D"/>
    <w:rsid w:val="007A3433"/>
    <w:rsid w:val="007C0CC6"/>
    <w:rsid w:val="007C2A94"/>
    <w:rsid w:val="007C6BAA"/>
    <w:rsid w:val="007D4D11"/>
    <w:rsid w:val="00800434"/>
    <w:rsid w:val="00807FEF"/>
    <w:rsid w:val="00813D57"/>
    <w:rsid w:val="008150A9"/>
    <w:rsid w:val="008224ED"/>
    <w:rsid w:val="00824C10"/>
    <w:rsid w:val="008254C2"/>
    <w:rsid w:val="00827E06"/>
    <w:rsid w:val="00833155"/>
    <w:rsid w:val="008363D1"/>
    <w:rsid w:val="008475FF"/>
    <w:rsid w:val="00850ADA"/>
    <w:rsid w:val="008565C9"/>
    <w:rsid w:val="008708BA"/>
    <w:rsid w:val="008752A7"/>
    <w:rsid w:val="008760D3"/>
    <w:rsid w:val="00880060"/>
    <w:rsid w:val="00882A09"/>
    <w:rsid w:val="008876BF"/>
    <w:rsid w:val="0089226E"/>
    <w:rsid w:val="00896431"/>
    <w:rsid w:val="00897506"/>
    <w:rsid w:val="008A0308"/>
    <w:rsid w:val="008A3DBB"/>
    <w:rsid w:val="008A519F"/>
    <w:rsid w:val="008A75EC"/>
    <w:rsid w:val="008B5216"/>
    <w:rsid w:val="008C1BF5"/>
    <w:rsid w:val="008E344F"/>
    <w:rsid w:val="008F517C"/>
    <w:rsid w:val="008F6150"/>
    <w:rsid w:val="008F7483"/>
    <w:rsid w:val="00900CE0"/>
    <w:rsid w:val="009024DC"/>
    <w:rsid w:val="0090339F"/>
    <w:rsid w:val="00917C55"/>
    <w:rsid w:val="00932482"/>
    <w:rsid w:val="0094234B"/>
    <w:rsid w:val="009534B7"/>
    <w:rsid w:val="00956523"/>
    <w:rsid w:val="00962092"/>
    <w:rsid w:val="00966CC5"/>
    <w:rsid w:val="00973120"/>
    <w:rsid w:val="00975BA2"/>
    <w:rsid w:val="00977DAD"/>
    <w:rsid w:val="00980BC2"/>
    <w:rsid w:val="00982AF4"/>
    <w:rsid w:val="009870F4"/>
    <w:rsid w:val="009928AA"/>
    <w:rsid w:val="009935CB"/>
    <w:rsid w:val="009A7358"/>
    <w:rsid w:val="009B2D78"/>
    <w:rsid w:val="009D104D"/>
    <w:rsid w:val="009F5A06"/>
    <w:rsid w:val="009F7708"/>
    <w:rsid w:val="009F776B"/>
    <w:rsid w:val="00A0349D"/>
    <w:rsid w:val="00A05044"/>
    <w:rsid w:val="00A066EC"/>
    <w:rsid w:val="00A101BA"/>
    <w:rsid w:val="00A20757"/>
    <w:rsid w:val="00A22309"/>
    <w:rsid w:val="00A25460"/>
    <w:rsid w:val="00A33375"/>
    <w:rsid w:val="00A45D4F"/>
    <w:rsid w:val="00A518FB"/>
    <w:rsid w:val="00A5398D"/>
    <w:rsid w:val="00A54DA9"/>
    <w:rsid w:val="00A570F0"/>
    <w:rsid w:val="00A64DD6"/>
    <w:rsid w:val="00A65C03"/>
    <w:rsid w:val="00A672CE"/>
    <w:rsid w:val="00A67B1C"/>
    <w:rsid w:val="00A67B96"/>
    <w:rsid w:val="00A72AF4"/>
    <w:rsid w:val="00A74874"/>
    <w:rsid w:val="00A75E5E"/>
    <w:rsid w:val="00A76857"/>
    <w:rsid w:val="00A8071A"/>
    <w:rsid w:val="00A81D87"/>
    <w:rsid w:val="00A91F30"/>
    <w:rsid w:val="00A9213C"/>
    <w:rsid w:val="00AB5CD7"/>
    <w:rsid w:val="00AB5F93"/>
    <w:rsid w:val="00AC1FC2"/>
    <w:rsid w:val="00AC4E6E"/>
    <w:rsid w:val="00AC5CC9"/>
    <w:rsid w:val="00AC6980"/>
    <w:rsid w:val="00AC7747"/>
    <w:rsid w:val="00AD124E"/>
    <w:rsid w:val="00AE29A9"/>
    <w:rsid w:val="00AF12A8"/>
    <w:rsid w:val="00AF425B"/>
    <w:rsid w:val="00AF7156"/>
    <w:rsid w:val="00B01E93"/>
    <w:rsid w:val="00B07BEA"/>
    <w:rsid w:val="00B136D4"/>
    <w:rsid w:val="00B15608"/>
    <w:rsid w:val="00B2406D"/>
    <w:rsid w:val="00B2411B"/>
    <w:rsid w:val="00B36733"/>
    <w:rsid w:val="00B4038E"/>
    <w:rsid w:val="00B47CC9"/>
    <w:rsid w:val="00B5136D"/>
    <w:rsid w:val="00B52AB2"/>
    <w:rsid w:val="00B56B82"/>
    <w:rsid w:val="00B77701"/>
    <w:rsid w:val="00B8132A"/>
    <w:rsid w:val="00BA2483"/>
    <w:rsid w:val="00BB6568"/>
    <w:rsid w:val="00BC021C"/>
    <w:rsid w:val="00BD09F7"/>
    <w:rsid w:val="00BE384F"/>
    <w:rsid w:val="00BE4FE2"/>
    <w:rsid w:val="00BE62FD"/>
    <w:rsid w:val="00BF1167"/>
    <w:rsid w:val="00BF20D3"/>
    <w:rsid w:val="00BF22E9"/>
    <w:rsid w:val="00C02544"/>
    <w:rsid w:val="00C06567"/>
    <w:rsid w:val="00C145CE"/>
    <w:rsid w:val="00C14A86"/>
    <w:rsid w:val="00C2072C"/>
    <w:rsid w:val="00C223D0"/>
    <w:rsid w:val="00C22DA1"/>
    <w:rsid w:val="00C322A7"/>
    <w:rsid w:val="00C33B4C"/>
    <w:rsid w:val="00C43786"/>
    <w:rsid w:val="00C55201"/>
    <w:rsid w:val="00C60B9A"/>
    <w:rsid w:val="00C623E3"/>
    <w:rsid w:val="00C64905"/>
    <w:rsid w:val="00C759B1"/>
    <w:rsid w:val="00C92B0F"/>
    <w:rsid w:val="00CB004B"/>
    <w:rsid w:val="00CB0D04"/>
    <w:rsid w:val="00CB7202"/>
    <w:rsid w:val="00CB7F22"/>
    <w:rsid w:val="00CC1CB6"/>
    <w:rsid w:val="00CC302C"/>
    <w:rsid w:val="00CC33FD"/>
    <w:rsid w:val="00CC72A0"/>
    <w:rsid w:val="00CD47B4"/>
    <w:rsid w:val="00CD6F7E"/>
    <w:rsid w:val="00CE2BBA"/>
    <w:rsid w:val="00CE65FF"/>
    <w:rsid w:val="00CF5153"/>
    <w:rsid w:val="00D030E9"/>
    <w:rsid w:val="00D03698"/>
    <w:rsid w:val="00D052C9"/>
    <w:rsid w:val="00D10F47"/>
    <w:rsid w:val="00D13945"/>
    <w:rsid w:val="00D143F4"/>
    <w:rsid w:val="00D169B7"/>
    <w:rsid w:val="00D206D4"/>
    <w:rsid w:val="00D24127"/>
    <w:rsid w:val="00D41FEE"/>
    <w:rsid w:val="00D42925"/>
    <w:rsid w:val="00D46BFD"/>
    <w:rsid w:val="00D5172A"/>
    <w:rsid w:val="00D53856"/>
    <w:rsid w:val="00D556D9"/>
    <w:rsid w:val="00D72D9D"/>
    <w:rsid w:val="00D72F84"/>
    <w:rsid w:val="00D75A3E"/>
    <w:rsid w:val="00D80D48"/>
    <w:rsid w:val="00D90C54"/>
    <w:rsid w:val="00D922BB"/>
    <w:rsid w:val="00D961F2"/>
    <w:rsid w:val="00D9799B"/>
    <w:rsid w:val="00DA3915"/>
    <w:rsid w:val="00DB0A6A"/>
    <w:rsid w:val="00DB1E84"/>
    <w:rsid w:val="00DC6F2E"/>
    <w:rsid w:val="00DC6F5A"/>
    <w:rsid w:val="00DD0231"/>
    <w:rsid w:val="00DD2EB9"/>
    <w:rsid w:val="00DE1F0E"/>
    <w:rsid w:val="00DE1F95"/>
    <w:rsid w:val="00E048B4"/>
    <w:rsid w:val="00E05567"/>
    <w:rsid w:val="00E07C7A"/>
    <w:rsid w:val="00E1460D"/>
    <w:rsid w:val="00E40CD2"/>
    <w:rsid w:val="00E469CF"/>
    <w:rsid w:val="00E52D8F"/>
    <w:rsid w:val="00E53224"/>
    <w:rsid w:val="00E5387D"/>
    <w:rsid w:val="00E61CCB"/>
    <w:rsid w:val="00E633C4"/>
    <w:rsid w:val="00E76CF2"/>
    <w:rsid w:val="00E83E26"/>
    <w:rsid w:val="00E845E0"/>
    <w:rsid w:val="00E91BCF"/>
    <w:rsid w:val="00EA409F"/>
    <w:rsid w:val="00EA42DD"/>
    <w:rsid w:val="00EB6EF6"/>
    <w:rsid w:val="00EB7F21"/>
    <w:rsid w:val="00EC385D"/>
    <w:rsid w:val="00ED1847"/>
    <w:rsid w:val="00ED2E46"/>
    <w:rsid w:val="00ED4520"/>
    <w:rsid w:val="00F012F4"/>
    <w:rsid w:val="00F071C8"/>
    <w:rsid w:val="00F0741A"/>
    <w:rsid w:val="00F07DB1"/>
    <w:rsid w:val="00F10A60"/>
    <w:rsid w:val="00F10D07"/>
    <w:rsid w:val="00F1313E"/>
    <w:rsid w:val="00F15296"/>
    <w:rsid w:val="00F20AEB"/>
    <w:rsid w:val="00F232DC"/>
    <w:rsid w:val="00F238A7"/>
    <w:rsid w:val="00F258E5"/>
    <w:rsid w:val="00F310A8"/>
    <w:rsid w:val="00F356AA"/>
    <w:rsid w:val="00F370AB"/>
    <w:rsid w:val="00F40C33"/>
    <w:rsid w:val="00F45CEA"/>
    <w:rsid w:val="00F51B05"/>
    <w:rsid w:val="00F52474"/>
    <w:rsid w:val="00F61C41"/>
    <w:rsid w:val="00F660F5"/>
    <w:rsid w:val="00F7651B"/>
    <w:rsid w:val="00F8120C"/>
    <w:rsid w:val="00F82FF4"/>
    <w:rsid w:val="00F87F37"/>
    <w:rsid w:val="00F9033F"/>
    <w:rsid w:val="00FA40FE"/>
    <w:rsid w:val="00FB691D"/>
    <w:rsid w:val="00FC41A3"/>
    <w:rsid w:val="00FC686D"/>
    <w:rsid w:val="00FC73F9"/>
    <w:rsid w:val="00FD4456"/>
    <w:rsid w:val="00FD7D2A"/>
    <w:rsid w:val="00FE3ABF"/>
    <w:rsid w:val="00FF2512"/>
    <w:rsid w:val="00FF4A6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20A5B98-944D-4C98-8B34-E6996D366A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59D3"/>
  </w:style>
  <w:style w:type="paragraph" w:styleId="Heading1">
    <w:name w:val="heading 1"/>
    <w:basedOn w:val="Normal"/>
    <w:next w:val="Normal"/>
    <w:link w:val="Heading1Char"/>
    <w:uiPriority w:val="9"/>
    <w:qFormat/>
    <w:rsid w:val="0072166A"/>
    <w:pPr>
      <w:keepNext/>
      <w:keepLines/>
      <w:spacing w:before="400" w:after="40" w:line="240" w:lineRule="auto"/>
      <w:outlineLvl w:val="0"/>
    </w:pPr>
    <w:rPr>
      <w:rFonts w:asciiTheme="majorHAnsi" w:eastAsiaTheme="majorEastAsia" w:hAnsiTheme="majorHAnsi" w:cstheme="majorBidi"/>
      <w:b/>
      <w:caps/>
      <w:color w:val="005163"/>
      <w:sz w:val="28"/>
      <w:szCs w:val="36"/>
    </w:rPr>
  </w:style>
  <w:style w:type="paragraph" w:styleId="Heading2">
    <w:name w:val="heading 2"/>
    <w:basedOn w:val="Normal"/>
    <w:next w:val="Normal"/>
    <w:link w:val="Heading2Char"/>
    <w:uiPriority w:val="9"/>
    <w:unhideWhenUsed/>
    <w:qFormat/>
    <w:rsid w:val="001559D3"/>
    <w:pPr>
      <w:keepNext/>
      <w:keepLines/>
      <w:spacing w:before="120" w:after="0" w:line="240" w:lineRule="auto"/>
      <w:outlineLvl w:val="1"/>
    </w:pPr>
    <w:rPr>
      <w:rFonts w:asciiTheme="majorHAnsi" w:eastAsiaTheme="majorEastAsia" w:hAnsiTheme="majorHAnsi" w:cstheme="majorBidi"/>
      <w:caps/>
      <w:sz w:val="28"/>
      <w:szCs w:val="28"/>
    </w:rPr>
  </w:style>
  <w:style w:type="paragraph" w:styleId="Heading3">
    <w:name w:val="heading 3"/>
    <w:basedOn w:val="Normal"/>
    <w:next w:val="Normal"/>
    <w:link w:val="Heading3Char"/>
    <w:uiPriority w:val="9"/>
    <w:semiHidden/>
    <w:unhideWhenUsed/>
    <w:qFormat/>
    <w:rsid w:val="001559D3"/>
    <w:pPr>
      <w:keepNext/>
      <w:keepLines/>
      <w:spacing w:before="120" w:after="0" w:line="240" w:lineRule="auto"/>
      <w:outlineLvl w:val="2"/>
    </w:pPr>
    <w:rPr>
      <w:rFonts w:asciiTheme="majorHAnsi" w:eastAsiaTheme="majorEastAsia" w:hAnsiTheme="majorHAnsi" w:cstheme="majorBidi"/>
      <w:smallCaps/>
      <w:sz w:val="28"/>
      <w:szCs w:val="28"/>
    </w:rPr>
  </w:style>
  <w:style w:type="paragraph" w:styleId="Heading4">
    <w:name w:val="heading 4"/>
    <w:basedOn w:val="Normal"/>
    <w:next w:val="Normal"/>
    <w:link w:val="Heading4Char"/>
    <w:uiPriority w:val="9"/>
    <w:semiHidden/>
    <w:unhideWhenUsed/>
    <w:qFormat/>
    <w:rsid w:val="001559D3"/>
    <w:pPr>
      <w:keepNext/>
      <w:keepLines/>
      <w:spacing w:before="120" w:after="0"/>
      <w:outlineLvl w:val="3"/>
    </w:pPr>
    <w:rPr>
      <w:rFonts w:asciiTheme="majorHAnsi" w:eastAsiaTheme="majorEastAsia" w:hAnsiTheme="majorHAnsi" w:cstheme="majorBidi"/>
      <w:caps/>
    </w:rPr>
  </w:style>
  <w:style w:type="paragraph" w:styleId="Heading5">
    <w:name w:val="heading 5"/>
    <w:basedOn w:val="Normal"/>
    <w:next w:val="Normal"/>
    <w:link w:val="Heading5Char"/>
    <w:uiPriority w:val="9"/>
    <w:semiHidden/>
    <w:unhideWhenUsed/>
    <w:qFormat/>
    <w:rsid w:val="001559D3"/>
    <w:pPr>
      <w:keepNext/>
      <w:keepLines/>
      <w:spacing w:before="120" w:after="0"/>
      <w:outlineLvl w:val="4"/>
    </w:pPr>
    <w:rPr>
      <w:rFonts w:asciiTheme="majorHAnsi" w:eastAsiaTheme="majorEastAsia" w:hAnsiTheme="majorHAnsi" w:cstheme="majorBidi"/>
      <w:i/>
      <w:iCs/>
      <w:caps/>
    </w:rPr>
  </w:style>
  <w:style w:type="paragraph" w:styleId="Heading6">
    <w:name w:val="heading 6"/>
    <w:basedOn w:val="Normal"/>
    <w:next w:val="Normal"/>
    <w:link w:val="Heading6Char"/>
    <w:uiPriority w:val="9"/>
    <w:semiHidden/>
    <w:unhideWhenUsed/>
    <w:qFormat/>
    <w:rsid w:val="001559D3"/>
    <w:pPr>
      <w:keepNext/>
      <w:keepLines/>
      <w:spacing w:before="120" w:after="0"/>
      <w:outlineLvl w:val="5"/>
    </w:pPr>
    <w:rPr>
      <w:rFonts w:asciiTheme="majorHAnsi" w:eastAsiaTheme="majorEastAsia" w:hAnsiTheme="majorHAnsi" w:cstheme="majorBidi"/>
      <w:b/>
      <w:bCs/>
      <w:caps/>
      <w:color w:val="262626" w:themeColor="text1" w:themeTint="D9"/>
      <w:sz w:val="20"/>
      <w:szCs w:val="20"/>
    </w:rPr>
  </w:style>
  <w:style w:type="paragraph" w:styleId="Heading7">
    <w:name w:val="heading 7"/>
    <w:basedOn w:val="Normal"/>
    <w:next w:val="Normal"/>
    <w:link w:val="Heading7Char"/>
    <w:uiPriority w:val="9"/>
    <w:semiHidden/>
    <w:unhideWhenUsed/>
    <w:qFormat/>
    <w:rsid w:val="001559D3"/>
    <w:pPr>
      <w:keepNext/>
      <w:keepLines/>
      <w:spacing w:before="120" w:after="0"/>
      <w:outlineLvl w:val="6"/>
    </w:pPr>
    <w:rPr>
      <w:rFonts w:asciiTheme="majorHAnsi" w:eastAsiaTheme="majorEastAsia" w:hAnsiTheme="majorHAnsi" w:cstheme="majorBidi"/>
      <w:b/>
      <w:bCs/>
      <w:i/>
      <w:iCs/>
      <w:caps/>
      <w:color w:val="262626" w:themeColor="text1" w:themeTint="D9"/>
      <w:sz w:val="20"/>
      <w:szCs w:val="20"/>
    </w:rPr>
  </w:style>
  <w:style w:type="paragraph" w:styleId="Heading8">
    <w:name w:val="heading 8"/>
    <w:basedOn w:val="Normal"/>
    <w:next w:val="Normal"/>
    <w:link w:val="Heading8Char"/>
    <w:uiPriority w:val="9"/>
    <w:semiHidden/>
    <w:unhideWhenUsed/>
    <w:qFormat/>
    <w:rsid w:val="001559D3"/>
    <w:pPr>
      <w:keepNext/>
      <w:keepLines/>
      <w:spacing w:before="120" w:after="0"/>
      <w:outlineLvl w:val="7"/>
    </w:pPr>
    <w:rPr>
      <w:rFonts w:asciiTheme="majorHAnsi" w:eastAsiaTheme="majorEastAsia" w:hAnsiTheme="majorHAnsi" w:cstheme="majorBidi"/>
      <w:b/>
      <w:bCs/>
      <w:caps/>
      <w:color w:val="7F7F7F" w:themeColor="text1" w:themeTint="80"/>
      <w:sz w:val="20"/>
      <w:szCs w:val="20"/>
    </w:rPr>
  </w:style>
  <w:style w:type="paragraph" w:styleId="Heading9">
    <w:name w:val="heading 9"/>
    <w:basedOn w:val="Normal"/>
    <w:next w:val="Normal"/>
    <w:link w:val="Heading9Char"/>
    <w:uiPriority w:val="9"/>
    <w:semiHidden/>
    <w:unhideWhenUsed/>
    <w:qFormat/>
    <w:rsid w:val="001559D3"/>
    <w:pPr>
      <w:keepNext/>
      <w:keepLines/>
      <w:spacing w:before="120"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385888"/>
    <w:pPr>
      <w:ind w:left="720"/>
      <w:contextualSpacing/>
    </w:pPr>
  </w:style>
  <w:style w:type="paragraph" w:styleId="Header">
    <w:name w:val="header"/>
    <w:basedOn w:val="Normal"/>
    <w:link w:val="HeaderChar"/>
    <w:uiPriority w:val="99"/>
    <w:unhideWhenUsed/>
    <w:rsid w:val="00385888"/>
    <w:pPr>
      <w:tabs>
        <w:tab w:val="center" w:pos="4513"/>
        <w:tab w:val="right" w:pos="9026"/>
      </w:tabs>
      <w:spacing w:after="0" w:line="240" w:lineRule="auto"/>
    </w:pPr>
  </w:style>
  <w:style w:type="character" w:customStyle="1" w:styleId="HeaderChar">
    <w:name w:val="Header Char"/>
    <w:basedOn w:val="DefaultParagraphFont"/>
    <w:link w:val="Header"/>
    <w:uiPriority w:val="99"/>
    <w:rsid w:val="00385888"/>
  </w:style>
  <w:style w:type="paragraph" w:styleId="Footer">
    <w:name w:val="footer"/>
    <w:basedOn w:val="Normal"/>
    <w:link w:val="FooterChar"/>
    <w:uiPriority w:val="99"/>
    <w:unhideWhenUsed/>
    <w:rsid w:val="00385888"/>
    <w:pPr>
      <w:tabs>
        <w:tab w:val="center" w:pos="4513"/>
        <w:tab w:val="right" w:pos="9026"/>
      </w:tabs>
      <w:spacing w:after="0" w:line="240" w:lineRule="auto"/>
    </w:pPr>
  </w:style>
  <w:style w:type="character" w:customStyle="1" w:styleId="FooterChar">
    <w:name w:val="Footer Char"/>
    <w:basedOn w:val="DefaultParagraphFont"/>
    <w:link w:val="Footer"/>
    <w:uiPriority w:val="99"/>
    <w:rsid w:val="00385888"/>
  </w:style>
  <w:style w:type="character" w:customStyle="1" w:styleId="Heading1Char">
    <w:name w:val="Heading 1 Char"/>
    <w:basedOn w:val="DefaultParagraphFont"/>
    <w:link w:val="Heading1"/>
    <w:uiPriority w:val="9"/>
    <w:rsid w:val="0072166A"/>
    <w:rPr>
      <w:rFonts w:asciiTheme="majorHAnsi" w:eastAsiaTheme="majorEastAsia" w:hAnsiTheme="majorHAnsi" w:cstheme="majorBidi"/>
      <w:b/>
      <w:caps/>
      <w:color w:val="005163"/>
      <w:sz w:val="28"/>
      <w:szCs w:val="36"/>
    </w:rPr>
  </w:style>
  <w:style w:type="character" w:customStyle="1" w:styleId="Heading2Char">
    <w:name w:val="Heading 2 Char"/>
    <w:basedOn w:val="DefaultParagraphFont"/>
    <w:link w:val="Heading2"/>
    <w:uiPriority w:val="9"/>
    <w:rsid w:val="001559D3"/>
    <w:rPr>
      <w:rFonts w:asciiTheme="majorHAnsi" w:eastAsiaTheme="majorEastAsia" w:hAnsiTheme="majorHAnsi" w:cstheme="majorBidi"/>
      <w:caps/>
      <w:sz w:val="28"/>
      <w:szCs w:val="28"/>
    </w:rPr>
  </w:style>
  <w:style w:type="character" w:customStyle="1" w:styleId="Heading3Char">
    <w:name w:val="Heading 3 Char"/>
    <w:basedOn w:val="DefaultParagraphFont"/>
    <w:link w:val="Heading3"/>
    <w:uiPriority w:val="9"/>
    <w:semiHidden/>
    <w:rsid w:val="001559D3"/>
    <w:rPr>
      <w:rFonts w:asciiTheme="majorHAnsi" w:eastAsiaTheme="majorEastAsia" w:hAnsiTheme="majorHAnsi" w:cstheme="majorBidi"/>
      <w:smallCaps/>
      <w:sz w:val="28"/>
      <w:szCs w:val="28"/>
    </w:rPr>
  </w:style>
  <w:style w:type="character" w:customStyle="1" w:styleId="Heading4Char">
    <w:name w:val="Heading 4 Char"/>
    <w:basedOn w:val="DefaultParagraphFont"/>
    <w:link w:val="Heading4"/>
    <w:uiPriority w:val="9"/>
    <w:semiHidden/>
    <w:rsid w:val="001559D3"/>
    <w:rPr>
      <w:rFonts w:asciiTheme="majorHAnsi" w:eastAsiaTheme="majorEastAsia" w:hAnsiTheme="majorHAnsi" w:cstheme="majorBidi"/>
      <w:caps/>
    </w:rPr>
  </w:style>
  <w:style w:type="character" w:customStyle="1" w:styleId="Heading5Char">
    <w:name w:val="Heading 5 Char"/>
    <w:basedOn w:val="DefaultParagraphFont"/>
    <w:link w:val="Heading5"/>
    <w:uiPriority w:val="9"/>
    <w:semiHidden/>
    <w:rsid w:val="001559D3"/>
    <w:rPr>
      <w:rFonts w:asciiTheme="majorHAnsi" w:eastAsiaTheme="majorEastAsia" w:hAnsiTheme="majorHAnsi" w:cstheme="majorBidi"/>
      <w:i/>
      <w:iCs/>
      <w:caps/>
    </w:rPr>
  </w:style>
  <w:style w:type="character" w:customStyle="1" w:styleId="Heading6Char">
    <w:name w:val="Heading 6 Char"/>
    <w:basedOn w:val="DefaultParagraphFont"/>
    <w:link w:val="Heading6"/>
    <w:uiPriority w:val="9"/>
    <w:semiHidden/>
    <w:rsid w:val="001559D3"/>
    <w:rPr>
      <w:rFonts w:asciiTheme="majorHAnsi" w:eastAsiaTheme="majorEastAsia" w:hAnsiTheme="majorHAnsi" w:cstheme="majorBidi"/>
      <w:b/>
      <w:bCs/>
      <w:caps/>
      <w:color w:val="262626" w:themeColor="text1" w:themeTint="D9"/>
      <w:sz w:val="20"/>
      <w:szCs w:val="20"/>
    </w:rPr>
  </w:style>
  <w:style w:type="character" w:customStyle="1" w:styleId="Heading7Char">
    <w:name w:val="Heading 7 Char"/>
    <w:basedOn w:val="DefaultParagraphFont"/>
    <w:link w:val="Heading7"/>
    <w:uiPriority w:val="9"/>
    <w:semiHidden/>
    <w:rsid w:val="001559D3"/>
    <w:rPr>
      <w:rFonts w:asciiTheme="majorHAnsi" w:eastAsiaTheme="majorEastAsia" w:hAnsiTheme="majorHAnsi" w:cstheme="majorBidi"/>
      <w:b/>
      <w:bCs/>
      <w:i/>
      <w:iCs/>
      <w:caps/>
      <w:color w:val="262626" w:themeColor="text1" w:themeTint="D9"/>
      <w:sz w:val="20"/>
      <w:szCs w:val="20"/>
    </w:rPr>
  </w:style>
  <w:style w:type="character" w:customStyle="1" w:styleId="Heading8Char">
    <w:name w:val="Heading 8 Char"/>
    <w:basedOn w:val="DefaultParagraphFont"/>
    <w:link w:val="Heading8"/>
    <w:uiPriority w:val="9"/>
    <w:semiHidden/>
    <w:rsid w:val="001559D3"/>
    <w:rPr>
      <w:rFonts w:asciiTheme="majorHAnsi" w:eastAsiaTheme="majorEastAsia" w:hAnsiTheme="majorHAnsi" w:cstheme="majorBidi"/>
      <w:b/>
      <w:bCs/>
      <w:caps/>
      <w:color w:val="7F7F7F" w:themeColor="text1" w:themeTint="80"/>
      <w:sz w:val="20"/>
      <w:szCs w:val="20"/>
    </w:rPr>
  </w:style>
  <w:style w:type="character" w:customStyle="1" w:styleId="Heading9Char">
    <w:name w:val="Heading 9 Char"/>
    <w:basedOn w:val="DefaultParagraphFont"/>
    <w:link w:val="Heading9"/>
    <w:uiPriority w:val="9"/>
    <w:semiHidden/>
    <w:rsid w:val="001559D3"/>
    <w:rPr>
      <w:rFonts w:asciiTheme="majorHAnsi" w:eastAsiaTheme="majorEastAsia" w:hAnsiTheme="majorHAnsi" w:cstheme="majorBidi"/>
      <w:b/>
      <w:bCs/>
      <w:i/>
      <w:iCs/>
      <w:caps/>
      <w:color w:val="7F7F7F" w:themeColor="text1" w:themeTint="80"/>
      <w:sz w:val="20"/>
      <w:szCs w:val="20"/>
    </w:rPr>
  </w:style>
  <w:style w:type="paragraph" w:styleId="Caption">
    <w:name w:val="caption"/>
    <w:basedOn w:val="Normal"/>
    <w:next w:val="Normal"/>
    <w:uiPriority w:val="35"/>
    <w:semiHidden/>
    <w:unhideWhenUsed/>
    <w:qFormat/>
    <w:rsid w:val="001559D3"/>
    <w:pPr>
      <w:spacing w:line="240" w:lineRule="auto"/>
    </w:pPr>
    <w:rPr>
      <w:b/>
      <w:bCs/>
      <w:smallCaps/>
      <w:color w:val="595959" w:themeColor="text1" w:themeTint="A6"/>
    </w:rPr>
  </w:style>
  <w:style w:type="paragraph" w:styleId="Title">
    <w:name w:val="Title"/>
    <w:basedOn w:val="Normal"/>
    <w:next w:val="Normal"/>
    <w:link w:val="TitleChar"/>
    <w:uiPriority w:val="10"/>
    <w:qFormat/>
    <w:rsid w:val="001559D3"/>
    <w:pPr>
      <w:spacing w:after="0" w:line="240" w:lineRule="auto"/>
      <w:contextualSpacing/>
    </w:pPr>
    <w:rPr>
      <w:rFonts w:asciiTheme="majorHAnsi" w:eastAsiaTheme="majorEastAsia" w:hAnsiTheme="majorHAnsi" w:cstheme="majorBidi"/>
      <w:caps/>
      <w:color w:val="404040" w:themeColor="text1" w:themeTint="BF"/>
      <w:spacing w:val="-10"/>
      <w:sz w:val="72"/>
      <w:szCs w:val="72"/>
    </w:rPr>
  </w:style>
  <w:style w:type="character" w:customStyle="1" w:styleId="TitleChar">
    <w:name w:val="Title Char"/>
    <w:basedOn w:val="DefaultParagraphFont"/>
    <w:link w:val="Title"/>
    <w:uiPriority w:val="10"/>
    <w:rsid w:val="001559D3"/>
    <w:rPr>
      <w:rFonts w:asciiTheme="majorHAnsi" w:eastAsiaTheme="majorEastAsia" w:hAnsiTheme="majorHAnsi" w:cstheme="majorBidi"/>
      <w:caps/>
      <w:color w:val="404040" w:themeColor="text1" w:themeTint="BF"/>
      <w:spacing w:val="-10"/>
      <w:sz w:val="72"/>
      <w:szCs w:val="72"/>
    </w:rPr>
  </w:style>
  <w:style w:type="paragraph" w:styleId="Subtitle">
    <w:name w:val="Subtitle"/>
    <w:basedOn w:val="Normal"/>
    <w:next w:val="Normal"/>
    <w:link w:val="SubtitleChar"/>
    <w:uiPriority w:val="11"/>
    <w:qFormat/>
    <w:rsid w:val="001559D3"/>
    <w:pPr>
      <w:numPr>
        <w:ilvl w:val="1"/>
      </w:numPr>
    </w:pPr>
    <w:rPr>
      <w:rFonts w:asciiTheme="majorHAnsi" w:eastAsiaTheme="majorEastAsia" w:hAnsiTheme="majorHAnsi" w:cstheme="majorBidi"/>
      <w:smallCaps/>
      <w:color w:val="595959" w:themeColor="text1" w:themeTint="A6"/>
      <w:sz w:val="28"/>
      <w:szCs w:val="28"/>
    </w:rPr>
  </w:style>
  <w:style w:type="character" w:customStyle="1" w:styleId="SubtitleChar">
    <w:name w:val="Subtitle Char"/>
    <w:basedOn w:val="DefaultParagraphFont"/>
    <w:link w:val="Subtitle"/>
    <w:uiPriority w:val="11"/>
    <w:rsid w:val="001559D3"/>
    <w:rPr>
      <w:rFonts w:asciiTheme="majorHAnsi" w:eastAsiaTheme="majorEastAsia" w:hAnsiTheme="majorHAnsi" w:cstheme="majorBidi"/>
      <w:smallCaps/>
      <w:color w:val="595959" w:themeColor="text1" w:themeTint="A6"/>
      <w:sz w:val="28"/>
      <w:szCs w:val="28"/>
    </w:rPr>
  </w:style>
  <w:style w:type="character" w:styleId="Strong">
    <w:name w:val="Strong"/>
    <w:basedOn w:val="DefaultParagraphFont"/>
    <w:uiPriority w:val="22"/>
    <w:qFormat/>
    <w:rsid w:val="001559D3"/>
    <w:rPr>
      <w:b/>
      <w:bCs/>
    </w:rPr>
  </w:style>
  <w:style w:type="character" w:styleId="Emphasis">
    <w:name w:val="Emphasis"/>
    <w:basedOn w:val="DefaultParagraphFont"/>
    <w:uiPriority w:val="20"/>
    <w:qFormat/>
    <w:rsid w:val="001559D3"/>
    <w:rPr>
      <w:i/>
      <w:iCs/>
    </w:rPr>
  </w:style>
  <w:style w:type="paragraph" w:styleId="NoSpacing">
    <w:name w:val="No Spacing"/>
    <w:uiPriority w:val="1"/>
    <w:qFormat/>
    <w:rsid w:val="001559D3"/>
    <w:pPr>
      <w:spacing w:after="0" w:line="240" w:lineRule="auto"/>
    </w:pPr>
  </w:style>
  <w:style w:type="paragraph" w:styleId="Quote">
    <w:name w:val="Quote"/>
    <w:basedOn w:val="Normal"/>
    <w:next w:val="Normal"/>
    <w:link w:val="QuoteChar"/>
    <w:uiPriority w:val="29"/>
    <w:qFormat/>
    <w:rsid w:val="001559D3"/>
    <w:pPr>
      <w:spacing w:before="160" w:line="240" w:lineRule="auto"/>
      <w:ind w:left="720" w:right="720"/>
    </w:pPr>
    <w:rPr>
      <w:rFonts w:asciiTheme="majorHAnsi" w:eastAsiaTheme="majorEastAsia" w:hAnsiTheme="majorHAnsi" w:cstheme="majorBidi"/>
      <w:sz w:val="25"/>
      <w:szCs w:val="25"/>
    </w:rPr>
  </w:style>
  <w:style w:type="character" w:customStyle="1" w:styleId="QuoteChar">
    <w:name w:val="Quote Char"/>
    <w:basedOn w:val="DefaultParagraphFont"/>
    <w:link w:val="Quote"/>
    <w:uiPriority w:val="29"/>
    <w:rsid w:val="001559D3"/>
    <w:rPr>
      <w:rFonts w:asciiTheme="majorHAnsi" w:eastAsiaTheme="majorEastAsia" w:hAnsiTheme="majorHAnsi" w:cstheme="majorBidi"/>
      <w:sz w:val="25"/>
      <w:szCs w:val="25"/>
    </w:rPr>
  </w:style>
  <w:style w:type="paragraph" w:styleId="IntenseQuote">
    <w:name w:val="Intense Quote"/>
    <w:basedOn w:val="Normal"/>
    <w:next w:val="Normal"/>
    <w:link w:val="IntenseQuoteChar"/>
    <w:uiPriority w:val="30"/>
    <w:qFormat/>
    <w:rsid w:val="001559D3"/>
    <w:pPr>
      <w:spacing w:before="280" w:after="280" w:line="240" w:lineRule="auto"/>
      <w:ind w:left="1080" w:right="1080"/>
      <w:jc w:val="center"/>
    </w:pPr>
    <w:rPr>
      <w:color w:val="404040" w:themeColor="text1" w:themeTint="BF"/>
      <w:sz w:val="32"/>
      <w:szCs w:val="32"/>
    </w:rPr>
  </w:style>
  <w:style w:type="character" w:customStyle="1" w:styleId="IntenseQuoteChar">
    <w:name w:val="Intense Quote Char"/>
    <w:basedOn w:val="DefaultParagraphFont"/>
    <w:link w:val="IntenseQuote"/>
    <w:uiPriority w:val="30"/>
    <w:rsid w:val="001559D3"/>
    <w:rPr>
      <w:color w:val="404040" w:themeColor="text1" w:themeTint="BF"/>
      <w:sz w:val="32"/>
      <w:szCs w:val="32"/>
    </w:rPr>
  </w:style>
  <w:style w:type="character" w:styleId="SubtleEmphasis">
    <w:name w:val="Subtle Emphasis"/>
    <w:basedOn w:val="DefaultParagraphFont"/>
    <w:uiPriority w:val="19"/>
    <w:qFormat/>
    <w:rsid w:val="001559D3"/>
    <w:rPr>
      <w:i/>
      <w:iCs/>
      <w:color w:val="595959" w:themeColor="text1" w:themeTint="A6"/>
    </w:rPr>
  </w:style>
  <w:style w:type="character" w:styleId="IntenseEmphasis">
    <w:name w:val="Intense Emphasis"/>
    <w:basedOn w:val="DefaultParagraphFont"/>
    <w:uiPriority w:val="21"/>
    <w:qFormat/>
    <w:rsid w:val="001559D3"/>
    <w:rPr>
      <w:b/>
      <w:bCs/>
      <w:i/>
      <w:iCs/>
    </w:rPr>
  </w:style>
  <w:style w:type="character" w:styleId="SubtleReference">
    <w:name w:val="Subtle Reference"/>
    <w:basedOn w:val="DefaultParagraphFont"/>
    <w:uiPriority w:val="31"/>
    <w:qFormat/>
    <w:rsid w:val="001559D3"/>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1559D3"/>
    <w:rPr>
      <w:b/>
      <w:bCs/>
      <w:caps w:val="0"/>
      <w:smallCaps/>
      <w:color w:val="auto"/>
      <w:spacing w:val="3"/>
      <w:u w:val="single"/>
    </w:rPr>
  </w:style>
  <w:style w:type="character" w:styleId="BookTitle">
    <w:name w:val="Book Title"/>
    <w:basedOn w:val="DefaultParagraphFont"/>
    <w:uiPriority w:val="33"/>
    <w:qFormat/>
    <w:rsid w:val="001559D3"/>
    <w:rPr>
      <w:b/>
      <w:bCs/>
      <w:smallCaps/>
      <w:spacing w:val="7"/>
    </w:rPr>
  </w:style>
  <w:style w:type="paragraph" w:styleId="TOCHeading">
    <w:name w:val="TOC Heading"/>
    <w:basedOn w:val="Heading1"/>
    <w:next w:val="Normal"/>
    <w:uiPriority w:val="39"/>
    <w:unhideWhenUsed/>
    <w:qFormat/>
    <w:rsid w:val="001559D3"/>
    <w:pPr>
      <w:outlineLvl w:val="9"/>
    </w:pPr>
  </w:style>
  <w:style w:type="paragraph" w:styleId="TOC3">
    <w:name w:val="toc 3"/>
    <w:basedOn w:val="Normal"/>
    <w:next w:val="Normal"/>
    <w:autoRedefine/>
    <w:uiPriority w:val="39"/>
    <w:unhideWhenUsed/>
    <w:rsid w:val="00626AB9"/>
    <w:pPr>
      <w:spacing w:after="100"/>
      <w:ind w:left="440"/>
    </w:pPr>
  </w:style>
  <w:style w:type="character" w:styleId="Hyperlink">
    <w:name w:val="Hyperlink"/>
    <w:basedOn w:val="DefaultParagraphFont"/>
    <w:uiPriority w:val="99"/>
    <w:unhideWhenUsed/>
    <w:rsid w:val="00626AB9"/>
    <w:rPr>
      <w:color w:val="0563C1" w:themeColor="hyperlink"/>
      <w:u w:val="single"/>
    </w:rPr>
  </w:style>
  <w:style w:type="paragraph" w:styleId="TOC1">
    <w:name w:val="toc 1"/>
    <w:basedOn w:val="Normal"/>
    <w:next w:val="Normal"/>
    <w:autoRedefine/>
    <w:uiPriority w:val="39"/>
    <w:unhideWhenUsed/>
    <w:rsid w:val="00626AB9"/>
    <w:pPr>
      <w:spacing w:after="100"/>
    </w:pPr>
  </w:style>
  <w:style w:type="paragraph" w:styleId="TOC2">
    <w:name w:val="toc 2"/>
    <w:basedOn w:val="Normal"/>
    <w:next w:val="Normal"/>
    <w:autoRedefine/>
    <w:uiPriority w:val="39"/>
    <w:unhideWhenUsed/>
    <w:rsid w:val="00626AB9"/>
    <w:pPr>
      <w:spacing w:after="100"/>
      <w:ind w:left="220"/>
    </w:pPr>
  </w:style>
  <w:style w:type="paragraph" w:styleId="BalloonText">
    <w:name w:val="Balloon Text"/>
    <w:basedOn w:val="Normal"/>
    <w:link w:val="BalloonTextChar"/>
    <w:uiPriority w:val="99"/>
    <w:semiHidden/>
    <w:unhideWhenUsed/>
    <w:rsid w:val="0035585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5585F"/>
    <w:rPr>
      <w:rFonts w:ascii="Segoe UI" w:hAnsi="Segoe UI" w:cs="Segoe UI"/>
      <w:sz w:val="18"/>
      <w:szCs w:val="18"/>
    </w:rPr>
  </w:style>
  <w:style w:type="paragraph" w:customStyle="1" w:styleId="Heading2numbered">
    <w:name w:val="Heading 2 numbered"/>
    <w:basedOn w:val="ListParagraph"/>
    <w:link w:val="Heading2numberedChar"/>
    <w:qFormat/>
    <w:rsid w:val="0072166A"/>
    <w:pPr>
      <w:numPr>
        <w:numId w:val="1"/>
      </w:numPr>
      <w:outlineLvl w:val="0"/>
    </w:pPr>
    <w:rPr>
      <w:rFonts w:asciiTheme="majorHAnsi" w:hAnsiTheme="majorHAnsi"/>
      <w:b/>
      <w:color w:val="00788E"/>
      <w:sz w:val="24"/>
    </w:rPr>
  </w:style>
  <w:style w:type="paragraph" w:customStyle="1" w:styleId="Heading3list">
    <w:name w:val="Heading 3 list"/>
    <w:basedOn w:val="ListParagraph"/>
    <w:link w:val="Heading3listChar"/>
    <w:qFormat/>
    <w:rsid w:val="0072166A"/>
    <w:pPr>
      <w:numPr>
        <w:ilvl w:val="1"/>
        <w:numId w:val="1"/>
      </w:numPr>
      <w:ind w:left="851" w:hanging="425"/>
      <w:outlineLvl w:val="1"/>
    </w:pPr>
    <w:rPr>
      <w:b/>
      <w:sz w:val="20"/>
    </w:rPr>
  </w:style>
  <w:style w:type="character" w:customStyle="1" w:styleId="ListParagraphChar">
    <w:name w:val="List Paragraph Char"/>
    <w:basedOn w:val="DefaultParagraphFont"/>
    <w:link w:val="ListParagraph"/>
    <w:uiPriority w:val="34"/>
    <w:rsid w:val="0072166A"/>
  </w:style>
  <w:style w:type="character" w:customStyle="1" w:styleId="Heading2numberedChar">
    <w:name w:val="Heading 2 numbered Char"/>
    <w:basedOn w:val="ListParagraphChar"/>
    <w:link w:val="Heading2numbered"/>
    <w:rsid w:val="0072166A"/>
    <w:rPr>
      <w:rFonts w:asciiTheme="majorHAnsi" w:hAnsiTheme="majorHAnsi"/>
      <w:b/>
      <w:color w:val="00788E"/>
      <w:sz w:val="24"/>
    </w:rPr>
  </w:style>
  <w:style w:type="paragraph" w:customStyle="1" w:styleId="Heading4list">
    <w:name w:val="Heading 4 list"/>
    <w:basedOn w:val="ListParagraph"/>
    <w:qFormat/>
    <w:rsid w:val="003C4829"/>
    <w:pPr>
      <w:numPr>
        <w:ilvl w:val="8"/>
        <w:numId w:val="1"/>
      </w:numPr>
      <w:ind w:left="1276" w:hanging="425"/>
      <w:outlineLvl w:val="2"/>
    </w:pPr>
    <w:rPr>
      <w:b/>
      <w:sz w:val="20"/>
    </w:rPr>
  </w:style>
  <w:style w:type="character" w:customStyle="1" w:styleId="Heading3listChar">
    <w:name w:val="Heading 3 list Char"/>
    <w:basedOn w:val="ListParagraphChar"/>
    <w:link w:val="Heading3list"/>
    <w:rsid w:val="0072166A"/>
    <w:rPr>
      <w:b/>
      <w:sz w:val="20"/>
    </w:rPr>
  </w:style>
  <w:style w:type="paragraph" w:customStyle="1" w:styleId="Appendicesnumbered">
    <w:name w:val="Appendices numbered"/>
    <w:next w:val="Heading2numbered"/>
    <w:qFormat/>
    <w:rsid w:val="002A47D7"/>
    <w:pPr>
      <w:ind w:left="357" w:hanging="357"/>
    </w:pPr>
    <w:rPr>
      <w:rFonts w:asciiTheme="majorHAnsi" w:hAnsiTheme="majorHAnsi"/>
      <w:b/>
      <w:caps/>
      <w:color w:val="00788E"/>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8.xml"/><Relationship Id="rId21" Type="http://schemas.openxmlformats.org/officeDocument/2006/relationships/chart" Target="charts/chart13.xml"/><Relationship Id="rId42" Type="http://schemas.openxmlformats.org/officeDocument/2006/relationships/chart" Target="charts/chart34.xml"/><Relationship Id="rId47" Type="http://schemas.openxmlformats.org/officeDocument/2006/relationships/chart" Target="charts/chart39.xml"/><Relationship Id="rId63" Type="http://schemas.openxmlformats.org/officeDocument/2006/relationships/chart" Target="charts/chart55.xml"/><Relationship Id="rId68" Type="http://schemas.openxmlformats.org/officeDocument/2006/relationships/chart" Target="charts/chart60.xml"/><Relationship Id="rId84" Type="http://schemas.openxmlformats.org/officeDocument/2006/relationships/chart" Target="charts/chart76.xml"/><Relationship Id="rId89" Type="http://schemas.openxmlformats.org/officeDocument/2006/relationships/chart" Target="charts/chart81.xml"/><Relationship Id="rId16" Type="http://schemas.openxmlformats.org/officeDocument/2006/relationships/chart" Target="charts/chart8.xml"/><Relationship Id="rId107" Type="http://schemas.openxmlformats.org/officeDocument/2006/relationships/fontTable" Target="fontTable.xml"/><Relationship Id="rId11" Type="http://schemas.openxmlformats.org/officeDocument/2006/relationships/chart" Target="charts/chart3.xml"/><Relationship Id="rId32" Type="http://schemas.openxmlformats.org/officeDocument/2006/relationships/chart" Target="charts/chart24.xml"/><Relationship Id="rId37" Type="http://schemas.openxmlformats.org/officeDocument/2006/relationships/chart" Target="charts/chart29.xml"/><Relationship Id="rId53" Type="http://schemas.openxmlformats.org/officeDocument/2006/relationships/chart" Target="charts/chart45.xml"/><Relationship Id="rId58" Type="http://schemas.openxmlformats.org/officeDocument/2006/relationships/chart" Target="charts/chart50.xml"/><Relationship Id="rId74" Type="http://schemas.openxmlformats.org/officeDocument/2006/relationships/chart" Target="charts/chart66.xml"/><Relationship Id="rId79" Type="http://schemas.openxmlformats.org/officeDocument/2006/relationships/chart" Target="charts/chart71.xml"/><Relationship Id="rId102" Type="http://schemas.openxmlformats.org/officeDocument/2006/relationships/image" Target="media/image7.jpeg"/><Relationship Id="rId5" Type="http://schemas.openxmlformats.org/officeDocument/2006/relationships/webSettings" Target="webSettings.xml"/><Relationship Id="rId90" Type="http://schemas.openxmlformats.org/officeDocument/2006/relationships/chart" Target="charts/chart82.xml"/><Relationship Id="rId95" Type="http://schemas.openxmlformats.org/officeDocument/2006/relationships/footer" Target="footer1.xml"/><Relationship Id="rId22" Type="http://schemas.openxmlformats.org/officeDocument/2006/relationships/chart" Target="charts/chart14.xml"/><Relationship Id="rId27" Type="http://schemas.openxmlformats.org/officeDocument/2006/relationships/chart" Target="charts/chart19.xml"/><Relationship Id="rId43" Type="http://schemas.openxmlformats.org/officeDocument/2006/relationships/chart" Target="charts/chart35.xml"/><Relationship Id="rId48" Type="http://schemas.openxmlformats.org/officeDocument/2006/relationships/chart" Target="charts/chart40.xml"/><Relationship Id="rId64" Type="http://schemas.openxmlformats.org/officeDocument/2006/relationships/chart" Target="charts/chart56.xml"/><Relationship Id="rId69" Type="http://schemas.openxmlformats.org/officeDocument/2006/relationships/chart" Target="charts/chart61.xml"/><Relationship Id="rId80" Type="http://schemas.openxmlformats.org/officeDocument/2006/relationships/chart" Target="charts/chart72.xml"/><Relationship Id="rId85" Type="http://schemas.openxmlformats.org/officeDocument/2006/relationships/chart" Target="charts/chart77.xml"/><Relationship Id="rId12" Type="http://schemas.openxmlformats.org/officeDocument/2006/relationships/chart" Target="charts/chart4.xml"/><Relationship Id="rId17" Type="http://schemas.openxmlformats.org/officeDocument/2006/relationships/chart" Target="charts/chart9.xml"/><Relationship Id="rId33" Type="http://schemas.openxmlformats.org/officeDocument/2006/relationships/chart" Target="charts/chart25.xml"/><Relationship Id="rId38" Type="http://schemas.openxmlformats.org/officeDocument/2006/relationships/chart" Target="charts/chart30.xml"/><Relationship Id="rId59" Type="http://schemas.openxmlformats.org/officeDocument/2006/relationships/chart" Target="charts/chart51.xml"/><Relationship Id="rId103" Type="http://schemas.openxmlformats.org/officeDocument/2006/relationships/image" Target="media/image8.jpeg"/><Relationship Id="rId108" Type="http://schemas.openxmlformats.org/officeDocument/2006/relationships/theme" Target="theme/theme1.xml"/><Relationship Id="rId20" Type="http://schemas.openxmlformats.org/officeDocument/2006/relationships/chart" Target="charts/chart12.xml"/><Relationship Id="rId41" Type="http://schemas.openxmlformats.org/officeDocument/2006/relationships/chart" Target="charts/chart33.xml"/><Relationship Id="rId54" Type="http://schemas.openxmlformats.org/officeDocument/2006/relationships/chart" Target="charts/chart46.xml"/><Relationship Id="rId62" Type="http://schemas.openxmlformats.org/officeDocument/2006/relationships/chart" Target="charts/chart54.xml"/><Relationship Id="rId70" Type="http://schemas.openxmlformats.org/officeDocument/2006/relationships/chart" Target="charts/chart62.xml"/><Relationship Id="rId75" Type="http://schemas.openxmlformats.org/officeDocument/2006/relationships/chart" Target="charts/chart67.xml"/><Relationship Id="rId83" Type="http://schemas.openxmlformats.org/officeDocument/2006/relationships/chart" Target="charts/chart75.xml"/><Relationship Id="rId88" Type="http://schemas.openxmlformats.org/officeDocument/2006/relationships/chart" Target="charts/chart80.xml"/><Relationship Id="rId91" Type="http://schemas.openxmlformats.org/officeDocument/2006/relationships/chart" Target="charts/chart83.xml"/><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chart" Target="charts/chart28.xml"/><Relationship Id="rId49" Type="http://schemas.openxmlformats.org/officeDocument/2006/relationships/chart" Target="charts/chart41.xml"/><Relationship Id="rId57" Type="http://schemas.openxmlformats.org/officeDocument/2006/relationships/chart" Target="charts/chart49.xml"/><Relationship Id="rId106" Type="http://schemas.openxmlformats.org/officeDocument/2006/relationships/footer" Target="footer4.xml"/><Relationship Id="rId10" Type="http://schemas.openxmlformats.org/officeDocument/2006/relationships/chart" Target="charts/chart2.xml"/><Relationship Id="rId31" Type="http://schemas.openxmlformats.org/officeDocument/2006/relationships/chart" Target="charts/chart23.xml"/><Relationship Id="rId44" Type="http://schemas.openxmlformats.org/officeDocument/2006/relationships/chart" Target="charts/chart36.xml"/><Relationship Id="rId52" Type="http://schemas.openxmlformats.org/officeDocument/2006/relationships/chart" Target="charts/chart44.xml"/><Relationship Id="rId60" Type="http://schemas.openxmlformats.org/officeDocument/2006/relationships/chart" Target="charts/chart52.xml"/><Relationship Id="rId65" Type="http://schemas.openxmlformats.org/officeDocument/2006/relationships/chart" Target="charts/chart57.xml"/><Relationship Id="rId73" Type="http://schemas.openxmlformats.org/officeDocument/2006/relationships/chart" Target="charts/chart65.xml"/><Relationship Id="rId78" Type="http://schemas.openxmlformats.org/officeDocument/2006/relationships/chart" Target="charts/chart70.xml"/><Relationship Id="rId81" Type="http://schemas.openxmlformats.org/officeDocument/2006/relationships/chart" Target="charts/chart73.xml"/><Relationship Id="rId86" Type="http://schemas.openxmlformats.org/officeDocument/2006/relationships/chart" Target="charts/chart78.xml"/><Relationship Id="rId94" Type="http://schemas.openxmlformats.org/officeDocument/2006/relationships/header" Target="header2.xml"/><Relationship Id="rId99" Type="http://schemas.openxmlformats.org/officeDocument/2006/relationships/image" Target="media/image4.jpeg"/><Relationship Id="rId101"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chart" Target="charts/chart10.xml"/><Relationship Id="rId39" Type="http://schemas.openxmlformats.org/officeDocument/2006/relationships/chart" Target="charts/chart31.xml"/><Relationship Id="rId34" Type="http://schemas.openxmlformats.org/officeDocument/2006/relationships/chart" Target="charts/chart26.xml"/><Relationship Id="rId50" Type="http://schemas.openxmlformats.org/officeDocument/2006/relationships/chart" Target="charts/chart42.xml"/><Relationship Id="rId55" Type="http://schemas.openxmlformats.org/officeDocument/2006/relationships/chart" Target="charts/chart47.xml"/><Relationship Id="rId76" Type="http://schemas.openxmlformats.org/officeDocument/2006/relationships/chart" Target="charts/chart68.xml"/><Relationship Id="rId97" Type="http://schemas.openxmlformats.org/officeDocument/2006/relationships/footer" Target="footer3.xml"/><Relationship Id="rId104"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chart" Target="charts/chart63.xml"/><Relationship Id="rId92" Type="http://schemas.openxmlformats.org/officeDocument/2006/relationships/chart" Target="charts/chart84.xml"/><Relationship Id="rId2" Type="http://schemas.openxmlformats.org/officeDocument/2006/relationships/numbering" Target="numbering.xml"/><Relationship Id="rId29" Type="http://schemas.openxmlformats.org/officeDocument/2006/relationships/chart" Target="charts/chart21.xml"/><Relationship Id="rId24" Type="http://schemas.openxmlformats.org/officeDocument/2006/relationships/chart" Target="charts/chart16.xml"/><Relationship Id="rId40" Type="http://schemas.openxmlformats.org/officeDocument/2006/relationships/chart" Target="charts/chart32.xml"/><Relationship Id="rId45" Type="http://schemas.openxmlformats.org/officeDocument/2006/relationships/chart" Target="charts/chart37.xml"/><Relationship Id="rId66" Type="http://schemas.openxmlformats.org/officeDocument/2006/relationships/chart" Target="charts/chart58.xml"/><Relationship Id="rId87" Type="http://schemas.openxmlformats.org/officeDocument/2006/relationships/chart" Target="charts/chart79.xml"/><Relationship Id="rId61" Type="http://schemas.openxmlformats.org/officeDocument/2006/relationships/chart" Target="charts/chart53.xml"/><Relationship Id="rId82" Type="http://schemas.openxmlformats.org/officeDocument/2006/relationships/chart" Target="charts/chart74.xml"/><Relationship Id="rId19" Type="http://schemas.openxmlformats.org/officeDocument/2006/relationships/chart" Target="charts/chart11.xml"/><Relationship Id="rId14" Type="http://schemas.openxmlformats.org/officeDocument/2006/relationships/chart" Target="charts/chart6.xml"/><Relationship Id="rId30" Type="http://schemas.openxmlformats.org/officeDocument/2006/relationships/chart" Target="charts/chart22.xml"/><Relationship Id="rId35" Type="http://schemas.openxmlformats.org/officeDocument/2006/relationships/chart" Target="charts/chart27.xml"/><Relationship Id="rId56" Type="http://schemas.openxmlformats.org/officeDocument/2006/relationships/chart" Target="charts/chart48.xml"/><Relationship Id="rId77" Type="http://schemas.openxmlformats.org/officeDocument/2006/relationships/chart" Target="charts/chart69.xml"/><Relationship Id="rId100" Type="http://schemas.openxmlformats.org/officeDocument/2006/relationships/image" Target="media/image5.jpeg"/><Relationship Id="rId105" Type="http://schemas.openxmlformats.org/officeDocument/2006/relationships/header" Target="header4.xml"/><Relationship Id="rId8" Type="http://schemas.openxmlformats.org/officeDocument/2006/relationships/image" Target="media/image1.jpeg"/><Relationship Id="rId51" Type="http://schemas.openxmlformats.org/officeDocument/2006/relationships/chart" Target="charts/chart43.xml"/><Relationship Id="rId72" Type="http://schemas.openxmlformats.org/officeDocument/2006/relationships/chart" Target="charts/chart64.xml"/><Relationship Id="rId93" Type="http://schemas.openxmlformats.org/officeDocument/2006/relationships/header" Target="header1.xml"/><Relationship Id="rId98" Type="http://schemas.openxmlformats.org/officeDocument/2006/relationships/image" Target="media/image3.jpeg"/><Relationship Id="rId3" Type="http://schemas.openxmlformats.org/officeDocument/2006/relationships/styles" Target="styles.xml"/><Relationship Id="rId25" Type="http://schemas.openxmlformats.org/officeDocument/2006/relationships/chart" Target="charts/chart17.xml"/><Relationship Id="rId46" Type="http://schemas.openxmlformats.org/officeDocument/2006/relationships/chart" Target="charts/chart38.xml"/><Relationship Id="rId67" Type="http://schemas.openxmlformats.org/officeDocument/2006/relationships/chart" Target="charts/chart59.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9.png"/></Relationships>
</file>

<file path=word/charts/_rels/chart1.xml.rels><?xml version="1.0" encoding="UTF-8" standalone="yes"?>
<Relationships xmlns="http://schemas.openxmlformats.org/package/2006/relationships"><Relationship Id="rId3" Type="http://schemas.openxmlformats.org/officeDocument/2006/relationships/oleObject" Target="file:///\\melfp\drafts\David%20Lees\Reporting\Population\Population%20States%20Dec%202015.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melfp\drafts\David%20Lees\Reporting\Population\VIF%202016\VIF%202016%20Quick%20Analysis.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melfp\users$\David.Lees\My%20Documents\Births%202014.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melfp\drafts\David%20Lees\Reporting\Births%202014.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melfp\users$\David.Lees\My%20Documents\Births%202014.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file:///\\melfp\drafts\David%20Lees\Reporting\Births%202014.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2015%20-16%20Dwellings.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2015%20-16%20Dwellings.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2015%20-16%20Dwellings.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2015%20-16%20Dwellings.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melfp\drafts\David%20Lees\Reporting\Population\Population%20States%20Dec%202015.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2015%20-16%20Dwellings.xlsx" TargetMode="External"/><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2015%20-16%20Dwellings.xlsx" TargetMode="External"/><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2015%20-16%20Dwellings.xlsx" TargetMode="External"/><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2015%20-16%20Dwellings.xlsx" TargetMode="External"/><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2015%20-16%20Dwellings.xlsx" TargetMode="External"/><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2015%20-16%20Dwellings.xlsx" TargetMode="External"/><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2015%20-16%20Dwellings.xlsx" TargetMode="External"/><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oleObject" Target="file:///\\melfp\drafts\David%20Lees\Reporting\RBL%20Crane%20Index.xlsx" TargetMode="External"/><Relationship Id="rId2" Type="http://schemas.microsoft.com/office/2011/relationships/chartColorStyle" Target="colors26.xml"/><Relationship Id="rId1" Type="http://schemas.microsoft.com/office/2011/relationships/chartStyle" Target="style26.xml"/></Relationships>
</file>

<file path=word/charts/_rels/chart28.xml.rels><?xml version="1.0" encoding="UTF-8" standalone="yes"?>
<Relationships xmlns="http://schemas.openxmlformats.org/package/2006/relationships"><Relationship Id="rId3" Type="http://schemas.openxmlformats.org/officeDocument/2006/relationships/oleObject" Target="file:///\\melfp\drafts\David%20Lees\Reporting\RBL%20Crane%20Index.xlsx" TargetMode="External"/><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oleObject" Target="file:///\\melfp\drafts\David%20Lees\Reporting\Cordell\Cordell_data_classification%20June%202016.xlsx" TargetMode="External"/><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oleObject" Target="file:///\\melfp\drafts\David%20Lees\Reporting\Population\Population%20States%20Dec%202015.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melfp\drafts\David%20Lees\Reporting\Cordell\Cordell_data_classification%20June%202016.xlsx" TargetMode="External"/><Relationship Id="rId2" Type="http://schemas.microsoft.com/office/2011/relationships/chartColorStyle" Target="colors29.xml"/><Relationship Id="rId1" Type="http://schemas.microsoft.com/office/2011/relationships/chartStyle" Target="style29.xml"/></Relationships>
</file>

<file path=word/charts/_rels/chart31.xml.rels><?xml version="1.0" encoding="UTF-8" standalone="yes"?>
<Relationships xmlns="http://schemas.openxmlformats.org/package/2006/relationships"><Relationship Id="rId1" Type="http://schemas.openxmlformats.org/officeDocument/2006/relationships/oleObject" Target="file:///\\melfp\drafts\David%20Lees\Reporting\CKC%20Research%204%20Data\MPA_Datatable_NLSP%20Corridor%20graphs.xlsx" TargetMode="External"/></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3.xml.rels><?xml version="1.0" encoding="UTF-8" standalone="yes"?>
<Relationships xmlns="http://schemas.openxmlformats.org/package/2006/relationships"><Relationship Id="rId1" Type="http://schemas.openxmlformats.org/officeDocument/2006/relationships/oleObject" Target="file:///\\melfp\drafts\David%20Lees\Reporting\CKC%20Research%204%20Data\MPA_Datatable_NLSP%20Corridor%20graphs.xlsx" TargetMode="External"/></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35.xml.rels><?xml version="1.0" encoding="UTF-8" standalone="yes"?>
<Relationships xmlns="http://schemas.openxmlformats.org/package/2006/relationships"><Relationship Id="rId1" Type="http://schemas.openxmlformats.org/officeDocument/2006/relationships/oleObject" Target="file:///\\melfp\drafts\David%20Lees\Reporting\CKC%20Research%204%20Data\MPA_Datatable_NLSP%20Corridor%20graphs.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melfp\drafts\David%20Lees\Reporting\CKC%20Research%204%20Data\Copy%20of%20Land%20Sales%20Data%20from%20CKC%20Research%204%20Summary.xlsx" TargetMode="Externa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30.xml"/><Relationship Id="rId1" Type="http://schemas.microsoft.com/office/2011/relationships/chartStyle" Target="style30.xml"/></Relationships>
</file>

<file path=word/charts/_rels/chart38.xml.rels><?xml version="1.0" encoding="UTF-8" standalone="yes"?>
<Relationships xmlns="http://schemas.openxmlformats.org/package/2006/relationships"><Relationship Id="rId3" Type="http://schemas.openxmlformats.org/officeDocument/2006/relationships/oleObject" Target="file:///\\melfp\drafts\David%20Lees\Reporting\Property%20Prices\Detached%20Houses%202016%20August%201.xlsx" TargetMode="External"/><Relationship Id="rId2" Type="http://schemas.microsoft.com/office/2011/relationships/chartColorStyle" Target="colors31.xml"/><Relationship Id="rId1" Type="http://schemas.microsoft.com/office/2011/relationships/chartStyle" Target="style31.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32.xml"/><Relationship Id="rId1" Type="http://schemas.microsoft.com/office/2011/relationships/chartStyle" Target="style32.xml"/></Relationships>
</file>

<file path=word/charts/_rels/chart4.xml.rels><?xml version="1.0" encoding="UTF-8" standalone="yes"?>
<Relationships xmlns="http://schemas.openxmlformats.org/package/2006/relationships"><Relationship Id="rId3" Type="http://schemas.openxmlformats.org/officeDocument/2006/relationships/oleObject" Target="file:///\\melfp\drafts\David%20Lees\Reporting\Population\Population%20States%20Dec%202015.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melfp\drafts\David%20Lees\Reporting\Property%20Prices\Detached%20Houses%202016%20August%201.xlsx" TargetMode="External"/><Relationship Id="rId2" Type="http://schemas.microsoft.com/office/2011/relationships/chartColorStyle" Target="colors33.xml"/><Relationship Id="rId1" Type="http://schemas.microsoft.com/office/2011/relationships/chartStyle" Target="style33.xml"/></Relationships>
</file>

<file path=word/charts/_rels/chart41.xml.rels><?xml version="1.0" encoding="UTF-8" standalone="yes"?>
<Relationships xmlns="http://schemas.openxmlformats.org/package/2006/relationships"><Relationship Id="rId3" Type="http://schemas.openxmlformats.org/officeDocument/2006/relationships/oleObject" Target="file:///\\melfp\drafts\David%20Lees\Reporting\Property%20Prices\Detached%20Houses%202016%20August%201.xlsx" TargetMode="External"/><Relationship Id="rId2" Type="http://schemas.microsoft.com/office/2011/relationships/chartColorStyle" Target="colors34.xml"/><Relationship Id="rId1" Type="http://schemas.microsoft.com/office/2011/relationships/chartStyle" Target="style34.xml"/></Relationships>
</file>

<file path=word/charts/_rels/chart42.xml.rels><?xml version="1.0" encoding="UTF-8" standalone="yes"?>
<Relationships xmlns="http://schemas.openxmlformats.org/package/2006/relationships"><Relationship Id="rId3" Type="http://schemas.openxmlformats.org/officeDocument/2006/relationships/oleObject" Target="file:///\\melfp\drafts\David%20Lees\Reporting\Property%20Prices\Detached%20Houses%202016%20August%201.xlsx" TargetMode="External"/><Relationship Id="rId2" Type="http://schemas.microsoft.com/office/2011/relationships/chartColorStyle" Target="colors35.xml"/><Relationship Id="rId1" Type="http://schemas.microsoft.com/office/2011/relationships/chartStyle" Target="style35.xml"/></Relationships>
</file>

<file path=word/charts/_rels/chart43.xml.rels><?xml version="1.0" encoding="UTF-8" standalone="yes"?>
<Relationships xmlns="http://schemas.openxmlformats.org/package/2006/relationships"><Relationship Id="rId3" Type="http://schemas.openxmlformats.org/officeDocument/2006/relationships/oleObject" Target="file:///\\melfp\drafts\David%20Lees\Reporting\Property%20Prices\Detached%20Houses%202016%20August%201.xlsx" TargetMode="External"/><Relationship Id="rId2" Type="http://schemas.microsoft.com/office/2011/relationships/chartColorStyle" Target="colors36.xml"/><Relationship Id="rId1" Type="http://schemas.microsoft.com/office/2011/relationships/chartStyle" Target="style36.xml"/></Relationships>
</file>

<file path=word/charts/_rels/chart44.xml.rels><?xml version="1.0" encoding="UTF-8" standalone="yes"?>
<Relationships xmlns="http://schemas.openxmlformats.org/package/2006/relationships"><Relationship Id="rId3" Type="http://schemas.openxmlformats.org/officeDocument/2006/relationships/oleObject" Target="file:///\\melfp\drafts\David%20Lees\Reporting\Rents\Rents%20March%202016%20Graphs.xlsx" TargetMode="External"/><Relationship Id="rId2" Type="http://schemas.microsoft.com/office/2011/relationships/chartColorStyle" Target="colors37.xml"/><Relationship Id="rId1" Type="http://schemas.microsoft.com/office/2011/relationships/chartStyle" Target="style37.xml"/></Relationships>
</file>

<file path=word/charts/_rels/chart45.xml.rels><?xml version="1.0" encoding="UTF-8" standalone="yes"?>
<Relationships xmlns="http://schemas.openxmlformats.org/package/2006/relationships"><Relationship Id="rId3" Type="http://schemas.openxmlformats.org/officeDocument/2006/relationships/oleObject" Target="file:///\\melfp\drafts\David%20Lees\Reporting\Rents\Rents%20March%202016%20Graphs.xlsx" TargetMode="External"/><Relationship Id="rId2" Type="http://schemas.microsoft.com/office/2011/relationships/chartColorStyle" Target="colors38.xml"/><Relationship Id="rId1" Type="http://schemas.microsoft.com/office/2011/relationships/chartStyle" Target="style38.xml"/></Relationships>
</file>

<file path=word/charts/_rels/chart4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9.xml"/><Relationship Id="rId1" Type="http://schemas.microsoft.com/office/2011/relationships/chartStyle" Target="style39.xml"/></Relationships>
</file>

<file path=word/charts/_rels/chart47.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0.xml"/><Relationship Id="rId1" Type="http://schemas.microsoft.com/office/2011/relationships/chartStyle" Target="style40.xml"/></Relationships>
</file>

<file path=word/charts/_rels/chart48.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1.xml"/><Relationship Id="rId1" Type="http://schemas.microsoft.com/office/2011/relationships/chartStyle" Target="style41.xml"/></Relationships>
</file>

<file path=word/charts/_rels/chart49.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2.xml"/><Relationship Id="rId1" Type="http://schemas.microsoft.com/office/2011/relationships/chartStyle" Target="style42.xml"/></Relationships>
</file>

<file path=word/charts/_rels/chart5.xml.rels><?xml version="1.0" encoding="UTF-8" standalone="yes"?>
<Relationships xmlns="http://schemas.openxmlformats.org/package/2006/relationships"><Relationship Id="rId3" Type="http://schemas.openxmlformats.org/officeDocument/2006/relationships/oleObject" Target="file:///\\melfp\drafts\David%20Lees\Reporting\Population\Population%20States%20Dec%202015.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melfp\drafts\David%20Lees\Reporting\Rents\Rents%20March%202016%20Graphs.xlsx" TargetMode="External"/><Relationship Id="rId2" Type="http://schemas.microsoft.com/office/2011/relationships/chartColorStyle" Target="colors43.xml"/><Relationship Id="rId1" Type="http://schemas.microsoft.com/office/2011/relationships/chartStyle" Target="style43.xml"/></Relationships>
</file>

<file path=word/charts/_rels/chart51.xml.rels><?xml version="1.0" encoding="UTF-8" standalone="yes"?>
<Relationships xmlns="http://schemas.openxmlformats.org/package/2006/relationships"><Relationship Id="rId3" Type="http://schemas.openxmlformats.org/officeDocument/2006/relationships/oleObject" Target="file:///\\melfp\drafts\David%20Lees\Reporting\Rents\Rents%20March%202016%20Graphs.xlsx" TargetMode="External"/><Relationship Id="rId2" Type="http://schemas.microsoft.com/office/2011/relationships/chartColorStyle" Target="colors44.xml"/><Relationship Id="rId1" Type="http://schemas.microsoft.com/office/2011/relationships/chartStyle" Target="style44.xml"/></Relationships>
</file>

<file path=word/charts/_rels/chart52.xml.rels><?xml version="1.0" encoding="UTF-8" standalone="yes"?>
<Relationships xmlns="http://schemas.openxmlformats.org/package/2006/relationships"><Relationship Id="rId3" Type="http://schemas.openxmlformats.org/officeDocument/2006/relationships/oleObject" Target="file:///\\melfp\drafts\David%20Lees\Reporting\Rents\Rents%20March%202016%20Graphs.xlsx" TargetMode="External"/><Relationship Id="rId2" Type="http://schemas.microsoft.com/office/2011/relationships/chartColorStyle" Target="colors45.xml"/><Relationship Id="rId1" Type="http://schemas.microsoft.com/office/2011/relationships/chartStyle" Target="style45.xml"/></Relationships>
</file>

<file path=word/charts/_rels/chart53.xml.rels><?xml version="1.0" encoding="UTF-8" standalone="yes"?>
<Relationships xmlns="http://schemas.openxmlformats.org/package/2006/relationships"><Relationship Id="rId3" Type="http://schemas.openxmlformats.org/officeDocument/2006/relationships/oleObject" Target="file:///\\melfp\drafts\David%20Lees\Reporting\Rents\Rents%20March%202016%20Graphs.xlsx" TargetMode="External"/><Relationship Id="rId2" Type="http://schemas.microsoft.com/office/2011/relationships/chartColorStyle" Target="colors46.xml"/><Relationship Id="rId1" Type="http://schemas.microsoft.com/office/2011/relationships/chartStyle" Target="style46.xml"/></Relationships>
</file>

<file path=word/charts/_rels/chart54.xml.rels><?xml version="1.0" encoding="UTF-8" standalone="yes"?>
<Relationships xmlns="http://schemas.openxmlformats.org/package/2006/relationships"><Relationship Id="rId3" Type="http://schemas.openxmlformats.org/officeDocument/2006/relationships/oleObject" Target="file:///\\melfp\drafts\David%20Lees\Reporting\Labour%20Force\Labour%20Force%20SALM%20March%202016.xlsx" TargetMode="External"/><Relationship Id="rId2" Type="http://schemas.microsoft.com/office/2011/relationships/chartColorStyle" Target="colors47.xml"/><Relationship Id="rId1" Type="http://schemas.microsoft.com/office/2011/relationships/chartStyle" Target="style47.xml"/></Relationships>
</file>

<file path=word/charts/_rels/chart55.xml.rels><?xml version="1.0" encoding="UTF-8" standalone="yes"?>
<Relationships xmlns="http://schemas.openxmlformats.org/package/2006/relationships"><Relationship Id="rId3" Type="http://schemas.openxmlformats.org/officeDocument/2006/relationships/oleObject" Target="file:///\\melfp\drafts\David%20Lees\Reporting\Labour%20Force\Labour%20Force%20SALM%20March%202016.xlsx" TargetMode="External"/><Relationship Id="rId2" Type="http://schemas.microsoft.com/office/2011/relationships/chartColorStyle" Target="colors48.xml"/><Relationship Id="rId1" Type="http://schemas.microsoft.com/office/2011/relationships/chartStyle" Target="style48.xml"/></Relationships>
</file>

<file path=word/charts/_rels/chart56.xml.rels><?xml version="1.0" encoding="UTF-8" standalone="yes"?>
<Relationships xmlns="http://schemas.openxmlformats.org/package/2006/relationships"><Relationship Id="rId3" Type="http://schemas.openxmlformats.org/officeDocument/2006/relationships/oleObject" Target="file:///\\melfp\drafts\David%20Lees\Reporting\Labour%20Force\Labour%20Force%20SALM%20March%202016.xlsx" TargetMode="External"/><Relationship Id="rId2" Type="http://schemas.microsoft.com/office/2011/relationships/chartColorStyle" Target="colors49.xml"/><Relationship Id="rId1" Type="http://schemas.microsoft.com/office/2011/relationships/chartStyle" Target="style49.xml"/></Relationships>
</file>

<file path=word/charts/_rels/chart57.xml.rels><?xml version="1.0" encoding="UTF-8" standalone="yes"?>
<Relationships xmlns="http://schemas.openxmlformats.org/package/2006/relationships"><Relationship Id="rId3" Type="http://schemas.openxmlformats.org/officeDocument/2006/relationships/oleObject" Target="file:///\\melfp\drafts\David%20Lees\Reporting\Labour%20Force\Labour%20Force%20SALM%20March%202016.xlsx" TargetMode="External"/><Relationship Id="rId2" Type="http://schemas.microsoft.com/office/2011/relationships/chartColorStyle" Target="colors50.xml"/><Relationship Id="rId1" Type="http://schemas.microsoft.com/office/2011/relationships/chartStyle" Target="style50.xml"/></Relationships>
</file>

<file path=word/charts/_rels/chart58.xml.rels><?xml version="1.0" encoding="UTF-8" standalone="yes"?>
<Relationships xmlns="http://schemas.openxmlformats.org/package/2006/relationships"><Relationship Id="rId3" Type="http://schemas.openxmlformats.org/officeDocument/2006/relationships/oleObject" Target="file:///\\melfp\drafts\David%20Lees\Reporting\Labour%20Force\Labour%20Force%20SALM%20March%202016.xlsx" TargetMode="External"/><Relationship Id="rId2" Type="http://schemas.microsoft.com/office/2011/relationships/chartColorStyle" Target="colors51.xml"/><Relationship Id="rId1" Type="http://schemas.microsoft.com/office/2011/relationships/chartStyle" Target="style51.xml"/></Relationships>
</file>

<file path=word/charts/_rels/chart59.xml.rels><?xml version="1.0" encoding="UTF-8" standalone="yes"?>
<Relationships xmlns="http://schemas.openxmlformats.org/package/2006/relationships"><Relationship Id="rId3" Type="http://schemas.openxmlformats.org/officeDocument/2006/relationships/oleObject" Target="file:///\\melfp\drafts\David%20Lees\Reporting\Labour%20Force\Labour%20Force%20SALM%20March%202016.xlsx" TargetMode="External"/><Relationship Id="rId2" Type="http://schemas.microsoft.com/office/2011/relationships/chartColorStyle" Target="colors52.xml"/><Relationship Id="rId1" Type="http://schemas.microsoft.com/office/2011/relationships/chartStyle" Target="style52.xml"/></Relationships>
</file>

<file path=word/charts/_rels/chart6.xml.rels><?xml version="1.0" encoding="UTF-8" standalone="yes"?>
<Relationships xmlns="http://schemas.openxmlformats.org/package/2006/relationships"><Relationship Id="rId1" Type="http://schemas.openxmlformats.org/officeDocument/2006/relationships/oleObject" Target="file:///\\melfp\users$\David.Lees\My%20Documents\Births%202014.xlsx" TargetMode="External"/></Relationships>
</file>

<file path=word/charts/_rels/chart60.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53.xml"/><Relationship Id="rId1" Type="http://schemas.microsoft.com/office/2011/relationships/chartStyle" Target="style53.xml"/></Relationships>
</file>

<file path=word/charts/_rels/chart61.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1415%20Master.xlsx" TargetMode="External"/><Relationship Id="rId2" Type="http://schemas.microsoft.com/office/2011/relationships/chartColorStyle" Target="colors54.xml"/><Relationship Id="rId1" Type="http://schemas.microsoft.com/office/2011/relationships/chartStyle" Target="style54.xml"/></Relationships>
</file>

<file path=word/charts/_rels/chart62.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1415%20Master.xlsx" TargetMode="External"/><Relationship Id="rId2" Type="http://schemas.microsoft.com/office/2011/relationships/chartColorStyle" Target="colors55.xml"/><Relationship Id="rId1" Type="http://schemas.microsoft.com/office/2011/relationships/chartStyle" Target="style55.xml"/></Relationships>
</file>

<file path=word/charts/_rels/chart63.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1415%20Master.xlsx" TargetMode="External"/><Relationship Id="rId2" Type="http://schemas.microsoft.com/office/2011/relationships/chartColorStyle" Target="colors56.xml"/><Relationship Id="rId1" Type="http://schemas.microsoft.com/office/2011/relationships/chartStyle" Target="style56.xml"/></Relationships>
</file>

<file path=word/charts/_rels/chart64.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1415%20Master.xlsx" TargetMode="External"/><Relationship Id="rId2" Type="http://schemas.microsoft.com/office/2011/relationships/chartColorStyle" Target="colors57.xml"/><Relationship Id="rId1" Type="http://schemas.microsoft.com/office/2011/relationships/chartStyle" Target="style57.xml"/></Relationships>
</file>

<file path=word/charts/_rels/chart65.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1415%20Master.xlsx" TargetMode="External"/><Relationship Id="rId2" Type="http://schemas.microsoft.com/office/2011/relationships/chartColorStyle" Target="colors58.xml"/><Relationship Id="rId1" Type="http://schemas.microsoft.com/office/2011/relationships/chartStyle" Target="style58.xml"/></Relationships>
</file>

<file path=word/charts/_rels/chart66.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1415%20Master.xlsx" TargetMode="External"/><Relationship Id="rId2" Type="http://schemas.microsoft.com/office/2011/relationships/chartColorStyle" Target="colors59.xml"/><Relationship Id="rId1" Type="http://schemas.microsoft.com/office/2011/relationships/chartStyle" Target="style59.xml"/></Relationships>
</file>

<file path=word/charts/_rels/chart67.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1415%20Master.xlsx" TargetMode="External"/><Relationship Id="rId2" Type="http://schemas.microsoft.com/office/2011/relationships/chartColorStyle" Target="colors60.xml"/><Relationship Id="rId1" Type="http://schemas.microsoft.com/office/2011/relationships/chartStyle" Target="style60.xml"/></Relationships>
</file>

<file path=word/charts/_rels/chart68.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1415%20Master.xlsx" TargetMode="External"/><Relationship Id="rId2" Type="http://schemas.microsoft.com/office/2011/relationships/chartColorStyle" Target="colors61.xml"/><Relationship Id="rId1" Type="http://schemas.microsoft.com/office/2011/relationships/chartStyle" Target="style61.xml"/></Relationships>
</file>

<file path=word/charts/_rels/chart69.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1415%20Master.xlsx" TargetMode="External"/><Relationship Id="rId2" Type="http://schemas.microsoft.com/office/2011/relationships/chartColorStyle" Target="colors62.xml"/><Relationship Id="rId1" Type="http://schemas.microsoft.com/office/2011/relationships/chartStyle" Target="style62.xml"/></Relationships>
</file>

<file path=word/charts/_rels/chart7.xml.rels><?xml version="1.0" encoding="UTF-8" standalone="yes"?>
<Relationships xmlns="http://schemas.openxmlformats.org/package/2006/relationships"><Relationship Id="rId3" Type="http://schemas.openxmlformats.org/officeDocument/2006/relationships/oleObject" Target="file:///\\melfp\drafts\David%20Lees\Reporting\Population\LGA%20population%20figure%20June%202015.xlsx" TargetMode="External"/><Relationship Id="rId2" Type="http://schemas.microsoft.com/office/2011/relationships/chartColorStyle" Target="colors6.xml"/><Relationship Id="rId1" Type="http://schemas.microsoft.com/office/2011/relationships/chartStyle" Target="style6.xml"/></Relationships>
</file>

<file path=word/charts/_rels/chart70.xml.rels><?xml version="1.0" encoding="UTF-8" standalone="yes"?>
<Relationships xmlns="http://schemas.openxmlformats.org/package/2006/relationships"><Relationship Id="rId3" Type="http://schemas.openxmlformats.org/officeDocument/2006/relationships/oleObject" Target="file:///\\melfp\drafts\David%20Lees\Reporting\Building%20Approvals\Building%20Approvals%201415%20Master.xlsx" TargetMode="External"/><Relationship Id="rId2" Type="http://schemas.microsoft.com/office/2011/relationships/chartColorStyle" Target="colors63.xml"/><Relationship Id="rId1" Type="http://schemas.microsoft.com/office/2011/relationships/chartStyle" Target="style63.xml"/></Relationships>
</file>

<file path=word/charts/_rels/chart71.xml.rels><?xml version="1.0" encoding="UTF-8" standalone="yes"?>
<Relationships xmlns="http://schemas.openxmlformats.org/package/2006/relationships"><Relationship Id="rId3" Type="http://schemas.openxmlformats.org/officeDocument/2006/relationships/oleObject" Target="file:///\\melfp\drafts\David%20Lees\Reporting\Population\LGA%20population%20figure%20June%202015.xlsx" TargetMode="External"/><Relationship Id="rId2" Type="http://schemas.microsoft.com/office/2011/relationships/chartColorStyle" Target="colors64.xml"/><Relationship Id="rId1" Type="http://schemas.microsoft.com/office/2011/relationships/chartStyle" Target="style64.xml"/></Relationships>
</file>

<file path=word/charts/_rels/chart72.xml.rels><?xml version="1.0" encoding="UTF-8" standalone="yes"?>
<Relationships xmlns="http://schemas.openxmlformats.org/package/2006/relationships"><Relationship Id="rId3" Type="http://schemas.openxmlformats.org/officeDocument/2006/relationships/oleObject" Target="file:///\\melfp\drafts\David%20Lees\Reporting\Population\LGA%20population%20figure%20June%202015.xlsx" TargetMode="External"/><Relationship Id="rId2" Type="http://schemas.microsoft.com/office/2011/relationships/chartColorStyle" Target="colors65.xml"/><Relationship Id="rId1" Type="http://schemas.microsoft.com/office/2011/relationships/chartStyle" Target="style65.xml"/></Relationships>
</file>

<file path=word/charts/_rels/chart73.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66.xml"/><Relationship Id="rId1" Type="http://schemas.microsoft.com/office/2011/relationships/chartStyle" Target="style66.xml"/></Relationships>
</file>

<file path=word/charts/_rels/chart74.xml.rels><?xml version="1.0" encoding="UTF-8" standalone="yes"?>
<Relationships xmlns="http://schemas.openxmlformats.org/package/2006/relationships"><Relationship Id="rId3" Type="http://schemas.openxmlformats.org/officeDocument/2006/relationships/oleObject" Target="file:///\\melfp\drafts\David%20Lees\Reporting\Cordell\Cordell_data_classification%20June%202016.xlsx" TargetMode="External"/><Relationship Id="rId2" Type="http://schemas.microsoft.com/office/2011/relationships/chartColorStyle" Target="colors67.xml"/><Relationship Id="rId1" Type="http://schemas.microsoft.com/office/2011/relationships/chartStyle" Target="style67.xml"/></Relationships>
</file>

<file path=word/charts/_rels/chart75.xml.rels><?xml version="1.0" encoding="UTF-8" standalone="yes"?>
<Relationships xmlns="http://schemas.openxmlformats.org/package/2006/relationships"><Relationship Id="rId3" Type="http://schemas.openxmlformats.org/officeDocument/2006/relationships/oleObject" Target="file:///\\melfp\drafts\David%20Lees\Reporting\Cordell\Cordell_data_classification%20June%202016.xlsx" TargetMode="External"/><Relationship Id="rId2" Type="http://schemas.microsoft.com/office/2011/relationships/chartColorStyle" Target="colors68.xml"/><Relationship Id="rId1" Type="http://schemas.microsoft.com/office/2011/relationships/chartStyle" Target="style68.xml"/></Relationships>
</file>

<file path=word/charts/_rels/chart76.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69.xml"/><Relationship Id="rId1" Type="http://schemas.microsoft.com/office/2011/relationships/chartStyle" Target="style69.xml"/></Relationships>
</file>

<file path=word/charts/_rels/chart77.xml.rels><?xml version="1.0" encoding="UTF-8" standalone="yes"?>
<Relationships xmlns="http://schemas.openxmlformats.org/package/2006/relationships"><Relationship Id="rId3" Type="http://schemas.openxmlformats.org/officeDocument/2006/relationships/oleObject" Target="file:///\\melfp\drafts\David%20Lees\Reporting\Property%20Prices\Copy%20of%20Summary%20of%20Sales%20for%20the%20whole%20of%202015.xlsx" TargetMode="External"/><Relationship Id="rId2" Type="http://schemas.microsoft.com/office/2011/relationships/chartColorStyle" Target="colors70.xml"/><Relationship Id="rId1" Type="http://schemas.microsoft.com/office/2011/relationships/chartStyle" Target="style70.xml"/></Relationships>
</file>

<file path=word/charts/_rels/chart78.xml.rels><?xml version="1.0" encoding="UTF-8" standalone="yes"?>
<Relationships xmlns="http://schemas.openxmlformats.org/package/2006/relationships"><Relationship Id="rId3" Type="http://schemas.openxmlformats.org/officeDocument/2006/relationships/oleObject" Target="file:///\\melfp\drafts\David%20Lees\Reporting\Property%20Prices\Copy%20of%20Summary%20of%20Sales%20for%20the%20whole%20of%202015.xlsx" TargetMode="External"/><Relationship Id="rId2" Type="http://schemas.microsoft.com/office/2011/relationships/chartColorStyle" Target="colors71.xml"/><Relationship Id="rId1" Type="http://schemas.microsoft.com/office/2011/relationships/chartStyle" Target="style71.xml"/></Relationships>
</file>

<file path=word/charts/_rels/chart79.xml.rels><?xml version="1.0" encoding="UTF-8" standalone="yes"?>
<Relationships xmlns="http://schemas.openxmlformats.org/package/2006/relationships"><Relationship Id="rId3" Type="http://schemas.openxmlformats.org/officeDocument/2006/relationships/oleObject" Target="file:///\\melfp\drafts\David%20Lees\Reporting\Property%20Prices\Copy%20of%20Summary%20of%20Sales%20for%20the%20whole%20of%202015.xlsx" TargetMode="External"/><Relationship Id="rId2" Type="http://schemas.microsoft.com/office/2011/relationships/chartColorStyle" Target="colors72.xml"/><Relationship Id="rId1" Type="http://schemas.microsoft.com/office/2011/relationships/chartStyle" Target="style72.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7.xml"/><Relationship Id="rId1" Type="http://schemas.microsoft.com/office/2011/relationships/chartStyle" Target="style7.xml"/></Relationships>
</file>

<file path=word/charts/_rels/chart80.xml.rels><?xml version="1.0" encoding="UTF-8" standalone="yes"?>
<Relationships xmlns="http://schemas.openxmlformats.org/package/2006/relationships"><Relationship Id="rId3" Type="http://schemas.openxmlformats.org/officeDocument/2006/relationships/oleObject" Target="file:///\\melfp\drafts\David%20Lees\Reporting\Property%20Prices\Copy%20of%20Summary%20of%20Sales%20for%20the%20whole%20of%202015.xlsx" TargetMode="External"/><Relationship Id="rId2" Type="http://schemas.microsoft.com/office/2011/relationships/chartColorStyle" Target="colors73.xml"/><Relationship Id="rId1" Type="http://schemas.microsoft.com/office/2011/relationships/chartStyle" Target="style73.xml"/></Relationships>
</file>

<file path=word/charts/_rels/chart81.xml.rels><?xml version="1.0" encoding="UTF-8" standalone="yes"?>
<Relationships xmlns="http://schemas.openxmlformats.org/package/2006/relationships"><Relationship Id="rId3" Type="http://schemas.openxmlformats.org/officeDocument/2006/relationships/oleObject" Target="file:///\\melfp\drafts\David%20Lees\Reporting\Property%20Prices\Summary%20of%20Sales%20for%20the%20whole%20of%202015.xlsx" TargetMode="External"/><Relationship Id="rId2" Type="http://schemas.microsoft.com/office/2011/relationships/chartColorStyle" Target="colors74.xml"/><Relationship Id="rId1" Type="http://schemas.microsoft.com/office/2011/relationships/chartStyle" Target="style74.xml"/></Relationships>
</file>

<file path=word/charts/_rels/chart82.xml.rels><?xml version="1.0" encoding="UTF-8" standalone="yes"?>
<Relationships xmlns="http://schemas.openxmlformats.org/package/2006/relationships"><Relationship Id="rId3" Type="http://schemas.openxmlformats.org/officeDocument/2006/relationships/oleObject" Target="file:///\\melfp\drafts\David%20Lees\Reporting\Property%20Prices\Copy%20of%20Summary%20of%20Sales%20for%20the%20whole%20of%202015.xlsx" TargetMode="External"/><Relationship Id="rId2" Type="http://schemas.microsoft.com/office/2011/relationships/chartColorStyle" Target="colors75.xml"/><Relationship Id="rId1" Type="http://schemas.microsoft.com/office/2011/relationships/chartStyle" Target="style75.xml"/></Relationships>
</file>

<file path=word/charts/_rels/chart83.xml.rels><?xml version="1.0" encoding="UTF-8" standalone="yes"?>
<Relationships xmlns="http://schemas.openxmlformats.org/package/2006/relationships"><Relationship Id="rId3" Type="http://schemas.openxmlformats.org/officeDocument/2006/relationships/oleObject" Target="file:///\\melfp\drafts\David%20Lees\Reporting\Property%20Prices\Summary%20of%20Sales%20for%20the%20whole%20of%202015.xlsx" TargetMode="External"/><Relationship Id="rId2" Type="http://schemas.microsoft.com/office/2011/relationships/chartColorStyle" Target="colors76.xml"/><Relationship Id="rId1" Type="http://schemas.microsoft.com/office/2011/relationships/chartStyle" Target="style76.xml"/></Relationships>
</file>

<file path=word/charts/_rels/chart84.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77.xml"/><Relationship Id="rId1" Type="http://schemas.microsoft.com/office/2011/relationships/chartStyle" Target="style77.xml"/></Relationships>
</file>

<file path=word/charts/_rels/chart9.xml.rels><?xml version="1.0" encoding="UTF-8" standalone="yes"?>
<Relationships xmlns="http://schemas.openxmlformats.org/package/2006/relationships"><Relationship Id="rId3" Type="http://schemas.openxmlformats.org/officeDocument/2006/relationships/oleObject" Target="file:///\\melfp\drafts\David%20Lees\Reporting\Population\VIF%202016\VIF%202016%20Quick%20Analysis.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Population</a:t>
            </a:r>
            <a:r>
              <a:rPr lang="en-AU" baseline="0"/>
              <a:t> of States and territories - 31st of December 2015</a:t>
            </a:r>
          </a:p>
          <a:p>
            <a:pPr algn="l">
              <a:defRPr/>
            </a:pPr>
            <a:r>
              <a:rPr lang="en-AU" sz="1000" baseline="0"/>
              <a:t>Source: ABS 3101.0 </a:t>
            </a:r>
            <a:endParaRPr lang="en-AU" sz="1000"/>
          </a:p>
        </c:rich>
      </c:tx>
      <c:layout>
        <c:manualLayout>
          <c:xMode val="edge"/>
          <c:yMode val="edge"/>
          <c:x val="7.5477278955357998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039087069426742"/>
          <c:y val="0.18489082809515314"/>
          <c:w val="0.83530259203034407"/>
          <c:h val="0.72809946497910827"/>
        </c:manualLayout>
      </c:layout>
      <c:barChart>
        <c:barDir val="col"/>
        <c:grouping val="clustered"/>
        <c:varyColors val="1"/>
        <c:ser>
          <c:idx val="0"/>
          <c:order val="0"/>
          <c:spPr>
            <a:ln>
              <a:solidFill>
                <a:schemeClr val="tx1"/>
              </a:solidFill>
            </a:ln>
          </c:spPr>
          <c:invertIfNegative val="0"/>
          <c:dPt>
            <c:idx val="0"/>
            <c:invertIfNegative val="0"/>
            <c:bubble3D val="0"/>
            <c:spPr>
              <a:solidFill>
                <a:schemeClr val="accent1"/>
              </a:solidFill>
              <a:ln>
                <a:solidFill>
                  <a:schemeClr val="tx1"/>
                </a:solidFill>
              </a:ln>
              <a:effectLst/>
            </c:spPr>
          </c:dPt>
          <c:dPt>
            <c:idx val="1"/>
            <c:invertIfNegative val="0"/>
            <c:bubble3D val="0"/>
            <c:spPr>
              <a:solidFill>
                <a:schemeClr val="tx2"/>
              </a:solidFill>
              <a:ln>
                <a:solidFill>
                  <a:schemeClr val="tx1"/>
                </a:solidFill>
              </a:ln>
              <a:effectLst/>
            </c:spPr>
          </c:dPt>
          <c:dPt>
            <c:idx val="2"/>
            <c:invertIfNegative val="0"/>
            <c:bubble3D val="0"/>
            <c:spPr>
              <a:solidFill>
                <a:srgbClr val="A50021"/>
              </a:solidFill>
              <a:ln>
                <a:solidFill>
                  <a:schemeClr val="tx1"/>
                </a:solidFill>
              </a:ln>
              <a:effectLst/>
            </c:spPr>
          </c:dPt>
          <c:dPt>
            <c:idx val="3"/>
            <c:invertIfNegative val="0"/>
            <c:bubble3D val="0"/>
            <c:spPr>
              <a:solidFill>
                <a:srgbClr val="FF0000"/>
              </a:solidFill>
              <a:ln>
                <a:solidFill>
                  <a:schemeClr val="tx1"/>
                </a:solidFill>
              </a:ln>
              <a:effectLst/>
            </c:spPr>
          </c:dPt>
          <c:dPt>
            <c:idx val="4"/>
            <c:invertIfNegative val="0"/>
            <c:bubble3D val="0"/>
            <c:spPr>
              <a:solidFill>
                <a:schemeClr val="accent4"/>
              </a:solidFill>
              <a:ln>
                <a:solidFill>
                  <a:schemeClr val="tx1"/>
                </a:solidFill>
              </a:ln>
              <a:effectLst/>
            </c:spPr>
          </c:dPt>
          <c:dPt>
            <c:idx val="5"/>
            <c:invertIfNegative val="0"/>
            <c:bubble3D val="0"/>
            <c:spPr>
              <a:solidFill>
                <a:schemeClr val="accent6"/>
              </a:solidFill>
              <a:ln>
                <a:solidFill>
                  <a:schemeClr val="tx1"/>
                </a:solidFill>
              </a:ln>
              <a:effectLst/>
            </c:spPr>
          </c:dPt>
          <c:dPt>
            <c:idx val="6"/>
            <c:invertIfNegative val="0"/>
            <c:bubble3D val="0"/>
            <c:spPr>
              <a:solidFill>
                <a:schemeClr val="accent2"/>
              </a:solidFill>
              <a:ln>
                <a:solidFill>
                  <a:schemeClr val="tx1"/>
                </a:solidFill>
              </a:ln>
              <a:effectLst/>
            </c:spPr>
          </c:dPt>
          <c:dPt>
            <c:idx val="7"/>
            <c:invertIfNegative val="0"/>
            <c:bubble3D val="0"/>
            <c:spPr>
              <a:solidFill>
                <a:schemeClr val="accent3">
                  <a:lumMod val="75000"/>
                </a:schemeClr>
              </a:solidFill>
              <a:ln>
                <a:solidFill>
                  <a:schemeClr val="tx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Sheet2!$T$4:$AA$4</c:f>
              <c:strCache>
                <c:ptCount val="8"/>
                <c:pt idx="0">
                  <c:v>NSW</c:v>
                </c:pt>
                <c:pt idx="1">
                  <c:v>VIC</c:v>
                </c:pt>
                <c:pt idx="2">
                  <c:v>QLD</c:v>
                </c:pt>
                <c:pt idx="3">
                  <c:v>SA</c:v>
                </c:pt>
                <c:pt idx="4">
                  <c:v>WA</c:v>
                </c:pt>
                <c:pt idx="5">
                  <c:v>TAS</c:v>
                </c:pt>
                <c:pt idx="6">
                  <c:v>NT</c:v>
                </c:pt>
                <c:pt idx="7">
                  <c:v>ACT</c:v>
                </c:pt>
              </c:strCache>
            </c:strRef>
          </c:cat>
          <c:val>
            <c:numRef>
              <c:f>Sheet2!$T$5:$AA$5</c:f>
              <c:numCache>
                <c:formatCode>_-* #,##0_-;\-* #,##0_-;_-* "-"??_-;_-@_-</c:formatCode>
                <c:ptCount val="8"/>
                <c:pt idx="0">
                  <c:v>7670742</c:v>
                </c:pt>
                <c:pt idx="1">
                  <c:v>5996385</c:v>
                </c:pt>
                <c:pt idx="2">
                  <c:v>4808771</c:v>
                </c:pt>
                <c:pt idx="3">
                  <c:v>1702785</c:v>
                </c:pt>
                <c:pt idx="4">
                  <c:v>2603899</c:v>
                </c:pt>
                <c:pt idx="5">
                  <c:v>517404</c:v>
                </c:pt>
                <c:pt idx="6">
                  <c:v>244031</c:v>
                </c:pt>
                <c:pt idx="7">
                  <c:v>393013</c:v>
                </c:pt>
              </c:numCache>
            </c:numRef>
          </c:val>
        </c:ser>
        <c:dLbls>
          <c:showLegendKey val="0"/>
          <c:showVal val="0"/>
          <c:showCatName val="0"/>
          <c:showSerName val="0"/>
          <c:showPercent val="0"/>
          <c:showBubbleSize val="0"/>
        </c:dLbls>
        <c:gapWidth val="25"/>
        <c:axId val="768904208"/>
        <c:axId val="768903088"/>
      </c:barChart>
      <c:catAx>
        <c:axId val="76890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8903088"/>
        <c:crosses val="autoZero"/>
        <c:auto val="1"/>
        <c:lblAlgn val="ctr"/>
        <c:lblOffset val="100"/>
        <c:noMultiLvlLbl val="0"/>
      </c:catAx>
      <c:valAx>
        <c:axId val="768903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Population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89042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ViF</a:t>
            </a:r>
            <a:r>
              <a:rPr lang="en-AU" baseline="0"/>
              <a:t> 2016 LGA projections 2016 &amp; 2031 Population -</a:t>
            </a:r>
          </a:p>
          <a:p>
            <a:pPr algn="l">
              <a:defRPr/>
            </a:pPr>
            <a:r>
              <a:rPr lang="en-AU" baseline="0"/>
              <a:t>Regional Victoria </a:t>
            </a:r>
            <a:endParaRPr lang="en-AU"/>
          </a:p>
        </c:rich>
      </c:tx>
      <c:layout>
        <c:manualLayout>
          <c:xMode val="edge"/>
          <c:yMode val="edge"/>
          <c:x val="1.9114173228346409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381151574803149"/>
          <c:y val="7.3707593414887737E-2"/>
          <c:w val="0.76284990157480315"/>
          <c:h val="0.91302020962050001"/>
        </c:manualLayout>
      </c:layout>
      <c:barChart>
        <c:barDir val="bar"/>
        <c:grouping val="clustered"/>
        <c:varyColors val="0"/>
        <c:ser>
          <c:idx val="0"/>
          <c:order val="0"/>
          <c:tx>
            <c:strRef>
              <c:f>'LGA areas'!$C$4</c:f>
              <c:strCache>
                <c:ptCount val="1"/>
                <c:pt idx="0">
                  <c:v>Estiamted Population 2016</c:v>
                </c:pt>
              </c:strCache>
            </c:strRef>
          </c:tx>
          <c:spPr>
            <a:solidFill>
              <a:schemeClr val="accent6">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'LGA areas'!$B$47:$B$99</c:f>
              <c:strCache>
                <c:ptCount val="53"/>
                <c:pt idx="0">
                  <c:v>Regional Cities</c:v>
                </c:pt>
                <c:pt idx="1">
                  <c:v>Ballarat </c:v>
                </c:pt>
                <c:pt idx="2">
                  <c:v>Greater Bendigo </c:v>
                </c:pt>
                <c:pt idx="3">
                  <c:v>Greater Geelong </c:v>
                </c:pt>
                <c:pt idx="4">
                  <c:v>Greater Shepparton </c:v>
                </c:pt>
                <c:pt idx="5">
                  <c:v>Horsham </c:v>
                </c:pt>
                <c:pt idx="6">
                  <c:v>Latrobe </c:v>
                </c:pt>
                <c:pt idx="7">
                  <c:v>Mildura </c:v>
                </c:pt>
                <c:pt idx="8">
                  <c:v>Wangaratta </c:v>
                </c:pt>
                <c:pt idx="9">
                  <c:v>Warrnambool </c:v>
                </c:pt>
                <c:pt idx="10">
                  <c:v>Wodonga </c:v>
                </c:pt>
                <c:pt idx="12">
                  <c:v>Peri-Urban and Coastal</c:v>
                </c:pt>
                <c:pt idx="13">
                  <c:v>Bass Coast </c:v>
                </c:pt>
                <c:pt idx="14">
                  <c:v>Baw Baw </c:v>
                </c:pt>
                <c:pt idx="15">
                  <c:v>Golden Plains </c:v>
                </c:pt>
                <c:pt idx="16">
                  <c:v>Macedon Ranges </c:v>
                </c:pt>
                <c:pt idx="17">
                  <c:v>Moorabool </c:v>
                </c:pt>
                <c:pt idx="18">
                  <c:v>Murrindindi </c:v>
                </c:pt>
                <c:pt idx="19">
                  <c:v>Queenscliffe </c:v>
                </c:pt>
                <c:pt idx="20">
                  <c:v>South Gippsland </c:v>
                </c:pt>
                <c:pt idx="21">
                  <c:v>Surf Coast </c:v>
                </c:pt>
                <c:pt idx="23">
                  <c:v>Other Regional LGAs</c:v>
                </c:pt>
                <c:pt idx="24">
                  <c:v>Alpine </c:v>
                </c:pt>
                <c:pt idx="25">
                  <c:v>Ararat </c:v>
                </c:pt>
                <c:pt idx="26">
                  <c:v>Benalla </c:v>
                </c:pt>
                <c:pt idx="27">
                  <c:v>Buloke </c:v>
                </c:pt>
                <c:pt idx="28">
                  <c:v>Campaspe </c:v>
                </c:pt>
                <c:pt idx="29">
                  <c:v>Central Goldfields </c:v>
                </c:pt>
                <c:pt idx="30">
                  <c:v>Colac-Otway </c:v>
                </c:pt>
                <c:pt idx="31">
                  <c:v>Corangamite </c:v>
                </c:pt>
                <c:pt idx="32">
                  <c:v>East Gippsland </c:v>
                </c:pt>
                <c:pt idx="33">
                  <c:v>Gannawarra </c:v>
                </c:pt>
                <c:pt idx="34">
                  <c:v>Glenelg </c:v>
                </c:pt>
                <c:pt idx="35">
                  <c:v>Hepburn </c:v>
                </c:pt>
                <c:pt idx="36">
                  <c:v>Hindmarsh </c:v>
                </c:pt>
                <c:pt idx="37">
                  <c:v>Indigo </c:v>
                </c:pt>
                <c:pt idx="38">
                  <c:v>Loddon </c:v>
                </c:pt>
                <c:pt idx="39">
                  <c:v>Mansfield </c:v>
                </c:pt>
                <c:pt idx="40">
                  <c:v>Moira </c:v>
                </c:pt>
                <c:pt idx="41">
                  <c:v>Mount Alexander </c:v>
                </c:pt>
                <c:pt idx="42">
                  <c:v>Moyne </c:v>
                </c:pt>
                <c:pt idx="43">
                  <c:v>Northern Grampians </c:v>
                </c:pt>
                <c:pt idx="44">
                  <c:v>Pyrenees </c:v>
                </c:pt>
                <c:pt idx="45">
                  <c:v>Southern Grampians </c:v>
                </c:pt>
                <c:pt idx="46">
                  <c:v>Strathbogie </c:v>
                </c:pt>
                <c:pt idx="47">
                  <c:v>Swan Hill </c:v>
                </c:pt>
                <c:pt idx="48">
                  <c:v>Towong </c:v>
                </c:pt>
                <c:pt idx="49">
                  <c:v>Wellington </c:v>
                </c:pt>
                <c:pt idx="50">
                  <c:v>West Wimmera </c:v>
                </c:pt>
                <c:pt idx="51">
                  <c:v>Yarriambiack </c:v>
                </c:pt>
                <c:pt idx="52">
                  <c:v>Unincorporated Vic</c:v>
                </c:pt>
              </c:strCache>
            </c:strRef>
          </c:cat>
          <c:val>
            <c:numRef>
              <c:f>'LGA areas'!$C$47:$C$99</c:f>
              <c:numCache>
                <c:formatCode>#,##0</c:formatCode>
                <c:ptCount val="53"/>
                <c:pt idx="1">
                  <c:v>103249.4387189463</c:v>
                </c:pt>
                <c:pt idx="2">
                  <c:v>110445.60027557699</c:v>
                </c:pt>
                <c:pt idx="3">
                  <c:v>233348.65199136257</c:v>
                </c:pt>
                <c:pt idx="4">
                  <c:v>63827.77764931626</c:v>
                </c:pt>
                <c:pt idx="5">
                  <c:v>19887.147579163415</c:v>
                </c:pt>
                <c:pt idx="6">
                  <c:v>73646.311000414004</c:v>
                </c:pt>
                <c:pt idx="7">
                  <c:v>53355.90223872762</c:v>
                </c:pt>
                <c:pt idx="8">
                  <c:v>27040.415032728204</c:v>
                </c:pt>
                <c:pt idx="9">
                  <c:v>33947.664108665966</c:v>
                </c:pt>
                <c:pt idx="10">
                  <c:v>39358.311929271455</c:v>
                </c:pt>
                <c:pt idx="13">
                  <c:v>32825.367502181049</c:v>
                </c:pt>
                <c:pt idx="14">
                  <c:v>47578.386736274588</c:v>
                </c:pt>
                <c:pt idx="15">
                  <c:v>21216.092111823029</c:v>
                </c:pt>
                <c:pt idx="16">
                  <c:v>46022.914138261352</c:v>
                </c:pt>
                <c:pt idx="17">
                  <c:v>32126.259731125301</c:v>
                </c:pt>
                <c:pt idx="18">
                  <c:v>13758.441764715928</c:v>
                </c:pt>
                <c:pt idx="19">
                  <c:v>3017.8012559652111</c:v>
                </c:pt>
                <c:pt idx="20">
                  <c:v>27750.941863525284</c:v>
                </c:pt>
                <c:pt idx="21">
                  <c:v>29386.482539680699</c:v>
                </c:pt>
                <c:pt idx="24">
                  <c:v>11834.899042695339</c:v>
                </c:pt>
                <c:pt idx="25">
                  <c:v>10952.497178879148</c:v>
                </c:pt>
                <c:pt idx="26">
                  <c:v>13389.909617896061</c:v>
                </c:pt>
                <c:pt idx="27">
                  <c:v>5858.2216529508905</c:v>
                </c:pt>
                <c:pt idx="28">
                  <c:v>36813.741000021575</c:v>
                </c:pt>
                <c:pt idx="29">
                  <c:v>12560.998037598598</c:v>
                </c:pt>
                <c:pt idx="30">
                  <c:v>20142.215909853803</c:v>
                </c:pt>
                <c:pt idx="31">
                  <c:v>15553.365162717553</c:v>
                </c:pt>
                <c:pt idx="32">
                  <c:v>44415.316335320698</c:v>
                </c:pt>
                <c:pt idx="33">
                  <c:v>9919.2770659742309</c:v>
                </c:pt>
                <c:pt idx="34">
                  <c:v>19041.500933277322</c:v>
                </c:pt>
                <c:pt idx="35">
                  <c:v>14859.448932160132</c:v>
                </c:pt>
                <c:pt idx="36">
                  <c:v>5392.6871113703446</c:v>
                </c:pt>
                <c:pt idx="37">
                  <c:v>15464.794604446914</c:v>
                </c:pt>
                <c:pt idx="38">
                  <c:v>7268.2600830581432</c:v>
                </c:pt>
                <c:pt idx="39">
                  <c:v>8324.9085386722727</c:v>
                </c:pt>
                <c:pt idx="40">
                  <c:v>28942.277806727179</c:v>
                </c:pt>
                <c:pt idx="41">
                  <c:v>18238.680943281215</c:v>
                </c:pt>
                <c:pt idx="42">
                  <c:v>16271.840632376461</c:v>
                </c:pt>
                <c:pt idx="43">
                  <c:v>11420.02704224367</c:v>
                </c:pt>
                <c:pt idx="44">
                  <c:v>6867.432487122871</c:v>
                </c:pt>
                <c:pt idx="45">
                  <c:v>15656.554741409698</c:v>
                </c:pt>
                <c:pt idx="46">
                  <c:v>9881.4272280761525</c:v>
                </c:pt>
                <c:pt idx="47">
                  <c:v>20393.956818368504</c:v>
                </c:pt>
                <c:pt idx="48">
                  <c:v>5747.0543884107356</c:v>
                </c:pt>
                <c:pt idx="49">
                  <c:v>41923.142067097157</c:v>
                </c:pt>
                <c:pt idx="50">
                  <c:v>3810.9120972439787</c:v>
                </c:pt>
                <c:pt idx="51">
                  <c:v>6644.7995284680692</c:v>
                </c:pt>
                <c:pt idx="52">
                  <c:v>774.53581079602316</c:v>
                </c:pt>
              </c:numCache>
            </c:numRef>
          </c:val>
        </c:ser>
        <c:ser>
          <c:idx val="1"/>
          <c:order val="1"/>
          <c:tx>
            <c:strRef>
              <c:f>'LGA areas'!$D$4</c:f>
              <c:strCache>
                <c:ptCount val="1"/>
                <c:pt idx="0">
                  <c:v>Estimated Population 2031</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'LGA areas'!$B$47:$B$99</c:f>
              <c:strCache>
                <c:ptCount val="53"/>
                <c:pt idx="0">
                  <c:v>Regional Cities</c:v>
                </c:pt>
                <c:pt idx="1">
                  <c:v>Ballarat </c:v>
                </c:pt>
                <c:pt idx="2">
                  <c:v>Greater Bendigo </c:v>
                </c:pt>
                <c:pt idx="3">
                  <c:v>Greater Geelong </c:v>
                </c:pt>
                <c:pt idx="4">
                  <c:v>Greater Shepparton </c:v>
                </c:pt>
                <c:pt idx="5">
                  <c:v>Horsham </c:v>
                </c:pt>
                <c:pt idx="6">
                  <c:v>Latrobe </c:v>
                </c:pt>
                <c:pt idx="7">
                  <c:v>Mildura </c:v>
                </c:pt>
                <c:pt idx="8">
                  <c:v>Wangaratta </c:v>
                </c:pt>
                <c:pt idx="9">
                  <c:v>Warrnambool </c:v>
                </c:pt>
                <c:pt idx="10">
                  <c:v>Wodonga </c:v>
                </c:pt>
                <c:pt idx="12">
                  <c:v>Peri-Urban and Coastal</c:v>
                </c:pt>
                <c:pt idx="13">
                  <c:v>Bass Coast </c:v>
                </c:pt>
                <c:pt idx="14">
                  <c:v>Baw Baw </c:v>
                </c:pt>
                <c:pt idx="15">
                  <c:v>Golden Plains </c:v>
                </c:pt>
                <c:pt idx="16">
                  <c:v>Macedon Ranges </c:v>
                </c:pt>
                <c:pt idx="17">
                  <c:v>Moorabool </c:v>
                </c:pt>
                <c:pt idx="18">
                  <c:v>Murrindindi </c:v>
                </c:pt>
                <c:pt idx="19">
                  <c:v>Queenscliffe </c:v>
                </c:pt>
                <c:pt idx="20">
                  <c:v>South Gippsland </c:v>
                </c:pt>
                <c:pt idx="21">
                  <c:v>Surf Coast </c:v>
                </c:pt>
                <c:pt idx="23">
                  <c:v>Other Regional LGAs</c:v>
                </c:pt>
                <c:pt idx="24">
                  <c:v>Alpine </c:v>
                </c:pt>
                <c:pt idx="25">
                  <c:v>Ararat </c:v>
                </c:pt>
                <c:pt idx="26">
                  <c:v>Benalla </c:v>
                </c:pt>
                <c:pt idx="27">
                  <c:v>Buloke </c:v>
                </c:pt>
                <c:pt idx="28">
                  <c:v>Campaspe </c:v>
                </c:pt>
                <c:pt idx="29">
                  <c:v>Central Goldfields </c:v>
                </c:pt>
                <c:pt idx="30">
                  <c:v>Colac-Otway </c:v>
                </c:pt>
                <c:pt idx="31">
                  <c:v>Corangamite </c:v>
                </c:pt>
                <c:pt idx="32">
                  <c:v>East Gippsland </c:v>
                </c:pt>
                <c:pt idx="33">
                  <c:v>Gannawarra </c:v>
                </c:pt>
                <c:pt idx="34">
                  <c:v>Glenelg </c:v>
                </c:pt>
                <c:pt idx="35">
                  <c:v>Hepburn </c:v>
                </c:pt>
                <c:pt idx="36">
                  <c:v>Hindmarsh </c:v>
                </c:pt>
                <c:pt idx="37">
                  <c:v>Indigo </c:v>
                </c:pt>
                <c:pt idx="38">
                  <c:v>Loddon </c:v>
                </c:pt>
                <c:pt idx="39">
                  <c:v>Mansfield </c:v>
                </c:pt>
                <c:pt idx="40">
                  <c:v>Moira </c:v>
                </c:pt>
                <c:pt idx="41">
                  <c:v>Mount Alexander </c:v>
                </c:pt>
                <c:pt idx="42">
                  <c:v>Moyne </c:v>
                </c:pt>
                <c:pt idx="43">
                  <c:v>Northern Grampians </c:v>
                </c:pt>
                <c:pt idx="44">
                  <c:v>Pyrenees </c:v>
                </c:pt>
                <c:pt idx="45">
                  <c:v>Southern Grampians </c:v>
                </c:pt>
                <c:pt idx="46">
                  <c:v>Strathbogie </c:v>
                </c:pt>
                <c:pt idx="47">
                  <c:v>Swan Hill </c:v>
                </c:pt>
                <c:pt idx="48">
                  <c:v>Towong </c:v>
                </c:pt>
                <c:pt idx="49">
                  <c:v>Wellington </c:v>
                </c:pt>
                <c:pt idx="50">
                  <c:v>West Wimmera </c:v>
                </c:pt>
                <c:pt idx="51">
                  <c:v>Yarriambiack </c:v>
                </c:pt>
                <c:pt idx="52">
                  <c:v>Unincorporated Vic</c:v>
                </c:pt>
              </c:strCache>
            </c:strRef>
          </c:cat>
          <c:val>
            <c:numRef>
              <c:f>'LGA areas'!$D$47:$D$99</c:f>
              <c:numCache>
                <c:formatCode>#,##0</c:formatCode>
                <c:ptCount val="53"/>
                <c:pt idx="1">
                  <c:v>136872.76985484909</c:v>
                </c:pt>
                <c:pt idx="2">
                  <c:v>144631.67174054304</c:v>
                </c:pt>
                <c:pt idx="3">
                  <c:v>296360.20583173732</c:v>
                </c:pt>
                <c:pt idx="4">
                  <c:v>73676.064698584712</c:v>
                </c:pt>
                <c:pt idx="5">
                  <c:v>21792.828212149903</c:v>
                </c:pt>
                <c:pt idx="6">
                  <c:v>81222.39301778248</c:v>
                </c:pt>
                <c:pt idx="7">
                  <c:v>59439.133176968549</c:v>
                </c:pt>
                <c:pt idx="8">
                  <c:v>27804.30117741194</c:v>
                </c:pt>
                <c:pt idx="9">
                  <c:v>38708.244738342</c:v>
                </c:pt>
                <c:pt idx="10">
                  <c:v>52072.715666515986</c:v>
                </c:pt>
                <c:pt idx="13">
                  <c:v>44797.710754422165</c:v>
                </c:pt>
                <c:pt idx="14">
                  <c:v>67742.651050740824</c:v>
                </c:pt>
                <c:pt idx="15">
                  <c:v>28963.850780837467</c:v>
                </c:pt>
                <c:pt idx="16">
                  <c:v>57486.525683860324</c:v>
                </c:pt>
                <c:pt idx="17">
                  <c:v>46123.876528022833</c:v>
                </c:pt>
                <c:pt idx="18">
                  <c:v>15628.380920107174</c:v>
                </c:pt>
                <c:pt idx="19">
                  <c:v>3061.1399756554615</c:v>
                </c:pt>
                <c:pt idx="20">
                  <c:v>30676.728887386427</c:v>
                </c:pt>
                <c:pt idx="21">
                  <c:v>39577.046591597784</c:v>
                </c:pt>
                <c:pt idx="24">
                  <c:v>11942.281114327099</c:v>
                </c:pt>
                <c:pt idx="25">
                  <c:v>10613.553499283465</c:v>
                </c:pt>
                <c:pt idx="26">
                  <c:v>13427.430729426385</c:v>
                </c:pt>
                <c:pt idx="27">
                  <c:v>4924.8234364616737</c:v>
                </c:pt>
                <c:pt idx="28">
                  <c:v>38785.504872907673</c:v>
                </c:pt>
                <c:pt idx="29">
                  <c:v>13087.916738583353</c:v>
                </c:pt>
                <c:pt idx="30">
                  <c:v>19969.037610678435</c:v>
                </c:pt>
                <c:pt idx="31">
                  <c:v>14211.994085056391</c:v>
                </c:pt>
                <c:pt idx="32">
                  <c:v>52150.189943732476</c:v>
                </c:pt>
                <c:pt idx="33">
                  <c:v>8772.6046513320871</c:v>
                </c:pt>
                <c:pt idx="34">
                  <c:v>18267.07747163187</c:v>
                </c:pt>
                <c:pt idx="35">
                  <c:v>16478.757296118376</c:v>
                </c:pt>
                <c:pt idx="36">
                  <c:v>4640.9336311875386</c:v>
                </c:pt>
                <c:pt idx="37">
                  <c:v>16346.459298001084</c:v>
                </c:pt>
                <c:pt idx="38">
                  <c:v>6709.712570933988</c:v>
                </c:pt>
                <c:pt idx="39">
                  <c:v>9595.0579347921775</c:v>
                </c:pt>
                <c:pt idx="40">
                  <c:v>32043.328159798541</c:v>
                </c:pt>
                <c:pt idx="41">
                  <c:v>19967.900980378898</c:v>
                </c:pt>
                <c:pt idx="42">
                  <c:v>17425.774329852313</c:v>
                </c:pt>
                <c:pt idx="43">
                  <c:v>10819.696237634995</c:v>
                </c:pt>
                <c:pt idx="44">
                  <c:v>7418.9232176268761</c:v>
                </c:pt>
                <c:pt idx="45">
                  <c:v>14824.336566721977</c:v>
                </c:pt>
                <c:pt idx="46">
                  <c:v>10843.685357614069</c:v>
                </c:pt>
                <c:pt idx="47">
                  <c:v>20707.870465059234</c:v>
                </c:pt>
                <c:pt idx="48">
                  <c:v>5503.3201387866093</c:v>
                </c:pt>
                <c:pt idx="49">
                  <c:v>45152.767823444134</c:v>
                </c:pt>
                <c:pt idx="50">
                  <c:v>2987.9727392467926</c:v>
                </c:pt>
                <c:pt idx="51">
                  <c:v>5618.3850578029715</c:v>
                </c:pt>
                <c:pt idx="52">
                  <c:v>825.33324402695916</c:v>
                </c:pt>
              </c:numCache>
            </c:numRef>
          </c:val>
        </c:ser>
        <c:dLbls>
          <c:showLegendKey val="0"/>
          <c:showVal val="0"/>
          <c:showCatName val="0"/>
          <c:showSerName val="0"/>
          <c:showPercent val="0"/>
          <c:showBubbleSize val="0"/>
        </c:dLbls>
        <c:gapWidth val="40"/>
        <c:axId val="293225680"/>
        <c:axId val="293226240"/>
      </c:barChart>
      <c:catAx>
        <c:axId val="2932256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3226240"/>
        <c:crosses val="autoZero"/>
        <c:auto val="1"/>
        <c:lblAlgn val="ctr"/>
        <c:lblOffset val="100"/>
        <c:noMultiLvlLbl val="0"/>
      </c:catAx>
      <c:valAx>
        <c:axId val="293226240"/>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3225680"/>
        <c:crosses val="autoZero"/>
        <c:crossBetween val="between"/>
      </c:valAx>
      <c:spPr>
        <a:noFill/>
        <a:ln>
          <a:noFill/>
        </a:ln>
        <a:effectLst/>
      </c:spPr>
    </c:plotArea>
    <c:legend>
      <c:legendPos val="b"/>
      <c:layout>
        <c:manualLayout>
          <c:xMode val="edge"/>
          <c:yMode val="edge"/>
          <c:x val="0.6071458184204247"/>
          <c:y val="0"/>
          <c:w val="0.3928541815795753"/>
          <c:h val="4.9736431687457831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200" b="1"/>
              <a:t>Births</a:t>
            </a:r>
            <a:r>
              <a:rPr lang="en-AU" sz="1200" b="1" baseline="0"/>
              <a:t> in 2014 - Metropolitan Melbourne</a:t>
            </a:r>
          </a:p>
          <a:p>
            <a:pPr algn="l">
              <a:defRPr/>
            </a:pPr>
            <a:r>
              <a:rPr lang="en-AU" sz="900" baseline="0"/>
              <a:t>Source: ABS Births</a:t>
            </a:r>
            <a:endParaRPr lang="en-AU" sz="900"/>
          </a:p>
        </c:rich>
      </c:tx>
      <c:layout>
        <c:manualLayout>
          <c:xMode val="edge"/>
          <c:yMode val="edge"/>
          <c:x val="3.8731746514519258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'LGA Chart'!$C$108:$C$148</c:f>
              <c:strCache>
                <c:ptCount val="41"/>
                <c:pt idx="0">
                  <c:v>Central Subregion</c:v>
                </c:pt>
                <c:pt idx="1">
                  <c:v>Maribyrnong </c:v>
                </c:pt>
                <c:pt idx="2">
                  <c:v>Melbourne </c:v>
                </c:pt>
                <c:pt idx="3">
                  <c:v>Port Phillip </c:v>
                </c:pt>
                <c:pt idx="4">
                  <c:v>Stonnington </c:v>
                </c:pt>
                <c:pt idx="5">
                  <c:v>Yarra </c:v>
                </c:pt>
                <c:pt idx="7">
                  <c:v>Eastern subregion</c:v>
                </c:pt>
                <c:pt idx="8">
                  <c:v>Boroondara </c:v>
                </c:pt>
                <c:pt idx="9">
                  <c:v>Knox </c:v>
                </c:pt>
                <c:pt idx="10">
                  <c:v>Manningham </c:v>
                </c:pt>
                <c:pt idx="11">
                  <c:v>Maroondah </c:v>
                </c:pt>
                <c:pt idx="12">
                  <c:v>Monash </c:v>
                </c:pt>
                <c:pt idx="13">
                  <c:v>Whitehorse </c:v>
                </c:pt>
                <c:pt idx="14">
                  <c:v>Yarra Ranges </c:v>
                </c:pt>
                <c:pt idx="16">
                  <c:v>Northern Subregion</c:v>
                </c:pt>
                <c:pt idx="17">
                  <c:v>Banyule </c:v>
                </c:pt>
                <c:pt idx="18">
                  <c:v>Darebin </c:v>
                </c:pt>
                <c:pt idx="19">
                  <c:v>Hume </c:v>
                </c:pt>
                <c:pt idx="20">
                  <c:v>Mitchell </c:v>
                </c:pt>
                <c:pt idx="21">
                  <c:v>Moreland </c:v>
                </c:pt>
                <c:pt idx="22">
                  <c:v>Nillumbik </c:v>
                </c:pt>
                <c:pt idx="23">
                  <c:v>Whittlesea </c:v>
                </c:pt>
                <c:pt idx="25">
                  <c:v>Southern Subregion</c:v>
                </c:pt>
                <c:pt idx="26">
                  <c:v>Bayside </c:v>
                </c:pt>
                <c:pt idx="27">
                  <c:v>Cardinia </c:v>
                </c:pt>
                <c:pt idx="28">
                  <c:v>Casey </c:v>
                </c:pt>
                <c:pt idx="29">
                  <c:v>Frankston </c:v>
                </c:pt>
                <c:pt idx="30">
                  <c:v>Glen Eira </c:v>
                </c:pt>
                <c:pt idx="31">
                  <c:v>Greater Dandenong </c:v>
                </c:pt>
                <c:pt idx="32">
                  <c:v>Kingston </c:v>
                </c:pt>
                <c:pt idx="33">
                  <c:v>Mornington Peninsula </c:v>
                </c:pt>
                <c:pt idx="35">
                  <c:v>Western Subregion</c:v>
                </c:pt>
                <c:pt idx="36">
                  <c:v>Brimbank </c:v>
                </c:pt>
                <c:pt idx="37">
                  <c:v>Hobsons Bay </c:v>
                </c:pt>
                <c:pt idx="38">
                  <c:v>Melton </c:v>
                </c:pt>
                <c:pt idx="39">
                  <c:v>Moonee Valley </c:v>
                </c:pt>
                <c:pt idx="40">
                  <c:v>Wyndham </c:v>
                </c:pt>
              </c:strCache>
            </c:strRef>
          </c:cat>
          <c:val>
            <c:numRef>
              <c:f>'LGA Chart'!$D$108:$D$148</c:f>
              <c:numCache>
                <c:formatCode>#,##0</c:formatCode>
                <c:ptCount val="41"/>
                <c:pt idx="1">
                  <c:v>1342</c:v>
                </c:pt>
                <c:pt idx="2">
                  <c:v>1111</c:v>
                </c:pt>
                <c:pt idx="3">
                  <c:v>1273</c:v>
                </c:pt>
                <c:pt idx="4">
                  <c:v>1045</c:v>
                </c:pt>
                <c:pt idx="5">
                  <c:v>1077</c:v>
                </c:pt>
                <c:pt idx="8">
                  <c:v>1451</c:v>
                </c:pt>
                <c:pt idx="9">
                  <c:v>1755</c:v>
                </c:pt>
                <c:pt idx="10" formatCode="General">
                  <c:v>993</c:v>
                </c:pt>
                <c:pt idx="11">
                  <c:v>1425</c:v>
                </c:pt>
                <c:pt idx="12">
                  <c:v>1902</c:v>
                </c:pt>
                <c:pt idx="13">
                  <c:v>1886</c:v>
                </c:pt>
                <c:pt idx="14">
                  <c:v>1723</c:v>
                </c:pt>
                <c:pt idx="17">
                  <c:v>1590</c:v>
                </c:pt>
                <c:pt idx="18">
                  <c:v>2049</c:v>
                </c:pt>
                <c:pt idx="19">
                  <c:v>3070</c:v>
                </c:pt>
                <c:pt idx="20" formatCode="General">
                  <c:v>519</c:v>
                </c:pt>
                <c:pt idx="21">
                  <c:v>2353</c:v>
                </c:pt>
                <c:pt idx="22" formatCode="General">
                  <c:v>561</c:v>
                </c:pt>
                <c:pt idx="23">
                  <c:v>3149</c:v>
                </c:pt>
                <c:pt idx="26" formatCode="General">
                  <c:v>976</c:v>
                </c:pt>
                <c:pt idx="27">
                  <c:v>1372</c:v>
                </c:pt>
                <c:pt idx="28">
                  <c:v>4354</c:v>
                </c:pt>
                <c:pt idx="29">
                  <c:v>1795</c:v>
                </c:pt>
                <c:pt idx="30">
                  <c:v>1692</c:v>
                </c:pt>
                <c:pt idx="31">
                  <c:v>2332</c:v>
                </c:pt>
                <c:pt idx="32">
                  <c:v>1789</c:v>
                </c:pt>
                <c:pt idx="33">
                  <c:v>1492</c:v>
                </c:pt>
                <c:pt idx="36">
                  <c:v>2800</c:v>
                </c:pt>
                <c:pt idx="37">
                  <c:v>1250</c:v>
                </c:pt>
                <c:pt idx="38">
                  <c:v>2098</c:v>
                </c:pt>
                <c:pt idx="39">
                  <c:v>1310</c:v>
                </c:pt>
                <c:pt idx="40">
                  <c:v>3975</c:v>
                </c:pt>
              </c:numCache>
            </c:numRef>
          </c:val>
        </c:ser>
        <c:dLbls>
          <c:showLegendKey val="0"/>
          <c:showVal val="0"/>
          <c:showCatName val="0"/>
          <c:showSerName val="0"/>
          <c:showPercent val="0"/>
          <c:showBubbleSize val="0"/>
        </c:dLbls>
        <c:gapWidth val="30"/>
        <c:axId val="293228480"/>
        <c:axId val="789192496"/>
      </c:barChart>
      <c:catAx>
        <c:axId val="2932284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crossAx val="789192496"/>
        <c:crosses val="autoZero"/>
        <c:auto val="1"/>
        <c:lblAlgn val="ctr"/>
        <c:lblOffset val="100"/>
        <c:noMultiLvlLbl val="0"/>
      </c:catAx>
      <c:valAx>
        <c:axId val="789192496"/>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32284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200" b="1"/>
              <a:t>Births</a:t>
            </a:r>
            <a:r>
              <a:rPr lang="en-AU" sz="1200" b="1" baseline="0"/>
              <a:t> in 2014 - Regional Victoria</a:t>
            </a:r>
          </a:p>
          <a:p>
            <a:pPr algn="l">
              <a:defRPr/>
            </a:pPr>
            <a:r>
              <a:rPr lang="en-AU" sz="800" baseline="0"/>
              <a:t>Source: ABS Births</a:t>
            </a:r>
            <a:endParaRPr lang="en-AU" sz="800"/>
          </a:p>
        </c:rich>
      </c:tx>
      <c:layout>
        <c:manualLayout>
          <c:xMode val="edge"/>
          <c:yMode val="edge"/>
          <c:x val="2.5850999394306483E-3"/>
          <c:y val="1.4328700386874911E-3"/>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'LGA Chart'!$D$149:$D$201</c:f>
              <c:strCache>
                <c:ptCount val="53"/>
                <c:pt idx="0">
                  <c:v>Key Regional Cities</c:v>
                </c:pt>
                <c:pt idx="1">
                  <c:v>Ballarat </c:v>
                </c:pt>
                <c:pt idx="2">
                  <c:v>Greater Bendigo </c:v>
                </c:pt>
                <c:pt idx="3">
                  <c:v>Greater Geelong </c:v>
                </c:pt>
                <c:pt idx="4">
                  <c:v>Greater Shepparton </c:v>
                </c:pt>
                <c:pt idx="5">
                  <c:v>Horsham </c:v>
                </c:pt>
                <c:pt idx="6">
                  <c:v>Latrobe </c:v>
                </c:pt>
                <c:pt idx="7">
                  <c:v>Mildura </c:v>
                </c:pt>
                <c:pt idx="8">
                  <c:v>Wangaratta </c:v>
                </c:pt>
                <c:pt idx="9">
                  <c:v>Warrnambool </c:v>
                </c:pt>
                <c:pt idx="10">
                  <c:v>Wodonga </c:v>
                </c:pt>
                <c:pt idx="12">
                  <c:v>Peri-urban &amp; Coastal LGAs</c:v>
                </c:pt>
                <c:pt idx="13">
                  <c:v>Bass Coast </c:v>
                </c:pt>
                <c:pt idx="14">
                  <c:v>Baw Baw </c:v>
                </c:pt>
                <c:pt idx="15">
                  <c:v>Golden Plains </c:v>
                </c:pt>
                <c:pt idx="16">
                  <c:v>Macedon Ranges </c:v>
                </c:pt>
                <c:pt idx="17">
                  <c:v>Moorabool </c:v>
                </c:pt>
                <c:pt idx="18">
                  <c:v>Murrindindi </c:v>
                </c:pt>
                <c:pt idx="19">
                  <c:v>Queenscliffe </c:v>
                </c:pt>
                <c:pt idx="20">
                  <c:v>South Gippsland </c:v>
                </c:pt>
                <c:pt idx="21">
                  <c:v>Surf Coast </c:v>
                </c:pt>
                <c:pt idx="23">
                  <c:v>Other Regional LGAs</c:v>
                </c:pt>
                <c:pt idx="24">
                  <c:v>Alpine </c:v>
                </c:pt>
                <c:pt idx="25">
                  <c:v>Ararat </c:v>
                </c:pt>
                <c:pt idx="26">
                  <c:v>Benalla </c:v>
                </c:pt>
                <c:pt idx="27">
                  <c:v>Buloke </c:v>
                </c:pt>
                <c:pt idx="28">
                  <c:v>Campaspe </c:v>
                </c:pt>
                <c:pt idx="29">
                  <c:v>Central Goldfields </c:v>
                </c:pt>
                <c:pt idx="30">
                  <c:v>Colac-Otway </c:v>
                </c:pt>
                <c:pt idx="31">
                  <c:v>Corangamite </c:v>
                </c:pt>
                <c:pt idx="32">
                  <c:v>East Gippsland </c:v>
                </c:pt>
                <c:pt idx="33">
                  <c:v>Gannawarra </c:v>
                </c:pt>
                <c:pt idx="34">
                  <c:v>Glenelg </c:v>
                </c:pt>
                <c:pt idx="35">
                  <c:v>Hepburn </c:v>
                </c:pt>
                <c:pt idx="36">
                  <c:v>Hindmarsh </c:v>
                </c:pt>
                <c:pt idx="37">
                  <c:v>Indigo </c:v>
                </c:pt>
                <c:pt idx="38">
                  <c:v>Loddon </c:v>
                </c:pt>
                <c:pt idx="39">
                  <c:v>Mansfield </c:v>
                </c:pt>
                <c:pt idx="40">
                  <c:v>Moira </c:v>
                </c:pt>
                <c:pt idx="41">
                  <c:v>Mount Alexander </c:v>
                </c:pt>
                <c:pt idx="42">
                  <c:v>Moyne </c:v>
                </c:pt>
                <c:pt idx="43">
                  <c:v>Northern Grampians </c:v>
                </c:pt>
                <c:pt idx="44">
                  <c:v>Pyrenees </c:v>
                </c:pt>
                <c:pt idx="45">
                  <c:v>Southern Grampians </c:v>
                </c:pt>
                <c:pt idx="46">
                  <c:v>Strathbogie </c:v>
                </c:pt>
                <c:pt idx="47">
                  <c:v>Swan Hill </c:v>
                </c:pt>
                <c:pt idx="48">
                  <c:v>Towong </c:v>
                </c:pt>
                <c:pt idx="49">
                  <c:v>Wellington </c:v>
                </c:pt>
                <c:pt idx="50">
                  <c:v>West Wimmera </c:v>
                </c:pt>
                <c:pt idx="51">
                  <c:v>Yarriambiack </c:v>
                </c:pt>
                <c:pt idx="52">
                  <c:v>Unincorporated Vic</c:v>
                </c:pt>
              </c:strCache>
            </c:strRef>
          </c:cat>
          <c:val>
            <c:numRef>
              <c:f>'LGA Chart'!$E$149:$E$201</c:f>
              <c:numCache>
                <c:formatCode>#,##0</c:formatCode>
                <c:ptCount val="53"/>
                <c:pt idx="1">
                  <c:v>1255</c:v>
                </c:pt>
                <c:pt idx="2">
                  <c:v>1410</c:v>
                </c:pt>
                <c:pt idx="3">
                  <c:v>2709</c:v>
                </c:pt>
                <c:pt idx="4" formatCode="General">
                  <c:v>870</c:v>
                </c:pt>
                <c:pt idx="5" formatCode="General">
                  <c:v>242</c:v>
                </c:pt>
                <c:pt idx="6" formatCode="General">
                  <c:v>944</c:v>
                </c:pt>
                <c:pt idx="7" formatCode="General">
                  <c:v>695</c:v>
                </c:pt>
                <c:pt idx="8" formatCode="General">
                  <c:v>266</c:v>
                </c:pt>
                <c:pt idx="9" formatCode="General">
                  <c:v>397</c:v>
                </c:pt>
                <c:pt idx="10" formatCode="General">
                  <c:v>557</c:v>
                </c:pt>
                <c:pt idx="13" formatCode="General">
                  <c:v>361</c:v>
                </c:pt>
                <c:pt idx="14" formatCode="General">
                  <c:v>550</c:v>
                </c:pt>
                <c:pt idx="15" formatCode="General">
                  <c:v>254</c:v>
                </c:pt>
                <c:pt idx="16" formatCode="General">
                  <c:v>501</c:v>
                </c:pt>
                <c:pt idx="17" formatCode="General">
                  <c:v>389</c:v>
                </c:pt>
                <c:pt idx="18" formatCode="General">
                  <c:v>135</c:v>
                </c:pt>
                <c:pt idx="19" formatCode="General">
                  <c:v>16</c:v>
                </c:pt>
                <c:pt idx="20" formatCode="General">
                  <c:v>309</c:v>
                </c:pt>
                <c:pt idx="21" formatCode="General">
                  <c:v>298</c:v>
                </c:pt>
                <c:pt idx="24" formatCode="General">
                  <c:v>87</c:v>
                </c:pt>
                <c:pt idx="25" formatCode="General">
                  <c:v>113</c:v>
                </c:pt>
                <c:pt idx="26" formatCode="General">
                  <c:v>140</c:v>
                </c:pt>
                <c:pt idx="27" formatCode="General">
                  <c:v>53</c:v>
                </c:pt>
                <c:pt idx="28" formatCode="General">
                  <c:v>428</c:v>
                </c:pt>
                <c:pt idx="29" formatCode="General">
                  <c:v>117</c:v>
                </c:pt>
                <c:pt idx="30" formatCode="General">
                  <c:v>212</c:v>
                </c:pt>
                <c:pt idx="31" formatCode="General">
                  <c:v>158</c:v>
                </c:pt>
                <c:pt idx="32" formatCode="General">
                  <c:v>441</c:v>
                </c:pt>
                <c:pt idx="33" formatCode="General">
                  <c:v>111</c:v>
                </c:pt>
                <c:pt idx="34" formatCode="General">
                  <c:v>186</c:v>
                </c:pt>
                <c:pt idx="35" formatCode="General">
                  <c:v>131</c:v>
                </c:pt>
                <c:pt idx="36" formatCode="General">
                  <c:v>41</c:v>
                </c:pt>
                <c:pt idx="37" formatCode="General">
                  <c:v>127</c:v>
                </c:pt>
                <c:pt idx="38" formatCode="General">
                  <c:v>70</c:v>
                </c:pt>
                <c:pt idx="39" formatCode="General">
                  <c:v>90</c:v>
                </c:pt>
                <c:pt idx="40" formatCode="General">
                  <c:v>329</c:v>
                </c:pt>
                <c:pt idx="41" formatCode="General">
                  <c:v>145</c:v>
                </c:pt>
                <c:pt idx="42" formatCode="General">
                  <c:v>155</c:v>
                </c:pt>
                <c:pt idx="43" formatCode="General">
                  <c:v>114</c:v>
                </c:pt>
                <c:pt idx="44" formatCode="General">
                  <c:v>69</c:v>
                </c:pt>
                <c:pt idx="45" formatCode="General">
                  <c:v>159</c:v>
                </c:pt>
                <c:pt idx="46" formatCode="General">
                  <c:v>78</c:v>
                </c:pt>
                <c:pt idx="47" formatCode="General">
                  <c:v>255</c:v>
                </c:pt>
                <c:pt idx="48" formatCode="General">
                  <c:v>54</c:v>
                </c:pt>
                <c:pt idx="49" formatCode="General">
                  <c:v>437</c:v>
                </c:pt>
                <c:pt idx="50" formatCode="General">
                  <c:v>39</c:v>
                </c:pt>
                <c:pt idx="51" formatCode="General">
                  <c:v>50</c:v>
                </c:pt>
                <c:pt idx="52" formatCode="General">
                  <c:v>3</c:v>
                </c:pt>
              </c:numCache>
            </c:numRef>
          </c:val>
        </c:ser>
        <c:dLbls>
          <c:showLegendKey val="0"/>
          <c:showVal val="0"/>
          <c:showCatName val="0"/>
          <c:showSerName val="0"/>
          <c:showPercent val="0"/>
          <c:showBubbleSize val="0"/>
        </c:dLbls>
        <c:gapWidth val="30"/>
        <c:axId val="789194736"/>
        <c:axId val="789195296"/>
      </c:barChart>
      <c:catAx>
        <c:axId val="7891947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crossAx val="789195296"/>
        <c:crosses val="autoZero"/>
        <c:auto val="1"/>
        <c:lblAlgn val="ctr"/>
        <c:lblOffset val="100"/>
        <c:noMultiLvlLbl val="0"/>
      </c:catAx>
      <c:valAx>
        <c:axId val="789195296"/>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1947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200" b="1"/>
              <a:t>Deaths</a:t>
            </a:r>
            <a:r>
              <a:rPr lang="en-AU" sz="1200" b="1" baseline="0"/>
              <a:t> in 2014 - Metropolitan Melbourne</a:t>
            </a:r>
          </a:p>
          <a:p>
            <a:pPr algn="l">
              <a:defRPr/>
            </a:pPr>
            <a:r>
              <a:rPr lang="en-AU" sz="700" baseline="0"/>
              <a:t>Source: ABS deaths</a:t>
            </a:r>
          </a:p>
        </c:rich>
      </c:tx>
      <c:layout>
        <c:manualLayout>
          <c:xMode val="edge"/>
          <c:yMode val="edge"/>
          <c:x val="1.9943019943020023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bg2">
                <a:lumMod val="2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Sheet2!$A$116:$A$156</c:f>
              <c:strCache>
                <c:ptCount val="41"/>
                <c:pt idx="0">
                  <c:v>Central Subregion</c:v>
                </c:pt>
                <c:pt idx="1">
                  <c:v>Maribyrnong </c:v>
                </c:pt>
                <c:pt idx="2">
                  <c:v>Melbourne </c:v>
                </c:pt>
                <c:pt idx="3">
                  <c:v>Port Phillip </c:v>
                </c:pt>
                <c:pt idx="4">
                  <c:v>Stonnington </c:v>
                </c:pt>
                <c:pt idx="5">
                  <c:v>Yarra </c:v>
                </c:pt>
                <c:pt idx="7">
                  <c:v>Eastern Subregion</c:v>
                </c:pt>
                <c:pt idx="8">
                  <c:v>Boroondara </c:v>
                </c:pt>
                <c:pt idx="9">
                  <c:v>Knox </c:v>
                </c:pt>
                <c:pt idx="10">
                  <c:v>Manningham </c:v>
                </c:pt>
                <c:pt idx="11">
                  <c:v>Maroondah </c:v>
                </c:pt>
                <c:pt idx="12">
                  <c:v>Monash </c:v>
                </c:pt>
                <c:pt idx="13">
                  <c:v>Whitehorse </c:v>
                </c:pt>
                <c:pt idx="14">
                  <c:v>Yarra Ranges </c:v>
                </c:pt>
                <c:pt idx="16">
                  <c:v>Northern Subregion</c:v>
                </c:pt>
                <c:pt idx="17">
                  <c:v>Banyule </c:v>
                </c:pt>
                <c:pt idx="18">
                  <c:v>Darebin </c:v>
                </c:pt>
                <c:pt idx="19">
                  <c:v>Hume </c:v>
                </c:pt>
                <c:pt idx="20">
                  <c:v>Mitchell </c:v>
                </c:pt>
                <c:pt idx="21">
                  <c:v>Moreland </c:v>
                </c:pt>
                <c:pt idx="22">
                  <c:v>Nillumbik </c:v>
                </c:pt>
                <c:pt idx="23">
                  <c:v>Whittlesea </c:v>
                </c:pt>
                <c:pt idx="25">
                  <c:v>Southern Subregion</c:v>
                </c:pt>
                <c:pt idx="26">
                  <c:v>Bayside </c:v>
                </c:pt>
                <c:pt idx="27">
                  <c:v>Cardinia </c:v>
                </c:pt>
                <c:pt idx="28">
                  <c:v>Casey </c:v>
                </c:pt>
                <c:pt idx="29">
                  <c:v>Frankston </c:v>
                </c:pt>
                <c:pt idx="30">
                  <c:v>Glen Eira </c:v>
                </c:pt>
                <c:pt idx="31">
                  <c:v>Greater Dandenong </c:v>
                </c:pt>
                <c:pt idx="32">
                  <c:v>Kingston </c:v>
                </c:pt>
                <c:pt idx="33">
                  <c:v>Mornington Peninsula </c:v>
                </c:pt>
                <c:pt idx="35">
                  <c:v>Western Subregion</c:v>
                </c:pt>
                <c:pt idx="36">
                  <c:v>Brimbank </c:v>
                </c:pt>
                <c:pt idx="37">
                  <c:v>Hobsons Bay </c:v>
                </c:pt>
                <c:pt idx="38">
                  <c:v>Melton </c:v>
                </c:pt>
                <c:pt idx="39">
                  <c:v>Moonee Valley </c:v>
                </c:pt>
                <c:pt idx="40">
                  <c:v>Wyndham </c:v>
                </c:pt>
              </c:strCache>
            </c:strRef>
          </c:cat>
          <c:val>
            <c:numRef>
              <c:f>Sheet2!$B$116:$B$156</c:f>
              <c:numCache>
                <c:formatCode>General</c:formatCode>
                <c:ptCount val="41"/>
                <c:pt idx="1">
                  <c:v>459</c:v>
                </c:pt>
                <c:pt idx="2">
                  <c:v>323</c:v>
                </c:pt>
                <c:pt idx="3">
                  <c:v>457</c:v>
                </c:pt>
                <c:pt idx="4">
                  <c:v>603</c:v>
                </c:pt>
                <c:pt idx="5">
                  <c:v>354</c:v>
                </c:pt>
                <c:pt idx="8" formatCode="#,##0">
                  <c:v>1119</c:v>
                </c:pt>
                <c:pt idx="9">
                  <c:v>983</c:v>
                </c:pt>
                <c:pt idx="10">
                  <c:v>815</c:v>
                </c:pt>
                <c:pt idx="11">
                  <c:v>808</c:v>
                </c:pt>
                <c:pt idx="12" formatCode="#,##0">
                  <c:v>1239</c:v>
                </c:pt>
                <c:pt idx="13" formatCode="#,##0">
                  <c:v>1176</c:v>
                </c:pt>
                <c:pt idx="14">
                  <c:v>834</c:v>
                </c:pt>
                <c:pt idx="17">
                  <c:v>850</c:v>
                </c:pt>
                <c:pt idx="18" formatCode="#,##0">
                  <c:v>1082</c:v>
                </c:pt>
                <c:pt idx="19">
                  <c:v>748</c:v>
                </c:pt>
                <c:pt idx="20">
                  <c:v>223</c:v>
                </c:pt>
                <c:pt idx="21" formatCode="#,##0">
                  <c:v>1159</c:v>
                </c:pt>
                <c:pt idx="22">
                  <c:v>275</c:v>
                </c:pt>
                <c:pt idx="23">
                  <c:v>854</c:v>
                </c:pt>
                <c:pt idx="26">
                  <c:v>759</c:v>
                </c:pt>
                <c:pt idx="27">
                  <c:v>444</c:v>
                </c:pt>
                <c:pt idx="28" formatCode="#,##0">
                  <c:v>1203</c:v>
                </c:pt>
                <c:pt idx="29">
                  <c:v>868</c:v>
                </c:pt>
                <c:pt idx="30">
                  <c:v>940</c:v>
                </c:pt>
                <c:pt idx="31" formatCode="#,##0">
                  <c:v>1015</c:v>
                </c:pt>
                <c:pt idx="32" formatCode="#,##0">
                  <c:v>1069</c:v>
                </c:pt>
                <c:pt idx="33" formatCode="#,##0">
                  <c:v>1422</c:v>
                </c:pt>
                <c:pt idx="36" formatCode="#,##0">
                  <c:v>1024</c:v>
                </c:pt>
                <c:pt idx="37">
                  <c:v>581</c:v>
                </c:pt>
                <c:pt idx="38">
                  <c:v>414</c:v>
                </c:pt>
                <c:pt idx="39">
                  <c:v>782</c:v>
                </c:pt>
                <c:pt idx="40">
                  <c:v>615</c:v>
                </c:pt>
              </c:numCache>
            </c:numRef>
          </c:val>
        </c:ser>
        <c:dLbls>
          <c:showLegendKey val="0"/>
          <c:showVal val="0"/>
          <c:showCatName val="0"/>
          <c:showSerName val="0"/>
          <c:showPercent val="0"/>
          <c:showBubbleSize val="0"/>
        </c:dLbls>
        <c:gapWidth val="30"/>
        <c:axId val="127901296"/>
        <c:axId val="127901856"/>
      </c:barChart>
      <c:catAx>
        <c:axId val="12790129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crossAx val="127901856"/>
        <c:crosses val="autoZero"/>
        <c:auto val="1"/>
        <c:lblAlgn val="ctr"/>
        <c:lblOffset val="100"/>
        <c:noMultiLvlLbl val="0"/>
      </c:catAx>
      <c:valAx>
        <c:axId val="127901856"/>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9012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200" b="1"/>
              <a:t>Deaths</a:t>
            </a:r>
            <a:r>
              <a:rPr lang="en-AU" sz="1200" b="1" baseline="0"/>
              <a:t> in 2014 - Regional Victoria</a:t>
            </a:r>
          </a:p>
          <a:p>
            <a:pPr algn="l">
              <a:defRPr/>
            </a:pPr>
            <a:r>
              <a:rPr lang="en-AU" sz="700" baseline="0"/>
              <a:t>Source: ABS deaths</a:t>
            </a:r>
          </a:p>
        </c:rich>
      </c:tx>
      <c:layout>
        <c:manualLayout>
          <c:xMode val="edge"/>
          <c:yMode val="edge"/>
          <c:x val="1.9942849349154548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bg2">
                <a:lumMod val="2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Sheet2!$A$157:$A$209</c:f>
              <c:strCache>
                <c:ptCount val="53"/>
                <c:pt idx="0">
                  <c:v>Key Regional Cities</c:v>
                </c:pt>
                <c:pt idx="1">
                  <c:v>Ballarat </c:v>
                </c:pt>
                <c:pt idx="2">
                  <c:v>Greater Bendigo </c:v>
                </c:pt>
                <c:pt idx="3">
                  <c:v>Greater Geelong </c:v>
                </c:pt>
                <c:pt idx="4">
                  <c:v>Greater Shepparton </c:v>
                </c:pt>
                <c:pt idx="5">
                  <c:v>Horsham </c:v>
                </c:pt>
                <c:pt idx="6">
                  <c:v>Latrobe </c:v>
                </c:pt>
                <c:pt idx="7">
                  <c:v>Mildura </c:v>
                </c:pt>
                <c:pt idx="8">
                  <c:v>Wangaratta </c:v>
                </c:pt>
                <c:pt idx="9">
                  <c:v>Warrnambool </c:v>
                </c:pt>
                <c:pt idx="10">
                  <c:v>Wodonga </c:v>
                </c:pt>
                <c:pt idx="12">
                  <c:v>Peri-urban &amp; Coastal LGAs</c:v>
                </c:pt>
                <c:pt idx="13">
                  <c:v>Bass Coast </c:v>
                </c:pt>
                <c:pt idx="14">
                  <c:v>Baw Baw </c:v>
                </c:pt>
                <c:pt idx="15">
                  <c:v>Golden Plains </c:v>
                </c:pt>
                <c:pt idx="16">
                  <c:v>Macedon Ranges </c:v>
                </c:pt>
                <c:pt idx="17">
                  <c:v>Moorabool </c:v>
                </c:pt>
                <c:pt idx="18">
                  <c:v>Murrindindi </c:v>
                </c:pt>
                <c:pt idx="19">
                  <c:v>Queenscliffe </c:v>
                </c:pt>
                <c:pt idx="20">
                  <c:v>South Gippsland </c:v>
                </c:pt>
                <c:pt idx="21">
                  <c:v>Surf Coast </c:v>
                </c:pt>
                <c:pt idx="23">
                  <c:v>Other Regional LGAs</c:v>
                </c:pt>
                <c:pt idx="24">
                  <c:v>Alpine </c:v>
                </c:pt>
                <c:pt idx="25">
                  <c:v>Ararat </c:v>
                </c:pt>
                <c:pt idx="26">
                  <c:v>Benalla </c:v>
                </c:pt>
                <c:pt idx="27">
                  <c:v>Buloke </c:v>
                </c:pt>
                <c:pt idx="28">
                  <c:v>Campaspe </c:v>
                </c:pt>
                <c:pt idx="29">
                  <c:v>Central Goldfields </c:v>
                </c:pt>
                <c:pt idx="30">
                  <c:v>Colac-Otway </c:v>
                </c:pt>
                <c:pt idx="31">
                  <c:v>Corangamite </c:v>
                </c:pt>
                <c:pt idx="32">
                  <c:v>East Gippsland </c:v>
                </c:pt>
                <c:pt idx="33">
                  <c:v>Gannawarra </c:v>
                </c:pt>
                <c:pt idx="34">
                  <c:v>Glenelg </c:v>
                </c:pt>
                <c:pt idx="35">
                  <c:v>Hepburn </c:v>
                </c:pt>
                <c:pt idx="36">
                  <c:v>Hindmarsh </c:v>
                </c:pt>
                <c:pt idx="37">
                  <c:v>Indigo </c:v>
                </c:pt>
                <c:pt idx="38">
                  <c:v>Loddon </c:v>
                </c:pt>
                <c:pt idx="39">
                  <c:v>Mansfield </c:v>
                </c:pt>
                <c:pt idx="40">
                  <c:v>Moira </c:v>
                </c:pt>
                <c:pt idx="41">
                  <c:v>Mount Alexander </c:v>
                </c:pt>
                <c:pt idx="42">
                  <c:v>Moyne </c:v>
                </c:pt>
                <c:pt idx="43">
                  <c:v>Northern Grampians </c:v>
                </c:pt>
                <c:pt idx="44">
                  <c:v>Pyrenees </c:v>
                </c:pt>
                <c:pt idx="45">
                  <c:v>Southern Grampians </c:v>
                </c:pt>
                <c:pt idx="46">
                  <c:v>Strathbogie </c:v>
                </c:pt>
                <c:pt idx="47">
                  <c:v>Swan Hill </c:v>
                </c:pt>
                <c:pt idx="48">
                  <c:v>Towong </c:v>
                </c:pt>
                <c:pt idx="49">
                  <c:v>Wellington </c:v>
                </c:pt>
                <c:pt idx="50">
                  <c:v>West Wimmera </c:v>
                </c:pt>
                <c:pt idx="51">
                  <c:v>Yarriambiack </c:v>
                </c:pt>
                <c:pt idx="52">
                  <c:v>Unincorporated Vic</c:v>
                </c:pt>
              </c:strCache>
            </c:strRef>
          </c:cat>
          <c:val>
            <c:numRef>
              <c:f>Sheet2!$B$157:$B$209</c:f>
              <c:numCache>
                <c:formatCode>General</c:formatCode>
                <c:ptCount val="53"/>
                <c:pt idx="1">
                  <c:v>795</c:v>
                </c:pt>
                <c:pt idx="2">
                  <c:v>869</c:v>
                </c:pt>
                <c:pt idx="3" formatCode="#,##0">
                  <c:v>2008</c:v>
                </c:pt>
                <c:pt idx="4">
                  <c:v>485</c:v>
                </c:pt>
                <c:pt idx="5">
                  <c:v>175</c:v>
                </c:pt>
                <c:pt idx="6">
                  <c:v>688</c:v>
                </c:pt>
                <c:pt idx="7">
                  <c:v>474</c:v>
                </c:pt>
                <c:pt idx="8">
                  <c:v>275</c:v>
                </c:pt>
                <c:pt idx="9">
                  <c:v>288</c:v>
                </c:pt>
                <c:pt idx="10">
                  <c:v>243</c:v>
                </c:pt>
                <c:pt idx="13">
                  <c:v>313</c:v>
                </c:pt>
                <c:pt idx="14">
                  <c:v>325</c:v>
                </c:pt>
                <c:pt idx="15">
                  <c:v>124</c:v>
                </c:pt>
                <c:pt idx="16">
                  <c:v>259</c:v>
                </c:pt>
                <c:pt idx="17">
                  <c:v>192</c:v>
                </c:pt>
                <c:pt idx="18">
                  <c:v>126</c:v>
                </c:pt>
                <c:pt idx="19">
                  <c:v>43</c:v>
                </c:pt>
                <c:pt idx="20">
                  <c:v>253</c:v>
                </c:pt>
                <c:pt idx="21">
                  <c:v>155</c:v>
                </c:pt>
                <c:pt idx="24">
                  <c:v>109</c:v>
                </c:pt>
                <c:pt idx="25">
                  <c:v>119</c:v>
                </c:pt>
                <c:pt idx="26">
                  <c:v>148</c:v>
                </c:pt>
                <c:pt idx="27">
                  <c:v>79</c:v>
                </c:pt>
                <c:pt idx="28">
                  <c:v>372</c:v>
                </c:pt>
                <c:pt idx="29">
                  <c:v>161</c:v>
                </c:pt>
                <c:pt idx="30">
                  <c:v>190</c:v>
                </c:pt>
                <c:pt idx="31">
                  <c:v>144</c:v>
                </c:pt>
                <c:pt idx="32">
                  <c:v>451</c:v>
                </c:pt>
                <c:pt idx="33">
                  <c:v>118</c:v>
                </c:pt>
                <c:pt idx="34">
                  <c:v>171</c:v>
                </c:pt>
                <c:pt idx="35">
                  <c:v>146</c:v>
                </c:pt>
                <c:pt idx="36">
                  <c:v>67</c:v>
                </c:pt>
                <c:pt idx="37">
                  <c:v>142</c:v>
                </c:pt>
                <c:pt idx="38">
                  <c:v>82</c:v>
                </c:pt>
                <c:pt idx="39">
                  <c:v>69</c:v>
                </c:pt>
                <c:pt idx="40">
                  <c:v>297</c:v>
                </c:pt>
                <c:pt idx="41">
                  <c:v>170</c:v>
                </c:pt>
                <c:pt idx="42">
                  <c:v>134</c:v>
                </c:pt>
                <c:pt idx="43">
                  <c:v>131</c:v>
                </c:pt>
                <c:pt idx="44">
                  <c:v>68</c:v>
                </c:pt>
                <c:pt idx="45">
                  <c:v>164</c:v>
                </c:pt>
                <c:pt idx="46">
                  <c:v>110</c:v>
                </c:pt>
                <c:pt idx="47">
                  <c:v>164</c:v>
                </c:pt>
                <c:pt idx="48">
                  <c:v>64</c:v>
                </c:pt>
                <c:pt idx="49">
                  <c:v>363</c:v>
                </c:pt>
                <c:pt idx="50">
                  <c:v>48</c:v>
                </c:pt>
                <c:pt idx="51">
                  <c:v>90</c:v>
                </c:pt>
                <c:pt idx="52">
                  <c:v>0</c:v>
                </c:pt>
              </c:numCache>
            </c:numRef>
          </c:val>
        </c:ser>
        <c:dLbls>
          <c:showLegendKey val="0"/>
          <c:showVal val="0"/>
          <c:showCatName val="0"/>
          <c:showSerName val="0"/>
          <c:showPercent val="0"/>
          <c:showBubbleSize val="0"/>
        </c:dLbls>
        <c:gapWidth val="30"/>
        <c:axId val="789186352"/>
        <c:axId val="789186912"/>
      </c:barChart>
      <c:catAx>
        <c:axId val="7891863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crossAx val="789186912"/>
        <c:crosses val="autoZero"/>
        <c:auto val="1"/>
        <c:lblAlgn val="ctr"/>
        <c:lblOffset val="100"/>
        <c:noMultiLvlLbl val="0"/>
      </c:catAx>
      <c:valAx>
        <c:axId val="789186912"/>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1863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Value of Building Approvals in Victoria </a:t>
            </a:r>
          </a:p>
          <a:p>
            <a:pPr>
              <a:defRPr/>
            </a:pPr>
            <a:r>
              <a:rPr lang="en-AU" baseline="0"/>
              <a:t>Full Year 2015-16 (billions)</a:t>
            </a:r>
            <a:r>
              <a:rPr lang="en-AU"/>
              <a:t> </a:t>
            </a:r>
          </a:p>
        </c:rich>
      </c:tx>
      <c:layout>
        <c:manualLayout>
          <c:xMode val="edge"/>
          <c:yMode val="edge"/>
          <c:x val="0.23372763519063938"/>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6931598244875882"/>
          <c:y val="0.20664460211704305"/>
          <c:w val="0.43846727174370387"/>
          <c:h val="0.78900017305529135"/>
        </c:manualLayout>
      </c:layout>
      <c:pieChart>
        <c:varyColors val="1"/>
        <c:ser>
          <c:idx val="0"/>
          <c:order val="0"/>
          <c:dPt>
            <c:idx val="0"/>
            <c:bubble3D val="0"/>
            <c:explosion val="1"/>
            <c:spPr>
              <a:solidFill>
                <a:schemeClr val="accent1"/>
              </a:solidFill>
              <a:ln w="19050">
                <a:solidFill>
                  <a:schemeClr val="lt1"/>
                </a:solidFill>
              </a:ln>
              <a:effectLst/>
            </c:spPr>
          </c:dPt>
          <c:dPt>
            <c:idx val="1"/>
            <c:bubble3D val="0"/>
            <c:explosion val="2"/>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dLbl>
              <c:idx val="0"/>
              <c:layout>
                <c:manualLayout>
                  <c:x val="8.9637139107611549E-2"/>
                  <c:y val="1.4432050160396617E-3"/>
                </c:manualLayout>
              </c:layout>
              <c:showLegendKey val="0"/>
              <c:showVal val="1"/>
              <c:showCatName val="1"/>
              <c:showSerName val="0"/>
              <c:showPercent val="0"/>
              <c:showBubbleSize val="0"/>
              <c:extLst>
                <c:ext xmlns:c15="http://schemas.microsoft.com/office/drawing/2012/chart" uri="{CE6537A1-D6FC-4f65-9D91-7224C49458BB}"/>
              </c:extLst>
            </c:dLbl>
            <c:dLbl>
              <c:idx val="1"/>
              <c:layout>
                <c:manualLayout>
                  <c:x val="-3.9971950071126604E-2"/>
                  <c:y val="-5.0196129329987599E-2"/>
                </c:manualLayout>
              </c:layout>
              <c:showLegendKey val="0"/>
              <c:showVal val="1"/>
              <c:showCatName val="1"/>
              <c:showSerName val="0"/>
              <c:showPercent val="0"/>
              <c:showBubbleSize val="0"/>
              <c:extLst>
                <c:ext xmlns:c15="http://schemas.microsoft.com/office/drawing/2012/chart" uri="{CE6537A1-D6FC-4f65-9D91-7224C49458BB}"/>
              </c:extLst>
            </c:dLbl>
            <c:dLbl>
              <c:idx val="2"/>
              <c:layout>
                <c:manualLayout>
                  <c:x val="-3.7613151409508924E-2"/>
                  <c:y val="6.0298231951775215E-2"/>
                </c:manualLayout>
              </c:layout>
              <c:showLegendKey val="0"/>
              <c:showVal val="1"/>
              <c:showCatName val="1"/>
              <c:showSerName val="0"/>
              <c:showPercent val="0"/>
              <c:showBubbleSize val="0"/>
              <c:extLst>
                <c:ext xmlns:c15="http://schemas.microsoft.com/office/drawing/2012/chart" uri="{CE6537A1-D6FC-4f65-9D91-7224C49458BB}"/>
              </c:extLst>
            </c:dLbl>
            <c:dLbl>
              <c:idx val="3"/>
              <c:layout>
                <c:manualLayout>
                  <c:x val="-5.3107932119172127E-2"/>
                  <c:y val="6.6190764615961462E-2"/>
                </c:manualLayout>
              </c:layout>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Value!$E$105:$H$105</c:f>
              <c:strCache>
                <c:ptCount val="4"/>
                <c:pt idx="0">
                  <c:v>Residential </c:v>
                </c:pt>
                <c:pt idx="1">
                  <c:v>Commerical</c:v>
                </c:pt>
                <c:pt idx="2">
                  <c:v>Industrial</c:v>
                </c:pt>
                <c:pt idx="3">
                  <c:v>Other buildings</c:v>
                </c:pt>
              </c:strCache>
            </c:strRef>
          </c:cat>
          <c:val>
            <c:numRef>
              <c:f>Value!$E$106:$H$106</c:f>
              <c:numCache>
                <c:formatCode>_("$"* #,##0.00_);_("$"* \(#,##0.00\);_("$"* "-"??_);_(@_)</c:formatCode>
                <c:ptCount val="4"/>
                <c:pt idx="0">
                  <c:v>22.188690999999999</c:v>
                </c:pt>
                <c:pt idx="1">
                  <c:v>2.7107950000000001</c:v>
                </c:pt>
                <c:pt idx="2">
                  <c:v>1.502699</c:v>
                </c:pt>
                <c:pt idx="3">
                  <c:v>4.5456110000000001</c:v>
                </c:pt>
              </c:numCache>
            </c:numRef>
          </c:val>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Annual Building Approvals</a:t>
            </a:r>
            <a:r>
              <a:rPr lang="en-AU" baseline="0"/>
              <a:t> in Victoria</a:t>
            </a:r>
          </a:p>
          <a:p>
            <a:pPr algn="l">
              <a:defRPr/>
            </a:pPr>
            <a:r>
              <a:rPr lang="en-AU" sz="800" baseline="0"/>
              <a:t>Source: ABS Building Approvals 8731.0</a:t>
            </a:r>
            <a:endParaRPr lang="en-AU" sz="800"/>
          </a:p>
        </c:rich>
      </c:tx>
      <c:layout>
        <c:manualLayout>
          <c:xMode val="edge"/>
          <c:yMode val="edge"/>
          <c:x val="3.5947664140480444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041119860017498"/>
          <c:y val="0.12883230452674896"/>
          <c:w val="0.87082707532102577"/>
          <c:h val="0.74729047179287766"/>
        </c:manualLayout>
      </c:layout>
      <c:lineChart>
        <c:grouping val="standard"/>
        <c:varyColors val="0"/>
        <c:ser>
          <c:idx val="0"/>
          <c:order val="0"/>
          <c:tx>
            <c:v>Houses</c:v>
          </c:tx>
          <c:spPr>
            <a:ln w="28575" cap="rnd">
              <a:solidFill>
                <a:srgbClr val="C00000"/>
              </a:solidFill>
              <a:round/>
            </a:ln>
            <a:effectLst/>
          </c:spPr>
          <c:marker>
            <c:symbol val="none"/>
          </c:marker>
          <c:cat>
            <c:numRef>
              <c:f>Data1!$E$209:$E$406</c:f>
              <c:numCache>
                <c:formatCode>mmm\-yyyy</c:formatCode>
                <c:ptCount val="198"/>
                <c:pt idx="0">
                  <c:v>36526</c:v>
                </c:pt>
                <c:pt idx="1">
                  <c:v>36557</c:v>
                </c:pt>
                <c:pt idx="2">
                  <c:v>36586</c:v>
                </c:pt>
                <c:pt idx="3">
                  <c:v>36617</c:v>
                </c:pt>
                <c:pt idx="4">
                  <c:v>36647</c:v>
                </c:pt>
                <c:pt idx="5">
                  <c:v>36678</c:v>
                </c:pt>
                <c:pt idx="6">
                  <c:v>36708</c:v>
                </c:pt>
                <c:pt idx="7">
                  <c:v>36739</c:v>
                </c:pt>
                <c:pt idx="8">
                  <c:v>36770</c:v>
                </c:pt>
                <c:pt idx="9">
                  <c:v>36800</c:v>
                </c:pt>
                <c:pt idx="10">
                  <c:v>36831</c:v>
                </c:pt>
                <c:pt idx="11">
                  <c:v>36861</c:v>
                </c:pt>
                <c:pt idx="12">
                  <c:v>36892</c:v>
                </c:pt>
                <c:pt idx="13">
                  <c:v>36923</c:v>
                </c:pt>
                <c:pt idx="14">
                  <c:v>36951</c:v>
                </c:pt>
                <c:pt idx="15">
                  <c:v>36982</c:v>
                </c:pt>
                <c:pt idx="16">
                  <c:v>37012</c:v>
                </c:pt>
                <c:pt idx="17">
                  <c:v>37043</c:v>
                </c:pt>
                <c:pt idx="18">
                  <c:v>37073</c:v>
                </c:pt>
                <c:pt idx="19">
                  <c:v>37104</c:v>
                </c:pt>
                <c:pt idx="20">
                  <c:v>37135</c:v>
                </c:pt>
                <c:pt idx="21">
                  <c:v>37165</c:v>
                </c:pt>
                <c:pt idx="22">
                  <c:v>37196</c:v>
                </c:pt>
                <c:pt idx="23">
                  <c:v>37226</c:v>
                </c:pt>
                <c:pt idx="24">
                  <c:v>37257</c:v>
                </c:pt>
                <c:pt idx="25">
                  <c:v>37288</c:v>
                </c:pt>
                <c:pt idx="26">
                  <c:v>37316</c:v>
                </c:pt>
                <c:pt idx="27">
                  <c:v>37347</c:v>
                </c:pt>
                <c:pt idx="28">
                  <c:v>37377</c:v>
                </c:pt>
                <c:pt idx="29">
                  <c:v>37408</c:v>
                </c:pt>
                <c:pt idx="30">
                  <c:v>37438</c:v>
                </c:pt>
                <c:pt idx="31">
                  <c:v>37469</c:v>
                </c:pt>
                <c:pt idx="32">
                  <c:v>37500</c:v>
                </c:pt>
                <c:pt idx="33">
                  <c:v>37530</c:v>
                </c:pt>
                <c:pt idx="34">
                  <c:v>37561</c:v>
                </c:pt>
                <c:pt idx="35">
                  <c:v>37591</c:v>
                </c:pt>
                <c:pt idx="36">
                  <c:v>37622</c:v>
                </c:pt>
                <c:pt idx="37">
                  <c:v>37653</c:v>
                </c:pt>
                <c:pt idx="38">
                  <c:v>37681</c:v>
                </c:pt>
                <c:pt idx="39">
                  <c:v>37712</c:v>
                </c:pt>
                <c:pt idx="40">
                  <c:v>37742</c:v>
                </c:pt>
                <c:pt idx="41">
                  <c:v>37773</c:v>
                </c:pt>
                <c:pt idx="42">
                  <c:v>37803</c:v>
                </c:pt>
                <c:pt idx="43">
                  <c:v>37834</c:v>
                </c:pt>
                <c:pt idx="44">
                  <c:v>37865</c:v>
                </c:pt>
                <c:pt idx="45">
                  <c:v>37895</c:v>
                </c:pt>
                <c:pt idx="46">
                  <c:v>37926</c:v>
                </c:pt>
                <c:pt idx="47">
                  <c:v>37956</c:v>
                </c:pt>
                <c:pt idx="48">
                  <c:v>37987</c:v>
                </c:pt>
                <c:pt idx="49">
                  <c:v>38018</c:v>
                </c:pt>
                <c:pt idx="50">
                  <c:v>38047</c:v>
                </c:pt>
                <c:pt idx="51">
                  <c:v>38078</c:v>
                </c:pt>
                <c:pt idx="52">
                  <c:v>38108</c:v>
                </c:pt>
                <c:pt idx="53">
                  <c:v>38139</c:v>
                </c:pt>
                <c:pt idx="54">
                  <c:v>38169</c:v>
                </c:pt>
                <c:pt idx="55">
                  <c:v>38200</c:v>
                </c:pt>
                <c:pt idx="56">
                  <c:v>38231</c:v>
                </c:pt>
                <c:pt idx="57">
                  <c:v>38261</c:v>
                </c:pt>
                <c:pt idx="58">
                  <c:v>38292</c:v>
                </c:pt>
                <c:pt idx="59">
                  <c:v>38322</c:v>
                </c:pt>
                <c:pt idx="60">
                  <c:v>38353</c:v>
                </c:pt>
                <c:pt idx="61">
                  <c:v>38384</c:v>
                </c:pt>
                <c:pt idx="62">
                  <c:v>38412</c:v>
                </c:pt>
                <c:pt idx="63">
                  <c:v>38443</c:v>
                </c:pt>
                <c:pt idx="64">
                  <c:v>38473</c:v>
                </c:pt>
                <c:pt idx="65">
                  <c:v>38504</c:v>
                </c:pt>
                <c:pt idx="66">
                  <c:v>38534</c:v>
                </c:pt>
                <c:pt idx="67">
                  <c:v>38565</c:v>
                </c:pt>
                <c:pt idx="68">
                  <c:v>38596</c:v>
                </c:pt>
                <c:pt idx="69">
                  <c:v>38626</c:v>
                </c:pt>
                <c:pt idx="70">
                  <c:v>38657</c:v>
                </c:pt>
                <c:pt idx="71">
                  <c:v>38687</c:v>
                </c:pt>
                <c:pt idx="72">
                  <c:v>38718</c:v>
                </c:pt>
                <c:pt idx="73">
                  <c:v>38749</c:v>
                </c:pt>
                <c:pt idx="74">
                  <c:v>38777</c:v>
                </c:pt>
                <c:pt idx="75">
                  <c:v>38808</c:v>
                </c:pt>
                <c:pt idx="76">
                  <c:v>38838</c:v>
                </c:pt>
                <c:pt idx="77">
                  <c:v>38869</c:v>
                </c:pt>
                <c:pt idx="78">
                  <c:v>38899</c:v>
                </c:pt>
                <c:pt idx="79">
                  <c:v>38930</c:v>
                </c:pt>
                <c:pt idx="80">
                  <c:v>38961</c:v>
                </c:pt>
                <c:pt idx="81">
                  <c:v>38991</c:v>
                </c:pt>
                <c:pt idx="82">
                  <c:v>39022</c:v>
                </c:pt>
                <c:pt idx="83">
                  <c:v>39052</c:v>
                </c:pt>
                <c:pt idx="84">
                  <c:v>39083</c:v>
                </c:pt>
                <c:pt idx="85">
                  <c:v>39114</c:v>
                </c:pt>
                <c:pt idx="86">
                  <c:v>39142</c:v>
                </c:pt>
                <c:pt idx="87">
                  <c:v>39173</c:v>
                </c:pt>
                <c:pt idx="88">
                  <c:v>39203</c:v>
                </c:pt>
                <c:pt idx="89">
                  <c:v>39234</c:v>
                </c:pt>
                <c:pt idx="90">
                  <c:v>39264</c:v>
                </c:pt>
                <c:pt idx="91">
                  <c:v>39295</c:v>
                </c:pt>
                <c:pt idx="92">
                  <c:v>39326</c:v>
                </c:pt>
                <c:pt idx="93">
                  <c:v>39356</c:v>
                </c:pt>
                <c:pt idx="94">
                  <c:v>39387</c:v>
                </c:pt>
                <c:pt idx="95">
                  <c:v>39417</c:v>
                </c:pt>
                <c:pt idx="96">
                  <c:v>39448</c:v>
                </c:pt>
                <c:pt idx="97">
                  <c:v>39479</c:v>
                </c:pt>
                <c:pt idx="98">
                  <c:v>39508</c:v>
                </c:pt>
                <c:pt idx="99">
                  <c:v>39539</c:v>
                </c:pt>
                <c:pt idx="100">
                  <c:v>39569</c:v>
                </c:pt>
                <c:pt idx="101">
                  <c:v>39600</c:v>
                </c:pt>
                <c:pt idx="102">
                  <c:v>39630</c:v>
                </c:pt>
                <c:pt idx="103">
                  <c:v>39661</c:v>
                </c:pt>
                <c:pt idx="104">
                  <c:v>39692</c:v>
                </c:pt>
                <c:pt idx="105">
                  <c:v>39722</c:v>
                </c:pt>
                <c:pt idx="106">
                  <c:v>39753</c:v>
                </c:pt>
                <c:pt idx="107">
                  <c:v>39783</c:v>
                </c:pt>
                <c:pt idx="108">
                  <c:v>39814</c:v>
                </c:pt>
                <c:pt idx="109">
                  <c:v>39845</c:v>
                </c:pt>
                <c:pt idx="110">
                  <c:v>39873</c:v>
                </c:pt>
                <c:pt idx="111">
                  <c:v>39904</c:v>
                </c:pt>
                <c:pt idx="112">
                  <c:v>39934</c:v>
                </c:pt>
                <c:pt idx="113">
                  <c:v>39965</c:v>
                </c:pt>
                <c:pt idx="114">
                  <c:v>39995</c:v>
                </c:pt>
                <c:pt idx="115">
                  <c:v>40026</c:v>
                </c:pt>
                <c:pt idx="116">
                  <c:v>40057</c:v>
                </c:pt>
                <c:pt idx="117">
                  <c:v>40087</c:v>
                </c:pt>
                <c:pt idx="118">
                  <c:v>40118</c:v>
                </c:pt>
                <c:pt idx="119">
                  <c:v>40148</c:v>
                </c:pt>
                <c:pt idx="120">
                  <c:v>40179</c:v>
                </c:pt>
                <c:pt idx="121">
                  <c:v>40210</c:v>
                </c:pt>
                <c:pt idx="122">
                  <c:v>40238</c:v>
                </c:pt>
                <c:pt idx="123">
                  <c:v>40269</c:v>
                </c:pt>
                <c:pt idx="124">
                  <c:v>40299</c:v>
                </c:pt>
                <c:pt idx="125">
                  <c:v>40330</c:v>
                </c:pt>
                <c:pt idx="126">
                  <c:v>40360</c:v>
                </c:pt>
                <c:pt idx="127">
                  <c:v>40391</c:v>
                </c:pt>
                <c:pt idx="128">
                  <c:v>40422</c:v>
                </c:pt>
                <c:pt idx="129">
                  <c:v>40452</c:v>
                </c:pt>
                <c:pt idx="130">
                  <c:v>40483</c:v>
                </c:pt>
                <c:pt idx="131">
                  <c:v>40513</c:v>
                </c:pt>
                <c:pt idx="132">
                  <c:v>40544</c:v>
                </c:pt>
                <c:pt idx="133">
                  <c:v>40575</c:v>
                </c:pt>
                <c:pt idx="134">
                  <c:v>40603</c:v>
                </c:pt>
                <c:pt idx="135">
                  <c:v>40634</c:v>
                </c:pt>
                <c:pt idx="136">
                  <c:v>40664</c:v>
                </c:pt>
                <c:pt idx="137">
                  <c:v>40695</c:v>
                </c:pt>
                <c:pt idx="138">
                  <c:v>40725</c:v>
                </c:pt>
                <c:pt idx="139">
                  <c:v>40756</c:v>
                </c:pt>
                <c:pt idx="140">
                  <c:v>40787</c:v>
                </c:pt>
                <c:pt idx="141">
                  <c:v>40817</c:v>
                </c:pt>
                <c:pt idx="142">
                  <c:v>40848</c:v>
                </c:pt>
                <c:pt idx="143">
                  <c:v>40878</c:v>
                </c:pt>
                <c:pt idx="144">
                  <c:v>40909</c:v>
                </c:pt>
                <c:pt idx="145">
                  <c:v>40940</c:v>
                </c:pt>
                <c:pt idx="146">
                  <c:v>40969</c:v>
                </c:pt>
                <c:pt idx="147">
                  <c:v>41000</c:v>
                </c:pt>
                <c:pt idx="148">
                  <c:v>41030</c:v>
                </c:pt>
                <c:pt idx="149">
                  <c:v>41061</c:v>
                </c:pt>
                <c:pt idx="150">
                  <c:v>41091</c:v>
                </c:pt>
                <c:pt idx="151">
                  <c:v>41122</c:v>
                </c:pt>
                <c:pt idx="152">
                  <c:v>41153</c:v>
                </c:pt>
                <c:pt idx="153">
                  <c:v>41183</c:v>
                </c:pt>
                <c:pt idx="154">
                  <c:v>41214</c:v>
                </c:pt>
                <c:pt idx="155">
                  <c:v>41244</c:v>
                </c:pt>
                <c:pt idx="156">
                  <c:v>41275</c:v>
                </c:pt>
                <c:pt idx="157">
                  <c:v>41306</c:v>
                </c:pt>
                <c:pt idx="158">
                  <c:v>41334</c:v>
                </c:pt>
                <c:pt idx="159">
                  <c:v>41365</c:v>
                </c:pt>
                <c:pt idx="160">
                  <c:v>41395</c:v>
                </c:pt>
                <c:pt idx="161">
                  <c:v>41426</c:v>
                </c:pt>
                <c:pt idx="162">
                  <c:v>41456</c:v>
                </c:pt>
                <c:pt idx="163">
                  <c:v>41487</c:v>
                </c:pt>
                <c:pt idx="164">
                  <c:v>41518</c:v>
                </c:pt>
                <c:pt idx="165">
                  <c:v>41548</c:v>
                </c:pt>
                <c:pt idx="166">
                  <c:v>41579</c:v>
                </c:pt>
                <c:pt idx="167">
                  <c:v>41609</c:v>
                </c:pt>
                <c:pt idx="168">
                  <c:v>41640</c:v>
                </c:pt>
                <c:pt idx="169">
                  <c:v>41671</c:v>
                </c:pt>
                <c:pt idx="170">
                  <c:v>41699</c:v>
                </c:pt>
                <c:pt idx="171">
                  <c:v>41730</c:v>
                </c:pt>
                <c:pt idx="172">
                  <c:v>41760</c:v>
                </c:pt>
                <c:pt idx="173">
                  <c:v>41791</c:v>
                </c:pt>
                <c:pt idx="174">
                  <c:v>41821</c:v>
                </c:pt>
                <c:pt idx="175">
                  <c:v>41852</c:v>
                </c:pt>
                <c:pt idx="176">
                  <c:v>41883</c:v>
                </c:pt>
                <c:pt idx="177">
                  <c:v>41913</c:v>
                </c:pt>
                <c:pt idx="178">
                  <c:v>41944</c:v>
                </c:pt>
                <c:pt idx="179">
                  <c:v>41974</c:v>
                </c:pt>
                <c:pt idx="180">
                  <c:v>42005</c:v>
                </c:pt>
                <c:pt idx="181">
                  <c:v>42036</c:v>
                </c:pt>
                <c:pt idx="182">
                  <c:v>42064</c:v>
                </c:pt>
                <c:pt idx="183">
                  <c:v>42095</c:v>
                </c:pt>
                <c:pt idx="184">
                  <c:v>42125</c:v>
                </c:pt>
                <c:pt idx="185">
                  <c:v>42156</c:v>
                </c:pt>
                <c:pt idx="186">
                  <c:v>42186</c:v>
                </c:pt>
                <c:pt idx="187">
                  <c:v>42217</c:v>
                </c:pt>
                <c:pt idx="188">
                  <c:v>42248</c:v>
                </c:pt>
                <c:pt idx="189">
                  <c:v>42278</c:v>
                </c:pt>
                <c:pt idx="190">
                  <c:v>42309</c:v>
                </c:pt>
                <c:pt idx="191">
                  <c:v>42339</c:v>
                </c:pt>
                <c:pt idx="192">
                  <c:v>42370</c:v>
                </c:pt>
                <c:pt idx="193">
                  <c:v>42401</c:v>
                </c:pt>
                <c:pt idx="194">
                  <c:v>42430</c:v>
                </c:pt>
                <c:pt idx="195">
                  <c:v>42461</c:v>
                </c:pt>
                <c:pt idx="196">
                  <c:v>42491</c:v>
                </c:pt>
                <c:pt idx="197">
                  <c:v>42522</c:v>
                </c:pt>
              </c:numCache>
            </c:numRef>
          </c:cat>
          <c:val>
            <c:numRef>
              <c:f>Data1!$F$209:$F$406</c:f>
              <c:numCache>
                <c:formatCode>_-* #,##0_-;\-* #,##0_-;_-* "-"??_-;_-@_-</c:formatCode>
                <c:ptCount val="198"/>
                <c:pt idx="0">
                  <c:v>34729</c:v>
                </c:pt>
                <c:pt idx="1">
                  <c:v>35889</c:v>
                </c:pt>
                <c:pt idx="2">
                  <c:v>36751</c:v>
                </c:pt>
                <c:pt idx="3">
                  <c:v>37076</c:v>
                </c:pt>
                <c:pt idx="4">
                  <c:v>36868</c:v>
                </c:pt>
                <c:pt idx="5">
                  <c:v>36533</c:v>
                </c:pt>
                <c:pt idx="6">
                  <c:v>35604</c:v>
                </c:pt>
                <c:pt idx="7">
                  <c:v>34303</c:v>
                </c:pt>
                <c:pt idx="8">
                  <c:v>32784</c:v>
                </c:pt>
                <c:pt idx="9">
                  <c:v>31392</c:v>
                </c:pt>
                <c:pt idx="10">
                  <c:v>30268</c:v>
                </c:pt>
                <c:pt idx="11">
                  <c:v>28642</c:v>
                </c:pt>
                <c:pt idx="12">
                  <c:v>27755</c:v>
                </c:pt>
                <c:pt idx="13">
                  <c:v>26430</c:v>
                </c:pt>
                <c:pt idx="14">
                  <c:v>24979</c:v>
                </c:pt>
                <c:pt idx="15">
                  <c:v>24231</c:v>
                </c:pt>
                <c:pt idx="16">
                  <c:v>24334</c:v>
                </c:pt>
                <c:pt idx="17">
                  <c:v>24565</c:v>
                </c:pt>
                <c:pt idx="18">
                  <c:v>25643</c:v>
                </c:pt>
                <c:pt idx="19">
                  <c:v>27520</c:v>
                </c:pt>
                <c:pt idx="20">
                  <c:v>28694</c:v>
                </c:pt>
                <c:pt idx="21">
                  <c:v>30468</c:v>
                </c:pt>
                <c:pt idx="22">
                  <c:v>31255</c:v>
                </c:pt>
                <c:pt idx="23">
                  <c:v>32350</c:v>
                </c:pt>
                <c:pt idx="24">
                  <c:v>33048</c:v>
                </c:pt>
                <c:pt idx="25">
                  <c:v>33818</c:v>
                </c:pt>
                <c:pt idx="26">
                  <c:v>34580</c:v>
                </c:pt>
                <c:pt idx="27">
                  <c:v>35997</c:v>
                </c:pt>
                <c:pt idx="28">
                  <c:v>36767</c:v>
                </c:pt>
                <c:pt idx="29">
                  <c:v>37071</c:v>
                </c:pt>
                <c:pt idx="30">
                  <c:v>37131</c:v>
                </c:pt>
                <c:pt idx="31">
                  <c:v>36604</c:v>
                </c:pt>
                <c:pt idx="32">
                  <c:v>36455</c:v>
                </c:pt>
                <c:pt idx="33">
                  <c:v>36293</c:v>
                </c:pt>
                <c:pt idx="34">
                  <c:v>35573</c:v>
                </c:pt>
                <c:pt idx="35">
                  <c:v>35450</c:v>
                </c:pt>
                <c:pt idx="36">
                  <c:v>35145</c:v>
                </c:pt>
                <c:pt idx="37">
                  <c:v>34859</c:v>
                </c:pt>
                <c:pt idx="38">
                  <c:v>34375</c:v>
                </c:pt>
                <c:pt idx="39">
                  <c:v>33836</c:v>
                </c:pt>
                <c:pt idx="40">
                  <c:v>33339</c:v>
                </c:pt>
                <c:pt idx="41">
                  <c:v>33525</c:v>
                </c:pt>
                <c:pt idx="42">
                  <c:v>33914</c:v>
                </c:pt>
                <c:pt idx="43">
                  <c:v>33640</c:v>
                </c:pt>
                <c:pt idx="44">
                  <c:v>33739</c:v>
                </c:pt>
                <c:pt idx="45">
                  <c:v>33853</c:v>
                </c:pt>
                <c:pt idx="46">
                  <c:v>34368</c:v>
                </c:pt>
                <c:pt idx="47">
                  <c:v>34253</c:v>
                </c:pt>
                <c:pt idx="48">
                  <c:v>34394</c:v>
                </c:pt>
                <c:pt idx="49">
                  <c:v>34253</c:v>
                </c:pt>
                <c:pt idx="50">
                  <c:v>34883</c:v>
                </c:pt>
                <c:pt idx="51">
                  <c:v>34933</c:v>
                </c:pt>
                <c:pt idx="52">
                  <c:v>34792</c:v>
                </c:pt>
                <c:pt idx="53">
                  <c:v>34643</c:v>
                </c:pt>
                <c:pt idx="54">
                  <c:v>34232</c:v>
                </c:pt>
                <c:pt idx="55">
                  <c:v>33900</c:v>
                </c:pt>
                <c:pt idx="56">
                  <c:v>33474</c:v>
                </c:pt>
                <c:pt idx="57">
                  <c:v>32701</c:v>
                </c:pt>
                <c:pt idx="58">
                  <c:v>32488</c:v>
                </c:pt>
                <c:pt idx="59">
                  <c:v>31939</c:v>
                </c:pt>
                <c:pt idx="60">
                  <c:v>31611</c:v>
                </c:pt>
                <c:pt idx="61">
                  <c:v>31329</c:v>
                </c:pt>
                <c:pt idx="62">
                  <c:v>30693</c:v>
                </c:pt>
                <c:pt idx="63">
                  <c:v>30561</c:v>
                </c:pt>
                <c:pt idx="64">
                  <c:v>30739</c:v>
                </c:pt>
                <c:pt idx="65">
                  <c:v>31304</c:v>
                </c:pt>
                <c:pt idx="66">
                  <c:v>30597</c:v>
                </c:pt>
                <c:pt idx="67">
                  <c:v>30557</c:v>
                </c:pt>
                <c:pt idx="68">
                  <c:v>30359</c:v>
                </c:pt>
                <c:pt idx="69">
                  <c:v>30038</c:v>
                </c:pt>
                <c:pt idx="70">
                  <c:v>30162</c:v>
                </c:pt>
                <c:pt idx="71">
                  <c:v>30214</c:v>
                </c:pt>
                <c:pt idx="72">
                  <c:v>30205</c:v>
                </c:pt>
                <c:pt idx="73">
                  <c:v>30253</c:v>
                </c:pt>
                <c:pt idx="74">
                  <c:v>30490</c:v>
                </c:pt>
                <c:pt idx="75">
                  <c:v>29873</c:v>
                </c:pt>
                <c:pt idx="76">
                  <c:v>29767</c:v>
                </c:pt>
                <c:pt idx="77">
                  <c:v>28812</c:v>
                </c:pt>
                <c:pt idx="78">
                  <c:v>29102</c:v>
                </c:pt>
                <c:pt idx="79">
                  <c:v>29740</c:v>
                </c:pt>
                <c:pt idx="80">
                  <c:v>29911</c:v>
                </c:pt>
                <c:pt idx="81">
                  <c:v>30162</c:v>
                </c:pt>
                <c:pt idx="82">
                  <c:v>29980</c:v>
                </c:pt>
                <c:pt idx="83">
                  <c:v>29595</c:v>
                </c:pt>
                <c:pt idx="84">
                  <c:v>29493</c:v>
                </c:pt>
                <c:pt idx="85">
                  <c:v>29356</c:v>
                </c:pt>
                <c:pt idx="86">
                  <c:v>29116</c:v>
                </c:pt>
                <c:pt idx="87">
                  <c:v>29236</c:v>
                </c:pt>
                <c:pt idx="88">
                  <c:v>28966</c:v>
                </c:pt>
                <c:pt idx="89">
                  <c:v>28895</c:v>
                </c:pt>
                <c:pt idx="90">
                  <c:v>29152</c:v>
                </c:pt>
                <c:pt idx="91">
                  <c:v>28906</c:v>
                </c:pt>
                <c:pt idx="92">
                  <c:v>28806</c:v>
                </c:pt>
                <c:pt idx="93">
                  <c:v>29328</c:v>
                </c:pt>
                <c:pt idx="94">
                  <c:v>29486</c:v>
                </c:pt>
                <c:pt idx="95">
                  <c:v>30044</c:v>
                </c:pt>
                <c:pt idx="96">
                  <c:v>30193</c:v>
                </c:pt>
                <c:pt idx="97">
                  <c:v>30548</c:v>
                </c:pt>
                <c:pt idx="98">
                  <c:v>30619</c:v>
                </c:pt>
                <c:pt idx="99">
                  <c:v>31308</c:v>
                </c:pt>
                <c:pt idx="100">
                  <c:v>31272</c:v>
                </c:pt>
                <c:pt idx="101">
                  <c:v>31558</c:v>
                </c:pt>
                <c:pt idx="102">
                  <c:v>31470</c:v>
                </c:pt>
                <c:pt idx="103">
                  <c:v>31296</c:v>
                </c:pt>
                <c:pt idx="104">
                  <c:v>31523</c:v>
                </c:pt>
                <c:pt idx="105">
                  <c:v>31174</c:v>
                </c:pt>
                <c:pt idx="106">
                  <c:v>30655</c:v>
                </c:pt>
                <c:pt idx="107">
                  <c:v>30422</c:v>
                </c:pt>
                <c:pt idx="108">
                  <c:v>30249</c:v>
                </c:pt>
                <c:pt idx="109">
                  <c:v>30067</c:v>
                </c:pt>
                <c:pt idx="110">
                  <c:v>30188</c:v>
                </c:pt>
                <c:pt idx="111">
                  <c:v>30037</c:v>
                </c:pt>
                <c:pt idx="112">
                  <c:v>30121</c:v>
                </c:pt>
                <c:pt idx="113">
                  <c:v>30502</c:v>
                </c:pt>
                <c:pt idx="114">
                  <c:v>31236</c:v>
                </c:pt>
                <c:pt idx="115">
                  <c:v>31800</c:v>
                </c:pt>
                <c:pt idx="116">
                  <c:v>32497</c:v>
                </c:pt>
                <c:pt idx="117">
                  <c:v>33753</c:v>
                </c:pt>
                <c:pt idx="118">
                  <c:v>34858</c:v>
                </c:pt>
                <c:pt idx="119">
                  <c:v>35702</c:v>
                </c:pt>
                <c:pt idx="120">
                  <c:v>36387</c:v>
                </c:pt>
                <c:pt idx="121">
                  <c:v>37401</c:v>
                </c:pt>
                <c:pt idx="122">
                  <c:v>38454</c:v>
                </c:pt>
                <c:pt idx="123">
                  <c:v>38816</c:v>
                </c:pt>
                <c:pt idx="124">
                  <c:v>39370</c:v>
                </c:pt>
                <c:pt idx="125">
                  <c:v>39516</c:v>
                </c:pt>
                <c:pt idx="126">
                  <c:v>39571</c:v>
                </c:pt>
                <c:pt idx="127">
                  <c:v>39488</c:v>
                </c:pt>
                <c:pt idx="128">
                  <c:v>39308</c:v>
                </c:pt>
                <c:pt idx="129">
                  <c:v>38619</c:v>
                </c:pt>
                <c:pt idx="130">
                  <c:v>38275</c:v>
                </c:pt>
                <c:pt idx="131">
                  <c:v>38059</c:v>
                </c:pt>
                <c:pt idx="132">
                  <c:v>37858</c:v>
                </c:pt>
                <c:pt idx="133">
                  <c:v>37177</c:v>
                </c:pt>
                <c:pt idx="134">
                  <c:v>36659</c:v>
                </c:pt>
                <c:pt idx="135">
                  <c:v>36090</c:v>
                </c:pt>
                <c:pt idx="136">
                  <c:v>35867</c:v>
                </c:pt>
                <c:pt idx="137">
                  <c:v>35464</c:v>
                </c:pt>
                <c:pt idx="138">
                  <c:v>35019</c:v>
                </c:pt>
                <c:pt idx="139">
                  <c:v>34790</c:v>
                </c:pt>
                <c:pt idx="140">
                  <c:v>34404</c:v>
                </c:pt>
                <c:pt idx="141">
                  <c:v>33653</c:v>
                </c:pt>
                <c:pt idx="142">
                  <c:v>33346</c:v>
                </c:pt>
                <c:pt idx="143">
                  <c:v>32774</c:v>
                </c:pt>
                <c:pt idx="144">
                  <c:v>32247</c:v>
                </c:pt>
                <c:pt idx="145">
                  <c:v>31895</c:v>
                </c:pt>
                <c:pt idx="146">
                  <c:v>31102</c:v>
                </c:pt>
                <c:pt idx="147">
                  <c:v>30626</c:v>
                </c:pt>
                <c:pt idx="148">
                  <c:v>30285</c:v>
                </c:pt>
                <c:pt idx="149">
                  <c:v>29862</c:v>
                </c:pt>
                <c:pt idx="150">
                  <c:v>29426</c:v>
                </c:pt>
                <c:pt idx="151">
                  <c:v>29101</c:v>
                </c:pt>
                <c:pt idx="152">
                  <c:v>28755</c:v>
                </c:pt>
                <c:pt idx="153">
                  <c:v>28946</c:v>
                </c:pt>
                <c:pt idx="154">
                  <c:v>28561</c:v>
                </c:pt>
                <c:pt idx="155">
                  <c:v>28198</c:v>
                </c:pt>
                <c:pt idx="156">
                  <c:v>28063</c:v>
                </c:pt>
                <c:pt idx="157">
                  <c:v>27835</c:v>
                </c:pt>
                <c:pt idx="158">
                  <c:v>27425</c:v>
                </c:pt>
                <c:pt idx="159">
                  <c:v>27671</c:v>
                </c:pt>
                <c:pt idx="160">
                  <c:v>27781</c:v>
                </c:pt>
                <c:pt idx="161">
                  <c:v>27344</c:v>
                </c:pt>
                <c:pt idx="162">
                  <c:v>27155</c:v>
                </c:pt>
                <c:pt idx="163">
                  <c:v>26942</c:v>
                </c:pt>
                <c:pt idx="164">
                  <c:v>26828</c:v>
                </c:pt>
                <c:pt idx="165">
                  <c:v>26854</c:v>
                </c:pt>
                <c:pt idx="166">
                  <c:v>27144</c:v>
                </c:pt>
                <c:pt idx="167">
                  <c:v>27392</c:v>
                </c:pt>
                <c:pt idx="168">
                  <c:v>28028</c:v>
                </c:pt>
                <c:pt idx="169">
                  <c:v>28459</c:v>
                </c:pt>
                <c:pt idx="170">
                  <c:v>29035</c:v>
                </c:pt>
                <c:pt idx="171">
                  <c:v>29347</c:v>
                </c:pt>
                <c:pt idx="172">
                  <c:v>29607</c:v>
                </c:pt>
                <c:pt idx="173">
                  <c:v>30144</c:v>
                </c:pt>
                <c:pt idx="174">
                  <c:v>30648</c:v>
                </c:pt>
                <c:pt idx="175">
                  <c:v>31074</c:v>
                </c:pt>
                <c:pt idx="176">
                  <c:v>31461</c:v>
                </c:pt>
                <c:pt idx="177">
                  <c:v>31890</c:v>
                </c:pt>
                <c:pt idx="178">
                  <c:v>31991</c:v>
                </c:pt>
                <c:pt idx="179">
                  <c:v>32323</c:v>
                </c:pt>
                <c:pt idx="180">
                  <c:v>32186</c:v>
                </c:pt>
                <c:pt idx="181">
                  <c:v>32428</c:v>
                </c:pt>
                <c:pt idx="182">
                  <c:v>32910</c:v>
                </c:pt>
                <c:pt idx="183">
                  <c:v>33136</c:v>
                </c:pt>
                <c:pt idx="184">
                  <c:v>32918</c:v>
                </c:pt>
                <c:pt idx="185">
                  <c:v>33106</c:v>
                </c:pt>
                <c:pt idx="186">
                  <c:v>33217</c:v>
                </c:pt>
                <c:pt idx="187">
                  <c:v>33327</c:v>
                </c:pt>
                <c:pt idx="188">
                  <c:v>33792</c:v>
                </c:pt>
                <c:pt idx="189">
                  <c:v>33860</c:v>
                </c:pt>
                <c:pt idx="190">
                  <c:v>34041</c:v>
                </c:pt>
                <c:pt idx="191">
                  <c:v>34304</c:v>
                </c:pt>
                <c:pt idx="192">
                  <c:v>34329</c:v>
                </c:pt>
                <c:pt idx="193">
                  <c:v>34577</c:v>
                </c:pt>
                <c:pt idx="194">
                  <c:v>34813</c:v>
                </c:pt>
                <c:pt idx="195">
                  <c:v>35096</c:v>
                </c:pt>
                <c:pt idx="196">
                  <c:v>35617</c:v>
                </c:pt>
                <c:pt idx="197">
                  <c:v>35910</c:v>
                </c:pt>
              </c:numCache>
            </c:numRef>
          </c:val>
          <c:smooth val="0"/>
        </c:ser>
        <c:ser>
          <c:idx val="1"/>
          <c:order val="1"/>
          <c:tx>
            <c:v>Other Dwellings</c:v>
          </c:tx>
          <c:spPr>
            <a:ln w="28575" cap="rnd">
              <a:solidFill>
                <a:schemeClr val="accent1">
                  <a:lumMod val="75000"/>
                </a:schemeClr>
              </a:solidFill>
              <a:round/>
            </a:ln>
            <a:effectLst/>
          </c:spPr>
          <c:marker>
            <c:symbol val="none"/>
          </c:marker>
          <c:cat>
            <c:numRef>
              <c:f>Data1!$E$209:$E$406</c:f>
              <c:numCache>
                <c:formatCode>mmm\-yyyy</c:formatCode>
                <c:ptCount val="198"/>
                <c:pt idx="0">
                  <c:v>36526</c:v>
                </c:pt>
                <c:pt idx="1">
                  <c:v>36557</c:v>
                </c:pt>
                <c:pt idx="2">
                  <c:v>36586</c:v>
                </c:pt>
                <c:pt idx="3">
                  <c:v>36617</c:v>
                </c:pt>
                <c:pt idx="4">
                  <c:v>36647</c:v>
                </c:pt>
                <c:pt idx="5">
                  <c:v>36678</c:v>
                </c:pt>
                <c:pt idx="6">
                  <c:v>36708</c:v>
                </c:pt>
                <c:pt idx="7">
                  <c:v>36739</c:v>
                </c:pt>
                <c:pt idx="8">
                  <c:v>36770</c:v>
                </c:pt>
                <c:pt idx="9">
                  <c:v>36800</c:v>
                </c:pt>
                <c:pt idx="10">
                  <c:v>36831</c:v>
                </c:pt>
                <c:pt idx="11">
                  <c:v>36861</c:v>
                </c:pt>
                <c:pt idx="12">
                  <c:v>36892</c:v>
                </c:pt>
                <c:pt idx="13">
                  <c:v>36923</c:v>
                </c:pt>
                <c:pt idx="14">
                  <c:v>36951</c:v>
                </c:pt>
                <c:pt idx="15">
                  <c:v>36982</c:v>
                </c:pt>
                <c:pt idx="16">
                  <c:v>37012</c:v>
                </c:pt>
                <c:pt idx="17">
                  <c:v>37043</c:v>
                </c:pt>
                <c:pt idx="18">
                  <c:v>37073</c:v>
                </c:pt>
                <c:pt idx="19">
                  <c:v>37104</c:v>
                </c:pt>
                <c:pt idx="20">
                  <c:v>37135</c:v>
                </c:pt>
                <c:pt idx="21">
                  <c:v>37165</c:v>
                </c:pt>
                <c:pt idx="22">
                  <c:v>37196</c:v>
                </c:pt>
                <c:pt idx="23">
                  <c:v>37226</c:v>
                </c:pt>
                <c:pt idx="24">
                  <c:v>37257</c:v>
                </c:pt>
                <c:pt idx="25">
                  <c:v>37288</c:v>
                </c:pt>
                <c:pt idx="26">
                  <c:v>37316</c:v>
                </c:pt>
                <c:pt idx="27">
                  <c:v>37347</c:v>
                </c:pt>
                <c:pt idx="28">
                  <c:v>37377</c:v>
                </c:pt>
                <c:pt idx="29">
                  <c:v>37408</c:v>
                </c:pt>
                <c:pt idx="30">
                  <c:v>37438</c:v>
                </c:pt>
                <c:pt idx="31">
                  <c:v>37469</c:v>
                </c:pt>
                <c:pt idx="32">
                  <c:v>37500</c:v>
                </c:pt>
                <c:pt idx="33">
                  <c:v>37530</c:v>
                </c:pt>
                <c:pt idx="34">
                  <c:v>37561</c:v>
                </c:pt>
                <c:pt idx="35">
                  <c:v>37591</c:v>
                </c:pt>
                <c:pt idx="36">
                  <c:v>37622</c:v>
                </c:pt>
                <c:pt idx="37">
                  <c:v>37653</c:v>
                </c:pt>
                <c:pt idx="38">
                  <c:v>37681</c:v>
                </c:pt>
                <c:pt idx="39">
                  <c:v>37712</c:v>
                </c:pt>
                <c:pt idx="40">
                  <c:v>37742</c:v>
                </c:pt>
                <c:pt idx="41">
                  <c:v>37773</c:v>
                </c:pt>
                <c:pt idx="42">
                  <c:v>37803</c:v>
                </c:pt>
                <c:pt idx="43">
                  <c:v>37834</c:v>
                </c:pt>
                <c:pt idx="44">
                  <c:v>37865</c:v>
                </c:pt>
                <c:pt idx="45">
                  <c:v>37895</c:v>
                </c:pt>
                <c:pt idx="46">
                  <c:v>37926</c:v>
                </c:pt>
                <c:pt idx="47">
                  <c:v>37956</c:v>
                </c:pt>
                <c:pt idx="48">
                  <c:v>37987</c:v>
                </c:pt>
                <c:pt idx="49">
                  <c:v>38018</c:v>
                </c:pt>
                <c:pt idx="50">
                  <c:v>38047</c:v>
                </c:pt>
                <c:pt idx="51">
                  <c:v>38078</c:v>
                </c:pt>
                <c:pt idx="52">
                  <c:v>38108</c:v>
                </c:pt>
                <c:pt idx="53">
                  <c:v>38139</c:v>
                </c:pt>
                <c:pt idx="54">
                  <c:v>38169</c:v>
                </c:pt>
                <c:pt idx="55">
                  <c:v>38200</c:v>
                </c:pt>
                <c:pt idx="56">
                  <c:v>38231</c:v>
                </c:pt>
                <c:pt idx="57">
                  <c:v>38261</c:v>
                </c:pt>
                <c:pt idx="58">
                  <c:v>38292</c:v>
                </c:pt>
                <c:pt idx="59">
                  <c:v>38322</c:v>
                </c:pt>
                <c:pt idx="60">
                  <c:v>38353</c:v>
                </c:pt>
                <c:pt idx="61">
                  <c:v>38384</c:v>
                </c:pt>
                <c:pt idx="62">
                  <c:v>38412</c:v>
                </c:pt>
                <c:pt idx="63">
                  <c:v>38443</c:v>
                </c:pt>
                <c:pt idx="64">
                  <c:v>38473</c:v>
                </c:pt>
                <c:pt idx="65">
                  <c:v>38504</c:v>
                </c:pt>
                <c:pt idx="66">
                  <c:v>38534</c:v>
                </c:pt>
                <c:pt idx="67">
                  <c:v>38565</c:v>
                </c:pt>
                <c:pt idx="68">
                  <c:v>38596</c:v>
                </c:pt>
                <c:pt idx="69">
                  <c:v>38626</c:v>
                </c:pt>
                <c:pt idx="70">
                  <c:v>38657</c:v>
                </c:pt>
                <c:pt idx="71">
                  <c:v>38687</c:v>
                </c:pt>
                <c:pt idx="72">
                  <c:v>38718</c:v>
                </c:pt>
                <c:pt idx="73">
                  <c:v>38749</c:v>
                </c:pt>
                <c:pt idx="74">
                  <c:v>38777</c:v>
                </c:pt>
                <c:pt idx="75">
                  <c:v>38808</c:v>
                </c:pt>
                <c:pt idx="76">
                  <c:v>38838</c:v>
                </c:pt>
                <c:pt idx="77">
                  <c:v>38869</c:v>
                </c:pt>
                <c:pt idx="78">
                  <c:v>38899</c:v>
                </c:pt>
                <c:pt idx="79">
                  <c:v>38930</c:v>
                </c:pt>
                <c:pt idx="80">
                  <c:v>38961</c:v>
                </c:pt>
                <c:pt idx="81">
                  <c:v>38991</c:v>
                </c:pt>
                <c:pt idx="82">
                  <c:v>39022</c:v>
                </c:pt>
                <c:pt idx="83">
                  <c:v>39052</c:v>
                </c:pt>
                <c:pt idx="84">
                  <c:v>39083</c:v>
                </c:pt>
                <c:pt idx="85">
                  <c:v>39114</c:v>
                </c:pt>
                <c:pt idx="86">
                  <c:v>39142</c:v>
                </c:pt>
                <c:pt idx="87">
                  <c:v>39173</c:v>
                </c:pt>
                <c:pt idx="88">
                  <c:v>39203</c:v>
                </c:pt>
                <c:pt idx="89">
                  <c:v>39234</c:v>
                </c:pt>
                <c:pt idx="90">
                  <c:v>39264</c:v>
                </c:pt>
                <c:pt idx="91">
                  <c:v>39295</c:v>
                </c:pt>
                <c:pt idx="92">
                  <c:v>39326</c:v>
                </c:pt>
                <c:pt idx="93">
                  <c:v>39356</c:v>
                </c:pt>
                <c:pt idx="94">
                  <c:v>39387</c:v>
                </c:pt>
                <c:pt idx="95">
                  <c:v>39417</c:v>
                </c:pt>
                <c:pt idx="96">
                  <c:v>39448</c:v>
                </c:pt>
                <c:pt idx="97">
                  <c:v>39479</c:v>
                </c:pt>
                <c:pt idx="98">
                  <c:v>39508</c:v>
                </c:pt>
                <c:pt idx="99">
                  <c:v>39539</c:v>
                </c:pt>
                <c:pt idx="100">
                  <c:v>39569</c:v>
                </c:pt>
                <c:pt idx="101">
                  <c:v>39600</c:v>
                </c:pt>
                <c:pt idx="102">
                  <c:v>39630</c:v>
                </c:pt>
                <c:pt idx="103">
                  <c:v>39661</c:v>
                </c:pt>
                <c:pt idx="104">
                  <c:v>39692</c:v>
                </c:pt>
                <c:pt idx="105">
                  <c:v>39722</c:v>
                </c:pt>
                <c:pt idx="106">
                  <c:v>39753</c:v>
                </c:pt>
                <c:pt idx="107">
                  <c:v>39783</c:v>
                </c:pt>
                <c:pt idx="108">
                  <c:v>39814</c:v>
                </c:pt>
                <c:pt idx="109">
                  <c:v>39845</c:v>
                </c:pt>
                <c:pt idx="110">
                  <c:v>39873</c:v>
                </c:pt>
                <c:pt idx="111">
                  <c:v>39904</c:v>
                </c:pt>
                <c:pt idx="112">
                  <c:v>39934</c:v>
                </c:pt>
                <c:pt idx="113">
                  <c:v>39965</c:v>
                </c:pt>
                <c:pt idx="114">
                  <c:v>39995</c:v>
                </c:pt>
                <c:pt idx="115">
                  <c:v>40026</c:v>
                </c:pt>
                <c:pt idx="116">
                  <c:v>40057</c:v>
                </c:pt>
                <c:pt idx="117">
                  <c:v>40087</c:v>
                </c:pt>
                <c:pt idx="118">
                  <c:v>40118</c:v>
                </c:pt>
                <c:pt idx="119">
                  <c:v>40148</c:v>
                </c:pt>
                <c:pt idx="120">
                  <c:v>40179</c:v>
                </c:pt>
                <c:pt idx="121">
                  <c:v>40210</c:v>
                </c:pt>
                <c:pt idx="122">
                  <c:v>40238</c:v>
                </c:pt>
                <c:pt idx="123">
                  <c:v>40269</c:v>
                </c:pt>
                <c:pt idx="124">
                  <c:v>40299</c:v>
                </c:pt>
                <c:pt idx="125">
                  <c:v>40330</c:v>
                </c:pt>
                <c:pt idx="126">
                  <c:v>40360</c:v>
                </c:pt>
                <c:pt idx="127">
                  <c:v>40391</c:v>
                </c:pt>
                <c:pt idx="128">
                  <c:v>40422</c:v>
                </c:pt>
                <c:pt idx="129">
                  <c:v>40452</c:v>
                </c:pt>
                <c:pt idx="130">
                  <c:v>40483</c:v>
                </c:pt>
                <c:pt idx="131">
                  <c:v>40513</c:v>
                </c:pt>
                <c:pt idx="132">
                  <c:v>40544</c:v>
                </c:pt>
                <c:pt idx="133">
                  <c:v>40575</c:v>
                </c:pt>
                <c:pt idx="134">
                  <c:v>40603</c:v>
                </c:pt>
                <c:pt idx="135">
                  <c:v>40634</c:v>
                </c:pt>
                <c:pt idx="136">
                  <c:v>40664</c:v>
                </c:pt>
                <c:pt idx="137">
                  <c:v>40695</c:v>
                </c:pt>
                <c:pt idx="138">
                  <c:v>40725</c:v>
                </c:pt>
                <c:pt idx="139">
                  <c:v>40756</c:v>
                </c:pt>
                <c:pt idx="140">
                  <c:v>40787</c:v>
                </c:pt>
                <c:pt idx="141">
                  <c:v>40817</c:v>
                </c:pt>
                <c:pt idx="142">
                  <c:v>40848</c:v>
                </c:pt>
                <c:pt idx="143">
                  <c:v>40878</c:v>
                </c:pt>
                <c:pt idx="144">
                  <c:v>40909</c:v>
                </c:pt>
                <c:pt idx="145">
                  <c:v>40940</c:v>
                </c:pt>
                <c:pt idx="146">
                  <c:v>40969</c:v>
                </c:pt>
                <c:pt idx="147">
                  <c:v>41000</c:v>
                </c:pt>
                <c:pt idx="148">
                  <c:v>41030</c:v>
                </c:pt>
                <c:pt idx="149">
                  <c:v>41061</c:v>
                </c:pt>
                <c:pt idx="150">
                  <c:v>41091</c:v>
                </c:pt>
                <c:pt idx="151">
                  <c:v>41122</c:v>
                </c:pt>
                <c:pt idx="152">
                  <c:v>41153</c:v>
                </c:pt>
                <c:pt idx="153">
                  <c:v>41183</c:v>
                </c:pt>
                <c:pt idx="154">
                  <c:v>41214</c:v>
                </c:pt>
                <c:pt idx="155">
                  <c:v>41244</c:v>
                </c:pt>
                <c:pt idx="156">
                  <c:v>41275</c:v>
                </c:pt>
                <c:pt idx="157">
                  <c:v>41306</c:v>
                </c:pt>
                <c:pt idx="158">
                  <c:v>41334</c:v>
                </c:pt>
                <c:pt idx="159">
                  <c:v>41365</c:v>
                </c:pt>
                <c:pt idx="160">
                  <c:v>41395</c:v>
                </c:pt>
                <c:pt idx="161">
                  <c:v>41426</c:v>
                </c:pt>
                <c:pt idx="162">
                  <c:v>41456</c:v>
                </c:pt>
                <c:pt idx="163">
                  <c:v>41487</c:v>
                </c:pt>
                <c:pt idx="164">
                  <c:v>41518</c:v>
                </c:pt>
                <c:pt idx="165">
                  <c:v>41548</c:v>
                </c:pt>
                <c:pt idx="166">
                  <c:v>41579</c:v>
                </c:pt>
                <c:pt idx="167">
                  <c:v>41609</c:v>
                </c:pt>
                <c:pt idx="168">
                  <c:v>41640</c:v>
                </c:pt>
                <c:pt idx="169">
                  <c:v>41671</c:v>
                </c:pt>
                <c:pt idx="170">
                  <c:v>41699</c:v>
                </c:pt>
                <c:pt idx="171">
                  <c:v>41730</c:v>
                </c:pt>
                <c:pt idx="172">
                  <c:v>41760</c:v>
                </c:pt>
                <c:pt idx="173">
                  <c:v>41791</c:v>
                </c:pt>
                <c:pt idx="174">
                  <c:v>41821</c:v>
                </c:pt>
                <c:pt idx="175">
                  <c:v>41852</c:v>
                </c:pt>
                <c:pt idx="176">
                  <c:v>41883</c:v>
                </c:pt>
                <c:pt idx="177">
                  <c:v>41913</c:v>
                </c:pt>
                <c:pt idx="178">
                  <c:v>41944</c:v>
                </c:pt>
                <c:pt idx="179">
                  <c:v>41974</c:v>
                </c:pt>
                <c:pt idx="180">
                  <c:v>42005</c:v>
                </c:pt>
                <c:pt idx="181">
                  <c:v>42036</c:v>
                </c:pt>
                <c:pt idx="182">
                  <c:v>42064</c:v>
                </c:pt>
                <c:pt idx="183">
                  <c:v>42095</c:v>
                </c:pt>
                <c:pt idx="184">
                  <c:v>42125</c:v>
                </c:pt>
                <c:pt idx="185">
                  <c:v>42156</c:v>
                </c:pt>
                <c:pt idx="186">
                  <c:v>42186</c:v>
                </c:pt>
                <c:pt idx="187">
                  <c:v>42217</c:v>
                </c:pt>
                <c:pt idx="188">
                  <c:v>42248</c:v>
                </c:pt>
                <c:pt idx="189">
                  <c:v>42278</c:v>
                </c:pt>
                <c:pt idx="190">
                  <c:v>42309</c:v>
                </c:pt>
                <c:pt idx="191">
                  <c:v>42339</c:v>
                </c:pt>
                <c:pt idx="192">
                  <c:v>42370</c:v>
                </c:pt>
                <c:pt idx="193">
                  <c:v>42401</c:v>
                </c:pt>
                <c:pt idx="194">
                  <c:v>42430</c:v>
                </c:pt>
                <c:pt idx="195">
                  <c:v>42461</c:v>
                </c:pt>
                <c:pt idx="196">
                  <c:v>42491</c:v>
                </c:pt>
                <c:pt idx="197">
                  <c:v>42522</c:v>
                </c:pt>
              </c:numCache>
            </c:numRef>
          </c:cat>
          <c:val>
            <c:numRef>
              <c:f>Data1!$G$209:$G$406</c:f>
              <c:numCache>
                <c:formatCode>_-* #,##0_-;\-* #,##0_-;_-* "-"??_-;_-@_-</c:formatCode>
                <c:ptCount val="198"/>
                <c:pt idx="0">
                  <c:v>12987</c:v>
                </c:pt>
                <c:pt idx="1">
                  <c:v>12881</c:v>
                </c:pt>
                <c:pt idx="2">
                  <c:v>13344</c:v>
                </c:pt>
                <c:pt idx="3">
                  <c:v>13258</c:v>
                </c:pt>
                <c:pt idx="4">
                  <c:v>13316</c:v>
                </c:pt>
                <c:pt idx="5">
                  <c:v>13601</c:v>
                </c:pt>
                <c:pt idx="6">
                  <c:v>13983</c:v>
                </c:pt>
                <c:pt idx="7">
                  <c:v>13218</c:v>
                </c:pt>
                <c:pt idx="8">
                  <c:v>13186</c:v>
                </c:pt>
                <c:pt idx="9">
                  <c:v>12683</c:v>
                </c:pt>
                <c:pt idx="10">
                  <c:v>12337</c:v>
                </c:pt>
                <c:pt idx="11">
                  <c:v>12718</c:v>
                </c:pt>
                <c:pt idx="12">
                  <c:v>11964</c:v>
                </c:pt>
                <c:pt idx="13">
                  <c:v>11638</c:v>
                </c:pt>
                <c:pt idx="14">
                  <c:v>11523</c:v>
                </c:pt>
                <c:pt idx="15">
                  <c:v>11072</c:v>
                </c:pt>
                <c:pt idx="16">
                  <c:v>11196</c:v>
                </c:pt>
                <c:pt idx="17">
                  <c:v>11014</c:v>
                </c:pt>
                <c:pt idx="18">
                  <c:v>10322</c:v>
                </c:pt>
                <c:pt idx="19">
                  <c:v>11400</c:v>
                </c:pt>
                <c:pt idx="20">
                  <c:v>11953</c:v>
                </c:pt>
                <c:pt idx="21">
                  <c:v>12497</c:v>
                </c:pt>
                <c:pt idx="22">
                  <c:v>12395</c:v>
                </c:pt>
                <c:pt idx="23">
                  <c:v>12183</c:v>
                </c:pt>
                <c:pt idx="24">
                  <c:v>12378</c:v>
                </c:pt>
                <c:pt idx="25">
                  <c:v>12229</c:v>
                </c:pt>
                <c:pt idx="26">
                  <c:v>11601</c:v>
                </c:pt>
                <c:pt idx="27">
                  <c:v>12103</c:v>
                </c:pt>
                <c:pt idx="28">
                  <c:v>12108</c:v>
                </c:pt>
                <c:pt idx="29">
                  <c:v>12468</c:v>
                </c:pt>
                <c:pt idx="30">
                  <c:v>12834</c:v>
                </c:pt>
                <c:pt idx="31">
                  <c:v>13440</c:v>
                </c:pt>
                <c:pt idx="32">
                  <c:v>13151</c:v>
                </c:pt>
                <c:pt idx="33">
                  <c:v>13631</c:v>
                </c:pt>
                <c:pt idx="34">
                  <c:v>13862</c:v>
                </c:pt>
                <c:pt idx="35">
                  <c:v>13608</c:v>
                </c:pt>
                <c:pt idx="36">
                  <c:v>13640</c:v>
                </c:pt>
                <c:pt idx="37">
                  <c:v>13595</c:v>
                </c:pt>
                <c:pt idx="38">
                  <c:v>13953</c:v>
                </c:pt>
                <c:pt idx="39">
                  <c:v>14683</c:v>
                </c:pt>
                <c:pt idx="40">
                  <c:v>14775</c:v>
                </c:pt>
                <c:pt idx="41">
                  <c:v>14686</c:v>
                </c:pt>
                <c:pt idx="42">
                  <c:v>14081</c:v>
                </c:pt>
                <c:pt idx="43">
                  <c:v>12299</c:v>
                </c:pt>
                <c:pt idx="44">
                  <c:v>12776</c:v>
                </c:pt>
                <c:pt idx="45">
                  <c:v>13071</c:v>
                </c:pt>
                <c:pt idx="46">
                  <c:v>12798</c:v>
                </c:pt>
                <c:pt idx="47">
                  <c:v>12735</c:v>
                </c:pt>
                <c:pt idx="48">
                  <c:v>13032</c:v>
                </c:pt>
                <c:pt idx="49">
                  <c:v>13071</c:v>
                </c:pt>
                <c:pt idx="50">
                  <c:v>12876</c:v>
                </c:pt>
                <c:pt idx="51">
                  <c:v>11995</c:v>
                </c:pt>
                <c:pt idx="52">
                  <c:v>12041</c:v>
                </c:pt>
                <c:pt idx="53">
                  <c:v>11767</c:v>
                </c:pt>
                <c:pt idx="54">
                  <c:v>12016</c:v>
                </c:pt>
                <c:pt idx="55">
                  <c:v>12266</c:v>
                </c:pt>
                <c:pt idx="56">
                  <c:v>11612</c:v>
                </c:pt>
                <c:pt idx="57">
                  <c:v>10812</c:v>
                </c:pt>
                <c:pt idx="58">
                  <c:v>10994</c:v>
                </c:pt>
                <c:pt idx="59">
                  <c:v>11037</c:v>
                </c:pt>
                <c:pt idx="60">
                  <c:v>10017</c:v>
                </c:pt>
                <c:pt idx="61">
                  <c:v>10086</c:v>
                </c:pt>
                <c:pt idx="62">
                  <c:v>10246</c:v>
                </c:pt>
                <c:pt idx="63">
                  <c:v>10362</c:v>
                </c:pt>
                <c:pt idx="64">
                  <c:v>10356</c:v>
                </c:pt>
                <c:pt idx="65">
                  <c:v>11233</c:v>
                </c:pt>
                <c:pt idx="66">
                  <c:v>10890</c:v>
                </c:pt>
                <c:pt idx="67">
                  <c:v>10356</c:v>
                </c:pt>
                <c:pt idx="68">
                  <c:v>10280</c:v>
                </c:pt>
                <c:pt idx="69">
                  <c:v>10071</c:v>
                </c:pt>
                <c:pt idx="70">
                  <c:v>9860</c:v>
                </c:pt>
                <c:pt idx="71">
                  <c:v>9438</c:v>
                </c:pt>
                <c:pt idx="72">
                  <c:v>9561</c:v>
                </c:pt>
                <c:pt idx="73">
                  <c:v>9302</c:v>
                </c:pt>
                <c:pt idx="74">
                  <c:v>9333</c:v>
                </c:pt>
                <c:pt idx="75">
                  <c:v>8770</c:v>
                </c:pt>
                <c:pt idx="76">
                  <c:v>8561</c:v>
                </c:pt>
                <c:pt idx="77">
                  <c:v>7721</c:v>
                </c:pt>
                <c:pt idx="78">
                  <c:v>8323</c:v>
                </c:pt>
                <c:pt idx="79">
                  <c:v>8364</c:v>
                </c:pt>
                <c:pt idx="80">
                  <c:v>8147</c:v>
                </c:pt>
                <c:pt idx="81">
                  <c:v>8107</c:v>
                </c:pt>
                <c:pt idx="82">
                  <c:v>8260</c:v>
                </c:pt>
                <c:pt idx="83">
                  <c:v>8653</c:v>
                </c:pt>
                <c:pt idx="84">
                  <c:v>8462</c:v>
                </c:pt>
                <c:pt idx="85">
                  <c:v>9006</c:v>
                </c:pt>
                <c:pt idx="86">
                  <c:v>8762</c:v>
                </c:pt>
                <c:pt idx="87">
                  <c:v>9022</c:v>
                </c:pt>
                <c:pt idx="88">
                  <c:v>9069</c:v>
                </c:pt>
                <c:pt idx="89">
                  <c:v>9073</c:v>
                </c:pt>
                <c:pt idx="90">
                  <c:v>8820</c:v>
                </c:pt>
                <c:pt idx="91">
                  <c:v>9263</c:v>
                </c:pt>
                <c:pt idx="92">
                  <c:v>10049</c:v>
                </c:pt>
                <c:pt idx="93">
                  <c:v>10754</c:v>
                </c:pt>
                <c:pt idx="94">
                  <c:v>10819</c:v>
                </c:pt>
                <c:pt idx="95">
                  <c:v>10682</c:v>
                </c:pt>
                <c:pt idx="96">
                  <c:v>11244</c:v>
                </c:pt>
                <c:pt idx="97">
                  <c:v>11258</c:v>
                </c:pt>
                <c:pt idx="98">
                  <c:v>11247</c:v>
                </c:pt>
                <c:pt idx="99">
                  <c:v>11031</c:v>
                </c:pt>
                <c:pt idx="100">
                  <c:v>11086</c:v>
                </c:pt>
                <c:pt idx="101">
                  <c:v>11356</c:v>
                </c:pt>
                <c:pt idx="102">
                  <c:v>11881</c:v>
                </c:pt>
                <c:pt idx="103">
                  <c:v>11712</c:v>
                </c:pt>
                <c:pt idx="104">
                  <c:v>11453</c:v>
                </c:pt>
                <c:pt idx="105">
                  <c:v>11164</c:v>
                </c:pt>
                <c:pt idx="106">
                  <c:v>10950</c:v>
                </c:pt>
                <c:pt idx="107">
                  <c:v>11039</c:v>
                </c:pt>
                <c:pt idx="108">
                  <c:v>10797</c:v>
                </c:pt>
                <c:pt idx="109">
                  <c:v>10815</c:v>
                </c:pt>
                <c:pt idx="110">
                  <c:v>11510</c:v>
                </c:pt>
                <c:pt idx="111">
                  <c:v>11561</c:v>
                </c:pt>
                <c:pt idx="112">
                  <c:v>11098</c:v>
                </c:pt>
                <c:pt idx="113">
                  <c:v>11286</c:v>
                </c:pt>
                <c:pt idx="114">
                  <c:v>11511</c:v>
                </c:pt>
                <c:pt idx="115">
                  <c:v>11494</c:v>
                </c:pt>
                <c:pt idx="116">
                  <c:v>11985</c:v>
                </c:pt>
                <c:pt idx="117">
                  <c:v>11720</c:v>
                </c:pt>
                <c:pt idx="118">
                  <c:v>12471</c:v>
                </c:pt>
                <c:pt idx="119">
                  <c:v>13545</c:v>
                </c:pt>
                <c:pt idx="120">
                  <c:v>13957</c:v>
                </c:pt>
                <c:pt idx="121">
                  <c:v>14056</c:v>
                </c:pt>
                <c:pt idx="122">
                  <c:v>15017</c:v>
                </c:pt>
                <c:pt idx="123">
                  <c:v>16282</c:v>
                </c:pt>
                <c:pt idx="124">
                  <c:v>17287</c:v>
                </c:pt>
                <c:pt idx="125">
                  <c:v>18185</c:v>
                </c:pt>
                <c:pt idx="126">
                  <c:v>19160</c:v>
                </c:pt>
                <c:pt idx="127">
                  <c:v>21123</c:v>
                </c:pt>
                <c:pt idx="128">
                  <c:v>21978</c:v>
                </c:pt>
                <c:pt idx="129">
                  <c:v>23281</c:v>
                </c:pt>
                <c:pt idx="130">
                  <c:v>23885</c:v>
                </c:pt>
                <c:pt idx="131">
                  <c:v>24679</c:v>
                </c:pt>
                <c:pt idx="132">
                  <c:v>25255</c:v>
                </c:pt>
                <c:pt idx="133">
                  <c:v>25224</c:v>
                </c:pt>
                <c:pt idx="134">
                  <c:v>25366</c:v>
                </c:pt>
                <c:pt idx="135">
                  <c:v>25593</c:v>
                </c:pt>
                <c:pt idx="136">
                  <c:v>25196</c:v>
                </c:pt>
                <c:pt idx="137">
                  <c:v>25052</c:v>
                </c:pt>
                <c:pt idx="138">
                  <c:v>24159</c:v>
                </c:pt>
                <c:pt idx="139">
                  <c:v>23294</c:v>
                </c:pt>
                <c:pt idx="140">
                  <c:v>22429</c:v>
                </c:pt>
                <c:pt idx="141">
                  <c:v>21194</c:v>
                </c:pt>
                <c:pt idx="142">
                  <c:v>20968</c:v>
                </c:pt>
                <c:pt idx="143">
                  <c:v>19521</c:v>
                </c:pt>
                <c:pt idx="144">
                  <c:v>18818</c:v>
                </c:pt>
                <c:pt idx="145">
                  <c:v>19530</c:v>
                </c:pt>
                <c:pt idx="146">
                  <c:v>18362</c:v>
                </c:pt>
                <c:pt idx="147">
                  <c:v>17814</c:v>
                </c:pt>
                <c:pt idx="148">
                  <c:v>19215</c:v>
                </c:pt>
                <c:pt idx="149">
                  <c:v>20623</c:v>
                </c:pt>
                <c:pt idx="150">
                  <c:v>20071</c:v>
                </c:pt>
                <c:pt idx="151">
                  <c:v>20513</c:v>
                </c:pt>
                <c:pt idx="152">
                  <c:v>21880</c:v>
                </c:pt>
                <c:pt idx="153">
                  <c:v>22764</c:v>
                </c:pt>
                <c:pt idx="154">
                  <c:v>23197</c:v>
                </c:pt>
                <c:pt idx="155">
                  <c:v>23941</c:v>
                </c:pt>
                <c:pt idx="156">
                  <c:v>24236</c:v>
                </c:pt>
                <c:pt idx="157">
                  <c:v>23866</c:v>
                </c:pt>
                <c:pt idx="158">
                  <c:v>24194</c:v>
                </c:pt>
                <c:pt idx="159">
                  <c:v>24675</c:v>
                </c:pt>
                <c:pt idx="160">
                  <c:v>23787</c:v>
                </c:pt>
                <c:pt idx="161">
                  <c:v>21540</c:v>
                </c:pt>
                <c:pt idx="162">
                  <c:v>22677</c:v>
                </c:pt>
                <c:pt idx="163">
                  <c:v>21844</c:v>
                </c:pt>
                <c:pt idx="164">
                  <c:v>21587</c:v>
                </c:pt>
                <c:pt idx="165">
                  <c:v>22593</c:v>
                </c:pt>
                <c:pt idx="166">
                  <c:v>22480</c:v>
                </c:pt>
                <c:pt idx="167">
                  <c:v>22406</c:v>
                </c:pt>
                <c:pt idx="168">
                  <c:v>22563</c:v>
                </c:pt>
                <c:pt idx="169">
                  <c:v>23197</c:v>
                </c:pt>
                <c:pt idx="170">
                  <c:v>23144</c:v>
                </c:pt>
                <c:pt idx="171">
                  <c:v>24084</c:v>
                </c:pt>
                <c:pt idx="172">
                  <c:v>23868</c:v>
                </c:pt>
                <c:pt idx="173">
                  <c:v>24691</c:v>
                </c:pt>
                <c:pt idx="174">
                  <c:v>24616</c:v>
                </c:pt>
                <c:pt idx="175">
                  <c:v>25743</c:v>
                </c:pt>
                <c:pt idx="176">
                  <c:v>25265</c:v>
                </c:pt>
                <c:pt idx="177">
                  <c:v>25165</c:v>
                </c:pt>
                <c:pt idx="178">
                  <c:v>27314</c:v>
                </c:pt>
                <c:pt idx="179">
                  <c:v>28563</c:v>
                </c:pt>
                <c:pt idx="180">
                  <c:v>28906</c:v>
                </c:pt>
                <c:pt idx="181">
                  <c:v>30371</c:v>
                </c:pt>
                <c:pt idx="182">
                  <c:v>32098</c:v>
                </c:pt>
                <c:pt idx="183">
                  <c:v>32161</c:v>
                </c:pt>
                <c:pt idx="184">
                  <c:v>34554</c:v>
                </c:pt>
                <c:pt idx="185">
                  <c:v>34530</c:v>
                </c:pt>
                <c:pt idx="186">
                  <c:v>35178</c:v>
                </c:pt>
                <c:pt idx="187">
                  <c:v>34938</c:v>
                </c:pt>
                <c:pt idx="188">
                  <c:v>35815</c:v>
                </c:pt>
                <c:pt idx="189">
                  <c:v>37142</c:v>
                </c:pt>
                <c:pt idx="190">
                  <c:v>34507</c:v>
                </c:pt>
                <c:pt idx="191">
                  <c:v>34314</c:v>
                </c:pt>
                <c:pt idx="192">
                  <c:v>34740</c:v>
                </c:pt>
                <c:pt idx="193">
                  <c:v>33630</c:v>
                </c:pt>
                <c:pt idx="194">
                  <c:v>32617</c:v>
                </c:pt>
                <c:pt idx="195">
                  <c:v>32459</c:v>
                </c:pt>
                <c:pt idx="196">
                  <c:v>31285</c:v>
                </c:pt>
                <c:pt idx="197">
                  <c:v>32028</c:v>
                </c:pt>
              </c:numCache>
            </c:numRef>
          </c:val>
          <c:smooth val="0"/>
        </c:ser>
        <c:ser>
          <c:idx val="2"/>
          <c:order val="2"/>
          <c:tx>
            <c:v>Total dwellings</c:v>
          </c:tx>
          <c:spPr>
            <a:ln w="28575" cap="rnd">
              <a:solidFill>
                <a:schemeClr val="tx2">
                  <a:lumMod val="50000"/>
                </a:schemeClr>
              </a:solidFill>
              <a:round/>
            </a:ln>
            <a:effectLst/>
          </c:spPr>
          <c:marker>
            <c:symbol val="none"/>
          </c:marker>
          <c:cat>
            <c:numRef>
              <c:f>Data1!$E$209:$E$406</c:f>
              <c:numCache>
                <c:formatCode>mmm\-yyyy</c:formatCode>
                <c:ptCount val="198"/>
                <c:pt idx="0">
                  <c:v>36526</c:v>
                </c:pt>
                <c:pt idx="1">
                  <c:v>36557</c:v>
                </c:pt>
                <c:pt idx="2">
                  <c:v>36586</c:v>
                </c:pt>
                <c:pt idx="3">
                  <c:v>36617</c:v>
                </c:pt>
                <c:pt idx="4">
                  <c:v>36647</c:v>
                </c:pt>
                <c:pt idx="5">
                  <c:v>36678</c:v>
                </c:pt>
                <c:pt idx="6">
                  <c:v>36708</c:v>
                </c:pt>
                <c:pt idx="7">
                  <c:v>36739</c:v>
                </c:pt>
                <c:pt idx="8">
                  <c:v>36770</c:v>
                </c:pt>
                <c:pt idx="9">
                  <c:v>36800</c:v>
                </c:pt>
                <c:pt idx="10">
                  <c:v>36831</c:v>
                </c:pt>
                <c:pt idx="11">
                  <c:v>36861</c:v>
                </c:pt>
                <c:pt idx="12">
                  <c:v>36892</c:v>
                </c:pt>
                <c:pt idx="13">
                  <c:v>36923</c:v>
                </c:pt>
                <c:pt idx="14">
                  <c:v>36951</c:v>
                </c:pt>
                <c:pt idx="15">
                  <c:v>36982</c:v>
                </c:pt>
                <c:pt idx="16">
                  <c:v>37012</c:v>
                </c:pt>
                <c:pt idx="17">
                  <c:v>37043</c:v>
                </c:pt>
                <c:pt idx="18">
                  <c:v>37073</c:v>
                </c:pt>
                <c:pt idx="19">
                  <c:v>37104</c:v>
                </c:pt>
                <c:pt idx="20">
                  <c:v>37135</c:v>
                </c:pt>
                <c:pt idx="21">
                  <c:v>37165</c:v>
                </c:pt>
                <c:pt idx="22">
                  <c:v>37196</c:v>
                </c:pt>
                <c:pt idx="23">
                  <c:v>37226</c:v>
                </c:pt>
                <c:pt idx="24">
                  <c:v>37257</c:v>
                </c:pt>
                <c:pt idx="25">
                  <c:v>37288</c:v>
                </c:pt>
                <c:pt idx="26">
                  <c:v>37316</c:v>
                </c:pt>
                <c:pt idx="27">
                  <c:v>37347</c:v>
                </c:pt>
                <c:pt idx="28">
                  <c:v>37377</c:v>
                </c:pt>
                <c:pt idx="29">
                  <c:v>37408</c:v>
                </c:pt>
                <c:pt idx="30">
                  <c:v>37438</c:v>
                </c:pt>
                <c:pt idx="31">
                  <c:v>37469</c:v>
                </c:pt>
                <c:pt idx="32">
                  <c:v>37500</c:v>
                </c:pt>
                <c:pt idx="33">
                  <c:v>37530</c:v>
                </c:pt>
                <c:pt idx="34">
                  <c:v>37561</c:v>
                </c:pt>
                <c:pt idx="35">
                  <c:v>37591</c:v>
                </c:pt>
                <c:pt idx="36">
                  <c:v>37622</c:v>
                </c:pt>
                <c:pt idx="37">
                  <c:v>37653</c:v>
                </c:pt>
                <c:pt idx="38">
                  <c:v>37681</c:v>
                </c:pt>
                <c:pt idx="39">
                  <c:v>37712</c:v>
                </c:pt>
                <c:pt idx="40">
                  <c:v>37742</c:v>
                </c:pt>
                <c:pt idx="41">
                  <c:v>37773</c:v>
                </c:pt>
                <c:pt idx="42">
                  <c:v>37803</c:v>
                </c:pt>
                <c:pt idx="43">
                  <c:v>37834</c:v>
                </c:pt>
                <c:pt idx="44">
                  <c:v>37865</c:v>
                </c:pt>
                <c:pt idx="45">
                  <c:v>37895</c:v>
                </c:pt>
                <c:pt idx="46">
                  <c:v>37926</c:v>
                </c:pt>
                <c:pt idx="47">
                  <c:v>37956</c:v>
                </c:pt>
                <c:pt idx="48">
                  <c:v>37987</c:v>
                </c:pt>
                <c:pt idx="49">
                  <c:v>38018</c:v>
                </c:pt>
                <c:pt idx="50">
                  <c:v>38047</c:v>
                </c:pt>
                <c:pt idx="51">
                  <c:v>38078</c:v>
                </c:pt>
                <c:pt idx="52">
                  <c:v>38108</c:v>
                </c:pt>
                <c:pt idx="53">
                  <c:v>38139</c:v>
                </c:pt>
                <c:pt idx="54">
                  <c:v>38169</c:v>
                </c:pt>
                <c:pt idx="55">
                  <c:v>38200</c:v>
                </c:pt>
                <c:pt idx="56">
                  <c:v>38231</c:v>
                </c:pt>
                <c:pt idx="57">
                  <c:v>38261</c:v>
                </c:pt>
                <c:pt idx="58">
                  <c:v>38292</c:v>
                </c:pt>
                <c:pt idx="59">
                  <c:v>38322</c:v>
                </c:pt>
                <c:pt idx="60">
                  <c:v>38353</c:v>
                </c:pt>
                <c:pt idx="61">
                  <c:v>38384</c:v>
                </c:pt>
                <c:pt idx="62">
                  <c:v>38412</c:v>
                </c:pt>
                <c:pt idx="63">
                  <c:v>38443</c:v>
                </c:pt>
                <c:pt idx="64">
                  <c:v>38473</c:v>
                </c:pt>
                <c:pt idx="65">
                  <c:v>38504</c:v>
                </c:pt>
                <c:pt idx="66">
                  <c:v>38534</c:v>
                </c:pt>
                <c:pt idx="67">
                  <c:v>38565</c:v>
                </c:pt>
                <c:pt idx="68">
                  <c:v>38596</c:v>
                </c:pt>
                <c:pt idx="69">
                  <c:v>38626</c:v>
                </c:pt>
                <c:pt idx="70">
                  <c:v>38657</c:v>
                </c:pt>
                <c:pt idx="71">
                  <c:v>38687</c:v>
                </c:pt>
                <c:pt idx="72">
                  <c:v>38718</c:v>
                </c:pt>
                <c:pt idx="73">
                  <c:v>38749</c:v>
                </c:pt>
                <c:pt idx="74">
                  <c:v>38777</c:v>
                </c:pt>
                <c:pt idx="75">
                  <c:v>38808</c:v>
                </c:pt>
                <c:pt idx="76">
                  <c:v>38838</c:v>
                </c:pt>
                <c:pt idx="77">
                  <c:v>38869</c:v>
                </c:pt>
                <c:pt idx="78">
                  <c:v>38899</c:v>
                </c:pt>
                <c:pt idx="79">
                  <c:v>38930</c:v>
                </c:pt>
                <c:pt idx="80">
                  <c:v>38961</c:v>
                </c:pt>
                <c:pt idx="81">
                  <c:v>38991</c:v>
                </c:pt>
                <c:pt idx="82">
                  <c:v>39022</c:v>
                </c:pt>
                <c:pt idx="83">
                  <c:v>39052</c:v>
                </c:pt>
                <c:pt idx="84">
                  <c:v>39083</c:v>
                </c:pt>
                <c:pt idx="85">
                  <c:v>39114</c:v>
                </c:pt>
                <c:pt idx="86">
                  <c:v>39142</c:v>
                </c:pt>
                <c:pt idx="87">
                  <c:v>39173</c:v>
                </c:pt>
                <c:pt idx="88">
                  <c:v>39203</c:v>
                </c:pt>
                <c:pt idx="89">
                  <c:v>39234</c:v>
                </c:pt>
                <c:pt idx="90">
                  <c:v>39264</c:v>
                </c:pt>
                <c:pt idx="91">
                  <c:v>39295</c:v>
                </c:pt>
                <c:pt idx="92">
                  <c:v>39326</c:v>
                </c:pt>
                <c:pt idx="93">
                  <c:v>39356</c:v>
                </c:pt>
                <c:pt idx="94">
                  <c:v>39387</c:v>
                </c:pt>
                <c:pt idx="95">
                  <c:v>39417</c:v>
                </c:pt>
                <c:pt idx="96">
                  <c:v>39448</c:v>
                </c:pt>
                <c:pt idx="97">
                  <c:v>39479</c:v>
                </c:pt>
                <c:pt idx="98">
                  <c:v>39508</c:v>
                </c:pt>
                <c:pt idx="99">
                  <c:v>39539</c:v>
                </c:pt>
                <c:pt idx="100">
                  <c:v>39569</c:v>
                </c:pt>
                <c:pt idx="101">
                  <c:v>39600</c:v>
                </c:pt>
                <c:pt idx="102">
                  <c:v>39630</c:v>
                </c:pt>
                <c:pt idx="103">
                  <c:v>39661</c:v>
                </c:pt>
                <c:pt idx="104">
                  <c:v>39692</c:v>
                </c:pt>
                <c:pt idx="105">
                  <c:v>39722</c:v>
                </c:pt>
                <c:pt idx="106">
                  <c:v>39753</c:v>
                </c:pt>
                <c:pt idx="107">
                  <c:v>39783</c:v>
                </c:pt>
                <c:pt idx="108">
                  <c:v>39814</c:v>
                </c:pt>
                <c:pt idx="109">
                  <c:v>39845</c:v>
                </c:pt>
                <c:pt idx="110">
                  <c:v>39873</c:v>
                </c:pt>
                <c:pt idx="111">
                  <c:v>39904</c:v>
                </c:pt>
                <c:pt idx="112">
                  <c:v>39934</c:v>
                </c:pt>
                <c:pt idx="113">
                  <c:v>39965</c:v>
                </c:pt>
                <c:pt idx="114">
                  <c:v>39995</c:v>
                </c:pt>
                <c:pt idx="115">
                  <c:v>40026</c:v>
                </c:pt>
                <c:pt idx="116">
                  <c:v>40057</c:v>
                </c:pt>
                <c:pt idx="117">
                  <c:v>40087</c:v>
                </c:pt>
                <c:pt idx="118">
                  <c:v>40118</c:v>
                </c:pt>
                <c:pt idx="119">
                  <c:v>40148</c:v>
                </c:pt>
                <c:pt idx="120">
                  <c:v>40179</c:v>
                </c:pt>
                <c:pt idx="121">
                  <c:v>40210</c:v>
                </c:pt>
                <c:pt idx="122">
                  <c:v>40238</c:v>
                </c:pt>
                <c:pt idx="123">
                  <c:v>40269</c:v>
                </c:pt>
                <c:pt idx="124">
                  <c:v>40299</c:v>
                </c:pt>
                <c:pt idx="125">
                  <c:v>40330</c:v>
                </c:pt>
                <c:pt idx="126">
                  <c:v>40360</c:v>
                </c:pt>
                <c:pt idx="127">
                  <c:v>40391</c:v>
                </c:pt>
                <c:pt idx="128">
                  <c:v>40422</c:v>
                </c:pt>
                <c:pt idx="129">
                  <c:v>40452</c:v>
                </c:pt>
                <c:pt idx="130">
                  <c:v>40483</c:v>
                </c:pt>
                <c:pt idx="131">
                  <c:v>40513</c:v>
                </c:pt>
                <c:pt idx="132">
                  <c:v>40544</c:v>
                </c:pt>
                <c:pt idx="133">
                  <c:v>40575</c:v>
                </c:pt>
                <c:pt idx="134">
                  <c:v>40603</c:v>
                </c:pt>
                <c:pt idx="135">
                  <c:v>40634</c:v>
                </c:pt>
                <c:pt idx="136">
                  <c:v>40664</c:v>
                </c:pt>
                <c:pt idx="137">
                  <c:v>40695</c:v>
                </c:pt>
                <c:pt idx="138">
                  <c:v>40725</c:v>
                </c:pt>
                <c:pt idx="139">
                  <c:v>40756</c:v>
                </c:pt>
                <c:pt idx="140">
                  <c:v>40787</c:v>
                </c:pt>
                <c:pt idx="141">
                  <c:v>40817</c:v>
                </c:pt>
                <c:pt idx="142">
                  <c:v>40848</c:v>
                </c:pt>
                <c:pt idx="143">
                  <c:v>40878</c:v>
                </c:pt>
                <c:pt idx="144">
                  <c:v>40909</c:v>
                </c:pt>
                <c:pt idx="145">
                  <c:v>40940</c:v>
                </c:pt>
                <c:pt idx="146">
                  <c:v>40969</c:v>
                </c:pt>
                <c:pt idx="147">
                  <c:v>41000</c:v>
                </c:pt>
                <c:pt idx="148">
                  <c:v>41030</c:v>
                </c:pt>
                <c:pt idx="149">
                  <c:v>41061</c:v>
                </c:pt>
                <c:pt idx="150">
                  <c:v>41091</c:v>
                </c:pt>
                <c:pt idx="151">
                  <c:v>41122</c:v>
                </c:pt>
                <c:pt idx="152">
                  <c:v>41153</c:v>
                </c:pt>
                <c:pt idx="153">
                  <c:v>41183</c:v>
                </c:pt>
                <c:pt idx="154">
                  <c:v>41214</c:v>
                </c:pt>
                <c:pt idx="155">
                  <c:v>41244</c:v>
                </c:pt>
                <c:pt idx="156">
                  <c:v>41275</c:v>
                </c:pt>
                <c:pt idx="157">
                  <c:v>41306</c:v>
                </c:pt>
                <c:pt idx="158">
                  <c:v>41334</c:v>
                </c:pt>
                <c:pt idx="159">
                  <c:v>41365</c:v>
                </c:pt>
                <c:pt idx="160">
                  <c:v>41395</c:v>
                </c:pt>
                <c:pt idx="161">
                  <c:v>41426</c:v>
                </c:pt>
                <c:pt idx="162">
                  <c:v>41456</c:v>
                </c:pt>
                <c:pt idx="163">
                  <c:v>41487</c:v>
                </c:pt>
                <c:pt idx="164">
                  <c:v>41518</c:v>
                </c:pt>
                <c:pt idx="165">
                  <c:v>41548</c:v>
                </c:pt>
                <c:pt idx="166">
                  <c:v>41579</c:v>
                </c:pt>
                <c:pt idx="167">
                  <c:v>41609</c:v>
                </c:pt>
                <c:pt idx="168">
                  <c:v>41640</c:v>
                </c:pt>
                <c:pt idx="169">
                  <c:v>41671</c:v>
                </c:pt>
                <c:pt idx="170">
                  <c:v>41699</c:v>
                </c:pt>
                <c:pt idx="171">
                  <c:v>41730</c:v>
                </c:pt>
                <c:pt idx="172">
                  <c:v>41760</c:v>
                </c:pt>
                <c:pt idx="173">
                  <c:v>41791</c:v>
                </c:pt>
                <c:pt idx="174">
                  <c:v>41821</c:v>
                </c:pt>
                <c:pt idx="175">
                  <c:v>41852</c:v>
                </c:pt>
                <c:pt idx="176">
                  <c:v>41883</c:v>
                </c:pt>
                <c:pt idx="177">
                  <c:v>41913</c:v>
                </c:pt>
                <c:pt idx="178">
                  <c:v>41944</c:v>
                </c:pt>
                <c:pt idx="179">
                  <c:v>41974</c:v>
                </c:pt>
                <c:pt idx="180">
                  <c:v>42005</c:v>
                </c:pt>
                <c:pt idx="181">
                  <c:v>42036</c:v>
                </c:pt>
                <c:pt idx="182">
                  <c:v>42064</c:v>
                </c:pt>
                <c:pt idx="183">
                  <c:v>42095</c:v>
                </c:pt>
                <c:pt idx="184">
                  <c:v>42125</c:v>
                </c:pt>
                <c:pt idx="185">
                  <c:v>42156</c:v>
                </c:pt>
                <c:pt idx="186">
                  <c:v>42186</c:v>
                </c:pt>
                <c:pt idx="187">
                  <c:v>42217</c:v>
                </c:pt>
                <c:pt idx="188">
                  <c:v>42248</c:v>
                </c:pt>
                <c:pt idx="189">
                  <c:v>42278</c:v>
                </c:pt>
                <c:pt idx="190">
                  <c:v>42309</c:v>
                </c:pt>
                <c:pt idx="191">
                  <c:v>42339</c:v>
                </c:pt>
                <c:pt idx="192">
                  <c:v>42370</c:v>
                </c:pt>
                <c:pt idx="193">
                  <c:v>42401</c:v>
                </c:pt>
                <c:pt idx="194">
                  <c:v>42430</c:v>
                </c:pt>
                <c:pt idx="195">
                  <c:v>42461</c:v>
                </c:pt>
                <c:pt idx="196">
                  <c:v>42491</c:v>
                </c:pt>
                <c:pt idx="197">
                  <c:v>42522</c:v>
                </c:pt>
              </c:numCache>
            </c:numRef>
          </c:cat>
          <c:val>
            <c:numRef>
              <c:f>Data1!$H$209:$H$406</c:f>
              <c:numCache>
                <c:formatCode>_-* #,##0_-;\-* #,##0_-;_-* "-"??_-;_-@_-</c:formatCode>
                <c:ptCount val="198"/>
                <c:pt idx="0">
                  <c:v>47716</c:v>
                </c:pt>
                <c:pt idx="1">
                  <c:v>48770</c:v>
                </c:pt>
                <c:pt idx="2">
                  <c:v>50095</c:v>
                </c:pt>
                <c:pt idx="3">
                  <c:v>50334</c:v>
                </c:pt>
                <c:pt idx="4">
                  <c:v>50184</c:v>
                </c:pt>
                <c:pt idx="5">
                  <c:v>50134</c:v>
                </c:pt>
                <c:pt idx="6">
                  <c:v>49587</c:v>
                </c:pt>
                <c:pt idx="7">
                  <c:v>47521</c:v>
                </c:pt>
                <c:pt idx="8">
                  <c:v>45970</c:v>
                </c:pt>
                <c:pt idx="9">
                  <c:v>44075</c:v>
                </c:pt>
                <c:pt idx="10">
                  <c:v>42605</c:v>
                </c:pt>
                <c:pt idx="11">
                  <c:v>41360</c:v>
                </c:pt>
                <c:pt idx="12">
                  <c:v>39719</c:v>
                </c:pt>
                <c:pt idx="13">
                  <c:v>38068</c:v>
                </c:pt>
                <c:pt idx="14">
                  <c:v>36502</c:v>
                </c:pt>
                <c:pt idx="15">
                  <c:v>35303</c:v>
                </c:pt>
                <c:pt idx="16">
                  <c:v>35530</c:v>
                </c:pt>
                <c:pt idx="17">
                  <c:v>35579</c:v>
                </c:pt>
                <c:pt idx="18">
                  <c:v>35965</c:v>
                </c:pt>
                <c:pt idx="19">
                  <c:v>38920</c:v>
                </c:pt>
                <c:pt idx="20">
                  <c:v>40647</c:v>
                </c:pt>
                <c:pt idx="21">
                  <c:v>42965</c:v>
                </c:pt>
                <c:pt idx="22">
                  <c:v>43650</c:v>
                </c:pt>
                <c:pt idx="23">
                  <c:v>44533</c:v>
                </c:pt>
                <c:pt idx="24">
                  <c:v>45426</c:v>
                </c:pt>
                <c:pt idx="25">
                  <c:v>46047</c:v>
                </c:pt>
                <c:pt idx="26">
                  <c:v>46181</c:v>
                </c:pt>
                <c:pt idx="27">
                  <c:v>48100</c:v>
                </c:pt>
                <c:pt idx="28">
                  <c:v>48875</c:v>
                </c:pt>
                <c:pt idx="29">
                  <c:v>49539</c:v>
                </c:pt>
                <c:pt idx="30">
                  <c:v>49965</c:v>
                </c:pt>
                <c:pt idx="31">
                  <c:v>50044</c:v>
                </c:pt>
                <c:pt idx="32">
                  <c:v>49606</c:v>
                </c:pt>
                <c:pt idx="33">
                  <c:v>49924</c:v>
                </c:pt>
                <c:pt idx="34">
                  <c:v>49435</c:v>
                </c:pt>
                <c:pt idx="35">
                  <c:v>49058</c:v>
                </c:pt>
                <c:pt idx="36">
                  <c:v>48785</c:v>
                </c:pt>
                <c:pt idx="37">
                  <c:v>48454</c:v>
                </c:pt>
                <c:pt idx="38">
                  <c:v>48328</c:v>
                </c:pt>
                <c:pt idx="39">
                  <c:v>48519</c:v>
                </c:pt>
                <c:pt idx="40">
                  <c:v>48114</c:v>
                </c:pt>
                <c:pt idx="41">
                  <c:v>48211</c:v>
                </c:pt>
                <c:pt idx="42">
                  <c:v>47995</c:v>
                </c:pt>
                <c:pt idx="43">
                  <c:v>45939</c:v>
                </c:pt>
                <c:pt idx="44">
                  <c:v>46515</c:v>
                </c:pt>
                <c:pt idx="45">
                  <c:v>46924</c:v>
                </c:pt>
                <c:pt idx="46">
                  <c:v>47166</c:v>
                </c:pt>
                <c:pt idx="47">
                  <c:v>46988</c:v>
                </c:pt>
                <c:pt idx="48">
                  <c:v>47426</c:v>
                </c:pt>
                <c:pt idx="49">
                  <c:v>47324</c:v>
                </c:pt>
                <c:pt idx="50">
                  <c:v>47759</c:v>
                </c:pt>
                <c:pt idx="51">
                  <c:v>46928</c:v>
                </c:pt>
                <c:pt idx="52">
                  <c:v>46833</c:v>
                </c:pt>
                <c:pt idx="53">
                  <c:v>46410</c:v>
                </c:pt>
                <c:pt idx="54">
                  <c:v>46248</c:v>
                </c:pt>
                <c:pt idx="55">
                  <c:v>46166</c:v>
                </c:pt>
                <c:pt idx="56">
                  <c:v>45086</c:v>
                </c:pt>
                <c:pt idx="57">
                  <c:v>43513</c:v>
                </c:pt>
                <c:pt idx="58">
                  <c:v>43482</c:v>
                </c:pt>
                <c:pt idx="59">
                  <c:v>42976</c:v>
                </c:pt>
                <c:pt idx="60">
                  <c:v>41628</c:v>
                </c:pt>
                <c:pt idx="61">
                  <c:v>41415</c:v>
                </c:pt>
                <c:pt idx="62">
                  <c:v>40939</c:v>
                </c:pt>
                <c:pt idx="63">
                  <c:v>40923</c:v>
                </c:pt>
                <c:pt idx="64">
                  <c:v>41095</c:v>
                </c:pt>
                <c:pt idx="65">
                  <c:v>42537</c:v>
                </c:pt>
                <c:pt idx="66">
                  <c:v>41487</c:v>
                </c:pt>
                <c:pt idx="67">
                  <c:v>40913</c:v>
                </c:pt>
                <c:pt idx="68">
                  <c:v>40639</c:v>
                </c:pt>
                <c:pt idx="69">
                  <c:v>40109</c:v>
                </c:pt>
                <c:pt idx="70">
                  <c:v>40022</c:v>
                </c:pt>
                <c:pt idx="71">
                  <c:v>39652</c:v>
                </c:pt>
                <c:pt idx="72">
                  <c:v>39766</c:v>
                </c:pt>
                <c:pt idx="73">
                  <c:v>39555</c:v>
                </c:pt>
                <c:pt idx="74">
                  <c:v>39823</c:v>
                </c:pt>
                <c:pt idx="75">
                  <c:v>38643</c:v>
                </c:pt>
                <c:pt idx="76">
                  <c:v>38328</c:v>
                </c:pt>
                <c:pt idx="77">
                  <c:v>36533</c:v>
                </c:pt>
                <c:pt idx="78">
                  <c:v>37425</c:v>
                </c:pt>
                <c:pt idx="79">
                  <c:v>38104</c:v>
                </c:pt>
                <c:pt idx="80">
                  <c:v>38058</c:v>
                </c:pt>
                <c:pt idx="81">
                  <c:v>38269</c:v>
                </c:pt>
                <c:pt idx="82">
                  <c:v>38240</c:v>
                </c:pt>
                <c:pt idx="83">
                  <c:v>38248</c:v>
                </c:pt>
                <c:pt idx="84">
                  <c:v>37955</c:v>
                </c:pt>
                <c:pt idx="85">
                  <c:v>38362</c:v>
                </c:pt>
                <c:pt idx="86">
                  <c:v>37878</c:v>
                </c:pt>
                <c:pt idx="87">
                  <c:v>38258</c:v>
                </c:pt>
                <c:pt idx="88">
                  <c:v>38035</c:v>
                </c:pt>
                <c:pt idx="89">
                  <c:v>37968</c:v>
                </c:pt>
                <c:pt idx="90">
                  <c:v>37972</c:v>
                </c:pt>
                <c:pt idx="91">
                  <c:v>38169</c:v>
                </c:pt>
                <c:pt idx="92">
                  <c:v>38855</c:v>
                </c:pt>
                <c:pt idx="93">
                  <c:v>40082</c:v>
                </c:pt>
                <c:pt idx="94">
                  <c:v>40305</c:v>
                </c:pt>
                <c:pt idx="95">
                  <c:v>40726</c:v>
                </c:pt>
                <c:pt idx="96">
                  <c:v>41437</c:v>
                </c:pt>
                <c:pt idx="97">
                  <c:v>41806</c:v>
                </c:pt>
                <c:pt idx="98">
                  <c:v>41866</c:v>
                </c:pt>
                <c:pt idx="99">
                  <c:v>42339</c:v>
                </c:pt>
                <c:pt idx="100">
                  <c:v>42358</c:v>
                </c:pt>
                <c:pt idx="101">
                  <c:v>42914</c:v>
                </c:pt>
                <c:pt idx="102">
                  <c:v>43351</c:v>
                </c:pt>
                <c:pt idx="103">
                  <c:v>43008</c:v>
                </c:pt>
                <c:pt idx="104">
                  <c:v>42976</c:v>
                </c:pt>
                <c:pt idx="105">
                  <c:v>42338</c:v>
                </c:pt>
                <c:pt idx="106">
                  <c:v>41605</c:v>
                </c:pt>
                <c:pt idx="107">
                  <c:v>41461</c:v>
                </c:pt>
                <c:pt idx="108">
                  <c:v>41046</c:v>
                </c:pt>
                <c:pt idx="109">
                  <c:v>40882</c:v>
                </c:pt>
                <c:pt idx="110">
                  <c:v>41698</c:v>
                </c:pt>
                <c:pt idx="111">
                  <c:v>41598</c:v>
                </c:pt>
                <c:pt idx="112">
                  <c:v>41219</c:v>
                </c:pt>
                <c:pt idx="113">
                  <c:v>41788</c:v>
                </c:pt>
                <c:pt idx="114">
                  <c:v>42747</c:v>
                </c:pt>
                <c:pt idx="115">
                  <c:v>43294</c:v>
                </c:pt>
                <c:pt idx="116">
                  <c:v>44482</c:v>
                </c:pt>
                <c:pt idx="117">
                  <c:v>45473</c:v>
                </c:pt>
                <c:pt idx="118">
                  <c:v>47329</c:v>
                </c:pt>
                <c:pt idx="119">
                  <c:v>49247</c:v>
                </c:pt>
                <c:pt idx="120">
                  <c:v>50344</c:v>
                </c:pt>
                <c:pt idx="121">
                  <c:v>51457</c:v>
                </c:pt>
                <c:pt idx="122">
                  <c:v>53471</c:v>
                </c:pt>
                <c:pt idx="123">
                  <c:v>55098</c:v>
                </c:pt>
                <c:pt idx="124">
                  <c:v>56657</c:v>
                </c:pt>
                <c:pt idx="125">
                  <c:v>57701</c:v>
                </c:pt>
                <c:pt idx="126">
                  <c:v>58731</c:v>
                </c:pt>
                <c:pt idx="127">
                  <c:v>60611</c:v>
                </c:pt>
                <c:pt idx="128">
                  <c:v>61286</c:v>
                </c:pt>
                <c:pt idx="129">
                  <c:v>61900</c:v>
                </c:pt>
                <c:pt idx="130">
                  <c:v>62160</c:v>
                </c:pt>
                <c:pt idx="131">
                  <c:v>62738</c:v>
                </c:pt>
                <c:pt idx="132">
                  <c:v>63113</c:v>
                </c:pt>
                <c:pt idx="133">
                  <c:v>62401</c:v>
                </c:pt>
                <c:pt idx="134">
                  <c:v>62025</c:v>
                </c:pt>
                <c:pt idx="135">
                  <c:v>61683</c:v>
                </c:pt>
                <c:pt idx="136">
                  <c:v>61063</c:v>
                </c:pt>
                <c:pt idx="137">
                  <c:v>60516</c:v>
                </c:pt>
                <c:pt idx="138">
                  <c:v>59178</c:v>
                </c:pt>
                <c:pt idx="139">
                  <c:v>58084</c:v>
                </c:pt>
                <c:pt idx="140">
                  <c:v>56833</c:v>
                </c:pt>
                <c:pt idx="141">
                  <c:v>54847</c:v>
                </c:pt>
                <c:pt idx="142">
                  <c:v>54314</c:v>
                </c:pt>
                <c:pt idx="143">
                  <c:v>52295</c:v>
                </c:pt>
                <c:pt idx="144">
                  <c:v>51065</c:v>
                </c:pt>
                <c:pt idx="145">
                  <c:v>51425</c:v>
                </c:pt>
                <c:pt idx="146">
                  <c:v>49464</c:v>
                </c:pt>
                <c:pt idx="147">
                  <c:v>48440</c:v>
                </c:pt>
                <c:pt idx="148">
                  <c:v>49500</c:v>
                </c:pt>
                <c:pt idx="149">
                  <c:v>50485</c:v>
                </c:pt>
                <c:pt idx="150">
                  <c:v>49497</c:v>
                </c:pt>
                <c:pt idx="151">
                  <c:v>49614</c:v>
                </c:pt>
                <c:pt idx="152">
                  <c:v>50635</c:v>
                </c:pt>
                <c:pt idx="153">
                  <c:v>51710</c:v>
                </c:pt>
                <c:pt idx="154">
                  <c:v>51758</c:v>
                </c:pt>
                <c:pt idx="155">
                  <c:v>52139</c:v>
                </c:pt>
                <c:pt idx="156">
                  <c:v>52299</c:v>
                </c:pt>
                <c:pt idx="157">
                  <c:v>51701</c:v>
                </c:pt>
                <c:pt idx="158">
                  <c:v>51619</c:v>
                </c:pt>
                <c:pt idx="159">
                  <c:v>52346</c:v>
                </c:pt>
                <c:pt idx="160">
                  <c:v>51568</c:v>
                </c:pt>
                <c:pt idx="161">
                  <c:v>48884</c:v>
                </c:pt>
                <c:pt idx="162">
                  <c:v>49832</c:v>
                </c:pt>
                <c:pt idx="163">
                  <c:v>48786</c:v>
                </c:pt>
                <c:pt idx="164">
                  <c:v>48415</c:v>
                </c:pt>
                <c:pt idx="165">
                  <c:v>49447</c:v>
                </c:pt>
                <c:pt idx="166">
                  <c:v>49624</c:v>
                </c:pt>
                <c:pt idx="167">
                  <c:v>49798</c:v>
                </c:pt>
                <c:pt idx="168">
                  <c:v>50591</c:v>
                </c:pt>
                <c:pt idx="169">
                  <c:v>51656</c:v>
                </c:pt>
                <c:pt idx="170">
                  <c:v>52179</c:v>
                </c:pt>
                <c:pt idx="171">
                  <c:v>53431</c:v>
                </c:pt>
                <c:pt idx="172">
                  <c:v>53475</c:v>
                </c:pt>
                <c:pt idx="173">
                  <c:v>54835</c:v>
                </c:pt>
                <c:pt idx="174">
                  <c:v>55264</c:v>
                </c:pt>
                <c:pt idx="175">
                  <c:v>56817</c:v>
                </c:pt>
                <c:pt idx="176">
                  <c:v>56726</c:v>
                </c:pt>
                <c:pt idx="177">
                  <c:v>57055</c:v>
                </c:pt>
                <c:pt idx="178">
                  <c:v>59305</c:v>
                </c:pt>
                <c:pt idx="179">
                  <c:v>60886</c:v>
                </c:pt>
                <c:pt idx="180">
                  <c:v>61092</c:v>
                </c:pt>
                <c:pt idx="181">
                  <c:v>62799</c:v>
                </c:pt>
                <c:pt idx="182">
                  <c:v>65008</c:v>
                </c:pt>
                <c:pt idx="183">
                  <c:v>65297</c:v>
                </c:pt>
                <c:pt idx="184">
                  <c:v>67472</c:v>
                </c:pt>
                <c:pt idx="185">
                  <c:v>67636</c:v>
                </c:pt>
                <c:pt idx="186">
                  <c:v>68395</c:v>
                </c:pt>
                <c:pt idx="187">
                  <c:v>68265</c:v>
                </c:pt>
                <c:pt idx="188">
                  <c:v>69607</c:v>
                </c:pt>
                <c:pt idx="189">
                  <c:v>71002</c:v>
                </c:pt>
                <c:pt idx="190">
                  <c:v>68548</c:v>
                </c:pt>
                <c:pt idx="191">
                  <c:v>68618</c:v>
                </c:pt>
                <c:pt idx="192">
                  <c:v>69069</c:v>
                </c:pt>
                <c:pt idx="193">
                  <c:v>68207</c:v>
                </c:pt>
                <c:pt idx="194">
                  <c:v>67430</c:v>
                </c:pt>
                <c:pt idx="195">
                  <c:v>67555</c:v>
                </c:pt>
                <c:pt idx="196">
                  <c:v>66902</c:v>
                </c:pt>
                <c:pt idx="197">
                  <c:v>67938</c:v>
                </c:pt>
              </c:numCache>
            </c:numRef>
          </c:val>
          <c:smooth val="0"/>
        </c:ser>
        <c:dLbls>
          <c:showLegendKey val="0"/>
          <c:showVal val="0"/>
          <c:showCatName val="0"/>
          <c:showSerName val="0"/>
          <c:showPercent val="0"/>
          <c:showBubbleSize val="0"/>
        </c:dLbls>
        <c:smooth val="0"/>
        <c:axId val="771287904"/>
        <c:axId val="771288464"/>
      </c:lineChart>
      <c:dateAx>
        <c:axId val="771287904"/>
        <c:scaling>
          <c:orientation val="minMax"/>
        </c:scaling>
        <c:delete val="0"/>
        <c:axPos val="b"/>
        <c:numFmt formatCode="mmm\-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1288464"/>
        <c:crosses val="autoZero"/>
        <c:auto val="1"/>
        <c:lblOffset val="100"/>
        <c:baseTimeUnit val="months"/>
        <c:majorUnit val="6"/>
        <c:majorTimeUnit val="months"/>
      </c:dateAx>
      <c:valAx>
        <c:axId val="771288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Annual Building Approvals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1287904"/>
        <c:crosses val="autoZero"/>
        <c:crossBetween val="between"/>
      </c:valAx>
      <c:spPr>
        <a:solidFill>
          <a:schemeClr val="bg2"/>
        </a:solidFill>
        <a:ln>
          <a:noFill/>
        </a:ln>
        <a:effectLst/>
      </c:spPr>
    </c:plotArea>
    <c:legend>
      <c:legendPos val="b"/>
      <c:layout>
        <c:manualLayout>
          <c:xMode val="edge"/>
          <c:yMode val="edge"/>
          <c:x val="0.69766011893916635"/>
          <c:y val="1.2666877288487095E-2"/>
          <c:w val="0.26550944734159637"/>
          <c:h val="0.105131476620977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Building</a:t>
            </a:r>
            <a:r>
              <a:rPr lang="en-AU" baseline="0"/>
              <a:t> Approvals </a:t>
            </a:r>
          </a:p>
          <a:p>
            <a:pPr algn="l">
              <a:defRPr/>
            </a:pPr>
            <a:r>
              <a:rPr lang="en-AU" baseline="0"/>
              <a:t>New Dwellings 2015/16</a:t>
            </a:r>
          </a:p>
          <a:p>
            <a:pPr algn="l">
              <a:defRPr/>
            </a:pPr>
            <a:r>
              <a:rPr lang="en-AU"/>
              <a:t>Metropolitan Melbourne</a:t>
            </a:r>
          </a:p>
          <a:p>
            <a:pPr algn="l">
              <a:defRPr/>
            </a:pPr>
            <a:r>
              <a:rPr lang="en-AU" sz="1000"/>
              <a:t>Source:</a:t>
            </a:r>
            <a:r>
              <a:rPr lang="en-AU" sz="1000" baseline="0"/>
              <a:t> ABS building approvals</a:t>
            </a:r>
            <a:endParaRPr lang="en-AU" sz="1000"/>
          </a:p>
        </c:rich>
      </c:tx>
      <c:layout>
        <c:manualLayout>
          <c:xMode val="edge"/>
          <c:yMode val="edge"/>
          <c:x val="9.0121963594677146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399641819845956"/>
          <c:y val="0.15534851710311456"/>
          <c:w val="0.72102507591502807"/>
          <c:h val="0.83384971829661358"/>
        </c:manualLayout>
      </c:layout>
      <c:barChart>
        <c:barDir val="bar"/>
        <c:grouping val="stacked"/>
        <c:varyColors val="0"/>
        <c:ser>
          <c:idx val="0"/>
          <c:order val="0"/>
          <c:tx>
            <c:strRef>
              <c:f>Dwellings!$B$1</c:f>
              <c:strCache>
                <c:ptCount val="1"/>
                <c:pt idx="0">
                  <c:v>Houses</c:v>
                </c:pt>
              </c:strCache>
            </c:strRef>
          </c:tx>
          <c:spPr>
            <a:solidFill>
              <a:schemeClr val="accent1">
                <a:lumMod val="50000"/>
              </a:schemeClr>
            </a:solidFill>
            <a:ln>
              <a:solidFill>
                <a:schemeClr val="tx1"/>
              </a:solidFill>
            </a:ln>
            <a:effectLst/>
          </c:spPr>
          <c:invertIfNegative val="0"/>
          <c:cat>
            <c:strRef>
              <c:f>Dwellings!$A$2:$A$42</c:f>
              <c:strCache>
                <c:ptCount val="41"/>
                <c:pt idx="0">
                  <c:v>Central Subregion</c:v>
                </c:pt>
                <c:pt idx="1">
                  <c:v>Maribyrnong </c:v>
                </c:pt>
                <c:pt idx="2">
                  <c:v>Melbourne </c:v>
                </c:pt>
                <c:pt idx="3">
                  <c:v>Port Phillip </c:v>
                </c:pt>
                <c:pt idx="4">
                  <c:v>Stonnington </c:v>
                </c:pt>
                <c:pt idx="5">
                  <c:v>Yarra </c:v>
                </c:pt>
                <c:pt idx="7">
                  <c:v>Eastern Subregion</c:v>
                </c:pt>
                <c:pt idx="8">
                  <c:v>Boroondara </c:v>
                </c:pt>
                <c:pt idx="9">
                  <c:v>Knox </c:v>
                </c:pt>
                <c:pt idx="10">
                  <c:v>Manningham </c:v>
                </c:pt>
                <c:pt idx="11">
                  <c:v>Maroondah </c:v>
                </c:pt>
                <c:pt idx="12">
                  <c:v>Monash </c:v>
                </c:pt>
                <c:pt idx="13">
                  <c:v>Whitehorse </c:v>
                </c:pt>
                <c:pt idx="14">
                  <c:v>Yarra Ranges </c:v>
                </c:pt>
                <c:pt idx="16">
                  <c:v>Northern Subregion</c:v>
                </c:pt>
                <c:pt idx="17">
                  <c:v>Banyule </c:v>
                </c:pt>
                <c:pt idx="18">
                  <c:v>Darebin </c:v>
                </c:pt>
                <c:pt idx="19">
                  <c:v>Hume </c:v>
                </c:pt>
                <c:pt idx="20">
                  <c:v>Mitchell </c:v>
                </c:pt>
                <c:pt idx="21">
                  <c:v>Moreland </c:v>
                </c:pt>
                <c:pt idx="22">
                  <c:v>Nillumbik </c:v>
                </c:pt>
                <c:pt idx="23">
                  <c:v>Whittlesea </c:v>
                </c:pt>
                <c:pt idx="25">
                  <c:v>Southern Subregion</c:v>
                </c:pt>
                <c:pt idx="26">
                  <c:v>Bayside </c:v>
                </c:pt>
                <c:pt idx="27">
                  <c:v>Cardinia </c:v>
                </c:pt>
                <c:pt idx="28">
                  <c:v>Casey </c:v>
                </c:pt>
                <c:pt idx="29">
                  <c:v>Frankston </c:v>
                </c:pt>
                <c:pt idx="30">
                  <c:v>Glen Eira </c:v>
                </c:pt>
                <c:pt idx="31">
                  <c:v>Greater Dandenong </c:v>
                </c:pt>
                <c:pt idx="32">
                  <c:v>Kingston </c:v>
                </c:pt>
                <c:pt idx="33">
                  <c:v>Mornington Peninsula </c:v>
                </c:pt>
                <c:pt idx="35">
                  <c:v>Western Subregion</c:v>
                </c:pt>
                <c:pt idx="36">
                  <c:v>Brimbank </c:v>
                </c:pt>
                <c:pt idx="37">
                  <c:v>Hobsons Bay </c:v>
                </c:pt>
                <c:pt idx="38">
                  <c:v>Melton </c:v>
                </c:pt>
                <c:pt idx="39">
                  <c:v>Moonee Valley </c:v>
                </c:pt>
                <c:pt idx="40">
                  <c:v>Wyndham </c:v>
                </c:pt>
              </c:strCache>
            </c:strRef>
          </c:cat>
          <c:val>
            <c:numRef>
              <c:f>Dwellings!$B$2:$B$42</c:f>
              <c:numCache>
                <c:formatCode>0</c:formatCode>
                <c:ptCount val="41"/>
                <c:pt idx="1">
                  <c:v>189</c:v>
                </c:pt>
                <c:pt idx="2">
                  <c:v>19</c:v>
                </c:pt>
                <c:pt idx="3">
                  <c:v>57</c:v>
                </c:pt>
                <c:pt idx="4">
                  <c:v>111</c:v>
                </c:pt>
                <c:pt idx="5">
                  <c:v>53</c:v>
                </c:pt>
                <c:pt idx="8">
                  <c:v>564</c:v>
                </c:pt>
                <c:pt idx="9">
                  <c:v>471</c:v>
                </c:pt>
                <c:pt idx="10">
                  <c:v>362</c:v>
                </c:pt>
                <c:pt idx="11">
                  <c:v>382</c:v>
                </c:pt>
                <c:pt idx="12">
                  <c:v>747</c:v>
                </c:pt>
                <c:pt idx="13">
                  <c:v>588</c:v>
                </c:pt>
                <c:pt idx="14">
                  <c:v>686</c:v>
                </c:pt>
                <c:pt idx="17">
                  <c:v>337</c:v>
                </c:pt>
                <c:pt idx="18">
                  <c:v>321</c:v>
                </c:pt>
                <c:pt idx="19">
                  <c:v>2225</c:v>
                </c:pt>
                <c:pt idx="20">
                  <c:v>437</c:v>
                </c:pt>
                <c:pt idx="21">
                  <c:v>541</c:v>
                </c:pt>
                <c:pt idx="22">
                  <c:v>150</c:v>
                </c:pt>
                <c:pt idx="23">
                  <c:v>2233</c:v>
                </c:pt>
                <c:pt idx="26">
                  <c:v>401</c:v>
                </c:pt>
                <c:pt idx="27">
                  <c:v>1587</c:v>
                </c:pt>
                <c:pt idx="28">
                  <c:v>3649</c:v>
                </c:pt>
                <c:pt idx="29">
                  <c:v>289</c:v>
                </c:pt>
                <c:pt idx="30">
                  <c:v>354</c:v>
                </c:pt>
                <c:pt idx="31">
                  <c:v>615</c:v>
                </c:pt>
                <c:pt idx="32">
                  <c:v>378</c:v>
                </c:pt>
                <c:pt idx="33">
                  <c:v>988</c:v>
                </c:pt>
                <c:pt idx="36">
                  <c:v>436</c:v>
                </c:pt>
                <c:pt idx="37">
                  <c:v>245</c:v>
                </c:pt>
                <c:pt idx="38">
                  <c:v>1893</c:v>
                </c:pt>
                <c:pt idx="39">
                  <c:v>373</c:v>
                </c:pt>
                <c:pt idx="40">
                  <c:v>3836</c:v>
                </c:pt>
              </c:numCache>
            </c:numRef>
          </c:val>
        </c:ser>
        <c:ser>
          <c:idx val="1"/>
          <c:order val="1"/>
          <c:tx>
            <c:strRef>
              <c:f>Dwellings!$C$1</c:f>
              <c:strCache>
                <c:ptCount val="1"/>
                <c:pt idx="0">
                  <c:v>Semi-detached, row or terrace houses, townhouses - One storey</c:v>
                </c:pt>
              </c:strCache>
            </c:strRef>
          </c:tx>
          <c:spPr>
            <a:solidFill>
              <a:srgbClr val="FF5B5F"/>
            </a:solidFill>
            <a:ln>
              <a:solidFill>
                <a:schemeClr val="tx1"/>
              </a:solidFill>
            </a:ln>
            <a:effectLst/>
          </c:spPr>
          <c:invertIfNegative val="0"/>
          <c:cat>
            <c:strRef>
              <c:f>Dwellings!$A$2:$A$42</c:f>
              <c:strCache>
                <c:ptCount val="41"/>
                <c:pt idx="0">
                  <c:v>Central Subregion</c:v>
                </c:pt>
                <c:pt idx="1">
                  <c:v>Maribyrnong </c:v>
                </c:pt>
                <c:pt idx="2">
                  <c:v>Melbourne </c:v>
                </c:pt>
                <c:pt idx="3">
                  <c:v>Port Phillip </c:v>
                </c:pt>
                <c:pt idx="4">
                  <c:v>Stonnington </c:v>
                </c:pt>
                <c:pt idx="5">
                  <c:v>Yarra </c:v>
                </c:pt>
                <c:pt idx="7">
                  <c:v>Eastern Subregion</c:v>
                </c:pt>
                <c:pt idx="8">
                  <c:v>Boroondara </c:v>
                </c:pt>
                <c:pt idx="9">
                  <c:v>Knox </c:v>
                </c:pt>
                <c:pt idx="10">
                  <c:v>Manningham </c:v>
                </c:pt>
                <c:pt idx="11">
                  <c:v>Maroondah </c:v>
                </c:pt>
                <c:pt idx="12">
                  <c:v>Monash </c:v>
                </c:pt>
                <c:pt idx="13">
                  <c:v>Whitehorse </c:v>
                </c:pt>
                <c:pt idx="14">
                  <c:v>Yarra Ranges </c:v>
                </c:pt>
                <c:pt idx="16">
                  <c:v>Northern Subregion</c:v>
                </c:pt>
                <c:pt idx="17">
                  <c:v>Banyule </c:v>
                </c:pt>
                <c:pt idx="18">
                  <c:v>Darebin </c:v>
                </c:pt>
                <c:pt idx="19">
                  <c:v>Hume </c:v>
                </c:pt>
                <c:pt idx="20">
                  <c:v>Mitchell </c:v>
                </c:pt>
                <c:pt idx="21">
                  <c:v>Moreland </c:v>
                </c:pt>
                <c:pt idx="22">
                  <c:v>Nillumbik </c:v>
                </c:pt>
                <c:pt idx="23">
                  <c:v>Whittlesea </c:v>
                </c:pt>
                <c:pt idx="25">
                  <c:v>Southern Subregion</c:v>
                </c:pt>
                <c:pt idx="26">
                  <c:v>Bayside </c:v>
                </c:pt>
                <c:pt idx="27">
                  <c:v>Cardinia </c:v>
                </c:pt>
                <c:pt idx="28">
                  <c:v>Casey </c:v>
                </c:pt>
                <c:pt idx="29">
                  <c:v>Frankston </c:v>
                </c:pt>
                <c:pt idx="30">
                  <c:v>Glen Eira </c:v>
                </c:pt>
                <c:pt idx="31">
                  <c:v>Greater Dandenong </c:v>
                </c:pt>
                <c:pt idx="32">
                  <c:v>Kingston </c:v>
                </c:pt>
                <c:pt idx="33">
                  <c:v>Mornington Peninsula </c:v>
                </c:pt>
                <c:pt idx="35">
                  <c:v>Western Subregion</c:v>
                </c:pt>
                <c:pt idx="36">
                  <c:v>Brimbank </c:v>
                </c:pt>
                <c:pt idx="37">
                  <c:v>Hobsons Bay </c:v>
                </c:pt>
                <c:pt idx="38">
                  <c:v>Melton </c:v>
                </c:pt>
                <c:pt idx="39">
                  <c:v>Moonee Valley </c:v>
                </c:pt>
                <c:pt idx="40">
                  <c:v>Wyndham </c:v>
                </c:pt>
              </c:strCache>
            </c:strRef>
          </c:cat>
          <c:val>
            <c:numRef>
              <c:f>Dwellings!$C$2:$C$42</c:f>
              <c:numCache>
                <c:formatCode>0</c:formatCode>
                <c:ptCount val="41"/>
                <c:pt idx="1">
                  <c:v>16</c:v>
                </c:pt>
                <c:pt idx="2">
                  <c:v>9</c:v>
                </c:pt>
                <c:pt idx="3" formatCode="General">
                  <c:v>0</c:v>
                </c:pt>
                <c:pt idx="4">
                  <c:v>6</c:v>
                </c:pt>
                <c:pt idx="5">
                  <c:v>4</c:v>
                </c:pt>
                <c:pt idx="8">
                  <c:v>21</c:v>
                </c:pt>
                <c:pt idx="9">
                  <c:v>15</c:v>
                </c:pt>
                <c:pt idx="10">
                  <c:v>6</c:v>
                </c:pt>
                <c:pt idx="11">
                  <c:v>12</c:v>
                </c:pt>
                <c:pt idx="12">
                  <c:v>18</c:v>
                </c:pt>
                <c:pt idx="13">
                  <c:v>23</c:v>
                </c:pt>
                <c:pt idx="14">
                  <c:v>22</c:v>
                </c:pt>
                <c:pt idx="17">
                  <c:v>39</c:v>
                </c:pt>
                <c:pt idx="18">
                  <c:v>39</c:v>
                </c:pt>
                <c:pt idx="19">
                  <c:v>31</c:v>
                </c:pt>
                <c:pt idx="20">
                  <c:v>11</c:v>
                </c:pt>
                <c:pt idx="21">
                  <c:v>52</c:v>
                </c:pt>
                <c:pt idx="22" formatCode="General">
                  <c:v>0</c:v>
                </c:pt>
                <c:pt idx="23">
                  <c:v>125</c:v>
                </c:pt>
                <c:pt idx="26">
                  <c:v>16</c:v>
                </c:pt>
                <c:pt idx="27">
                  <c:v>28</c:v>
                </c:pt>
                <c:pt idx="28">
                  <c:v>150</c:v>
                </c:pt>
                <c:pt idx="29">
                  <c:v>51</c:v>
                </c:pt>
                <c:pt idx="30">
                  <c:v>11</c:v>
                </c:pt>
                <c:pt idx="31">
                  <c:v>15</c:v>
                </c:pt>
                <c:pt idx="32">
                  <c:v>22</c:v>
                </c:pt>
                <c:pt idx="33">
                  <c:v>182</c:v>
                </c:pt>
                <c:pt idx="36">
                  <c:v>56</c:v>
                </c:pt>
                <c:pt idx="37">
                  <c:v>52</c:v>
                </c:pt>
                <c:pt idx="38">
                  <c:v>30</c:v>
                </c:pt>
                <c:pt idx="39">
                  <c:v>61</c:v>
                </c:pt>
                <c:pt idx="40">
                  <c:v>71</c:v>
                </c:pt>
              </c:numCache>
            </c:numRef>
          </c:val>
        </c:ser>
        <c:ser>
          <c:idx val="2"/>
          <c:order val="2"/>
          <c:tx>
            <c:strRef>
              <c:f>Dwellings!$D$1</c:f>
              <c:strCache>
                <c:ptCount val="1"/>
                <c:pt idx="0">
                  <c:v>Semi-detached, row or terrace houses, townhouses - Two or more storeys</c:v>
                </c:pt>
              </c:strCache>
            </c:strRef>
          </c:tx>
          <c:spPr>
            <a:solidFill>
              <a:srgbClr val="C00000"/>
            </a:solidFill>
            <a:ln>
              <a:solidFill>
                <a:schemeClr val="tx1"/>
              </a:solidFill>
            </a:ln>
            <a:effectLst/>
          </c:spPr>
          <c:invertIfNegative val="0"/>
          <c:cat>
            <c:strRef>
              <c:f>Dwellings!$A$2:$A$42</c:f>
              <c:strCache>
                <c:ptCount val="41"/>
                <c:pt idx="0">
                  <c:v>Central Subregion</c:v>
                </c:pt>
                <c:pt idx="1">
                  <c:v>Maribyrnong </c:v>
                </c:pt>
                <c:pt idx="2">
                  <c:v>Melbourne </c:v>
                </c:pt>
                <c:pt idx="3">
                  <c:v>Port Phillip </c:v>
                </c:pt>
                <c:pt idx="4">
                  <c:v>Stonnington </c:v>
                </c:pt>
                <c:pt idx="5">
                  <c:v>Yarra </c:v>
                </c:pt>
                <c:pt idx="7">
                  <c:v>Eastern Subregion</c:v>
                </c:pt>
                <c:pt idx="8">
                  <c:v>Boroondara </c:v>
                </c:pt>
                <c:pt idx="9">
                  <c:v>Knox </c:v>
                </c:pt>
                <c:pt idx="10">
                  <c:v>Manningham </c:v>
                </c:pt>
                <c:pt idx="11">
                  <c:v>Maroondah </c:v>
                </c:pt>
                <c:pt idx="12">
                  <c:v>Monash </c:v>
                </c:pt>
                <c:pt idx="13">
                  <c:v>Whitehorse </c:v>
                </c:pt>
                <c:pt idx="14">
                  <c:v>Yarra Ranges </c:v>
                </c:pt>
                <c:pt idx="16">
                  <c:v>Northern Subregion</c:v>
                </c:pt>
                <c:pt idx="17">
                  <c:v>Banyule </c:v>
                </c:pt>
                <c:pt idx="18">
                  <c:v>Darebin </c:v>
                </c:pt>
                <c:pt idx="19">
                  <c:v>Hume </c:v>
                </c:pt>
                <c:pt idx="20">
                  <c:v>Mitchell </c:v>
                </c:pt>
                <c:pt idx="21">
                  <c:v>Moreland </c:v>
                </c:pt>
                <c:pt idx="22">
                  <c:v>Nillumbik </c:v>
                </c:pt>
                <c:pt idx="23">
                  <c:v>Whittlesea </c:v>
                </c:pt>
                <c:pt idx="25">
                  <c:v>Southern Subregion</c:v>
                </c:pt>
                <c:pt idx="26">
                  <c:v>Bayside </c:v>
                </c:pt>
                <c:pt idx="27">
                  <c:v>Cardinia </c:v>
                </c:pt>
                <c:pt idx="28">
                  <c:v>Casey </c:v>
                </c:pt>
                <c:pt idx="29">
                  <c:v>Frankston </c:v>
                </c:pt>
                <c:pt idx="30">
                  <c:v>Glen Eira </c:v>
                </c:pt>
                <c:pt idx="31">
                  <c:v>Greater Dandenong </c:v>
                </c:pt>
                <c:pt idx="32">
                  <c:v>Kingston </c:v>
                </c:pt>
                <c:pt idx="33">
                  <c:v>Mornington Peninsula </c:v>
                </c:pt>
                <c:pt idx="35">
                  <c:v>Western Subregion</c:v>
                </c:pt>
                <c:pt idx="36">
                  <c:v>Brimbank </c:v>
                </c:pt>
                <c:pt idx="37">
                  <c:v>Hobsons Bay </c:v>
                </c:pt>
                <c:pt idx="38">
                  <c:v>Melton </c:v>
                </c:pt>
                <c:pt idx="39">
                  <c:v>Moonee Valley </c:v>
                </c:pt>
                <c:pt idx="40">
                  <c:v>Wyndham </c:v>
                </c:pt>
              </c:strCache>
            </c:strRef>
          </c:cat>
          <c:val>
            <c:numRef>
              <c:f>Dwellings!$D$2:$D$42</c:f>
              <c:numCache>
                <c:formatCode>0</c:formatCode>
                <c:ptCount val="41"/>
                <c:pt idx="1">
                  <c:v>307</c:v>
                </c:pt>
                <c:pt idx="2">
                  <c:v>42</c:v>
                </c:pt>
                <c:pt idx="3">
                  <c:v>321</c:v>
                </c:pt>
                <c:pt idx="4">
                  <c:v>173</c:v>
                </c:pt>
                <c:pt idx="5">
                  <c:v>67</c:v>
                </c:pt>
                <c:pt idx="8">
                  <c:v>192</c:v>
                </c:pt>
                <c:pt idx="9">
                  <c:v>321</c:v>
                </c:pt>
                <c:pt idx="10">
                  <c:v>401</c:v>
                </c:pt>
                <c:pt idx="11">
                  <c:v>183</c:v>
                </c:pt>
                <c:pt idx="12">
                  <c:v>464</c:v>
                </c:pt>
                <c:pt idx="13">
                  <c:v>325</c:v>
                </c:pt>
                <c:pt idx="14">
                  <c:v>79</c:v>
                </c:pt>
                <c:pt idx="17">
                  <c:v>404</c:v>
                </c:pt>
                <c:pt idx="18">
                  <c:v>502</c:v>
                </c:pt>
                <c:pt idx="19">
                  <c:v>379</c:v>
                </c:pt>
                <c:pt idx="20">
                  <c:v>13</c:v>
                </c:pt>
                <c:pt idx="21">
                  <c:v>951</c:v>
                </c:pt>
                <c:pt idx="22">
                  <c:v>27</c:v>
                </c:pt>
                <c:pt idx="23">
                  <c:v>384</c:v>
                </c:pt>
                <c:pt idx="26">
                  <c:v>244</c:v>
                </c:pt>
                <c:pt idx="27">
                  <c:v>193</c:v>
                </c:pt>
                <c:pt idx="28">
                  <c:v>181</c:v>
                </c:pt>
                <c:pt idx="29">
                  <c:v>134</c:v>
                </c:pt>
                <c:pt idx="30">
                  <c:v>278</c:v>
                </c:pt>
                <c:pt idx="31">
                  <c:v>351</c:v>
                </c:pt>
                <c:pt idx="32">
                  <c:v>239</c:v>
                </c:pt>
                <c:pt idx="33">
                  <c:v>287</c:v>
                </c:pt>
                <c:pt idx="36">
                  <c:v>410</c:v>
                </c:pt>
                <c:pt idx="37">
                  <c:v>355</c:v>
                </c:pt>
                <c:pt idx="38">
                  <c:v>46</c:v>
                </c:pt>
                <c:pt idx="39">
                  <c:v>342</c:v>
                </c:pt>
                <c:pt idx="40">
                  <c:v>182</c:v>
                </c:pt>
              </c:numCache>
            </c:numRef>
          </c:val>
        </c:ser>
        <c:ser>
          <c:idx val="3"/>
          <c:order val="3"/>
          <c:tx>
            <c:strRef>
              <c:f>Dwellings!$E$1</c:f>
              <c:strCache>
                <c:ptCount val="1"/>
                <c:pt idx="0">
                  <c:v>Flats units or apartments - In a one or two storey block</c:v>
                </c:pt>
              </c:strCache>
            </c:strRef>
          </c:tx>
          <c:spPr>
            <a:solidFill>
              <a:schemeClr val="accent6">
                <a:lumMod val="20000"/>
                <a:lumOff val="80000"/>
              </a:schemeClr>
            </a:solidFill>
            <a:ln>
              <a:solidFill>
                <a:schemeClr val="tx1"/>
              </a:solidFill>
            </a:ln>
            <a:effectLst/>
          </c:spPr>
          <c:invertIfNegative val="0"/>
          <c:cat>
            <c:strRef>
              <c:f>Dwellings!$A$2:$A$42</c:f>
              <c:strCache>
                <c:ptCount val="41"/>
                <c:pt idx="0">
                  <c:v>Central Subregion</c:v>
                </c:pt>
                <c:pt idx="1">
                  <c:v>Maribyrnong </c:v>
                </c:pt>
                <c:pt idx="2">
                  <c:v>Melbourne </c:v>
                </c:pt>
                <c:pt idx="3">
                  <c:v>Port Phillip </c:v>
                </c:pt>
                <c:pt idx="4">
                  <c:v>Stonnington </c:v>
                </c:pt>
                <c:pt idx="5">
                  <c:v>Yarra </c:v>
                </c:pt>
                <c:pt idx="7">
                  <c:v>Eastern Subregion</c:v>
                </c:pt>
                <c:pt idx="8">
                  <c:v>Boroondara </c:v>
                </c:pt>
                <c:pt idx="9">
                  <c:v>Knox </c:v>
                </c:pt>
                <c:pt idx="10">
                  <c:v>Manningham </c:v>
                </c:pt>
                <c:pt idx="11">
                  <c:v>Maroondah </c:v>
                </c:pt>
                <c:pt idx="12">
                  <c:v>Monash </c:v>
                </c:pt>
                <c:pt idx="13">
                  <c:v>Whitehorse </c:v>
                </c:pt>
                <c:pt idx="14">
                  <c:v>Yarra Ranges </c:v>
                </c:pt>
                <c:pt idx="16">
                  <c:v>Northern Subregion</c:v>
                </c:pt>
                <c:pt idx="17">
                  <c:v>Banyule </c:v>
                </c:pt>
                <c:pt idx="18">
                  <c:v>Darebin </c:v>
                </c:pt>
                <c:pt idx="19">
                  <c:v>Hume </c:v>
                </c:pt>
                <c:pt idx="20">
                  <c:v>Mitchell </c:v>
                </c:pt>
                <c:pt idx="21">
                  <c:v>Moreland </c:v>
                </c:pt>
                <c:pt idx="22">
                  <c:v>Nillumbik </c:v>
                </c:pt>
                <c:pt idx="23">
                  <c:v>Whittlesea </c:v>
                </c:pt>
                <c:pt idx="25">
                  <c:v>Southern Subregion</c:v>
                </c:pt>
                <c:pt idx="26">
                  <c:v>Bayside </c:v>
                </c:pt>
                <c:pt idx="27">
                  <c:v>Cardinia </c:v>
                </c:pt>
                <c:pt idx="28">
                  <c:v>Casey </c:v>
                </c:pt>
                <c:pt idx="29">
                  <c:v>Frankston </c:v>
                </c:pt>
                <c:pt idx="30">
                  <c:v>Glen Eira </c:v>
                </c:pt>
                <c:pt idx="31">
                  <c:v>Greater Dandenong </c:v>
                </c:pt>
                <c:pt idx="32">
                  <c:v>Kingston </c:v>
                </c:pt>
                <c:pt idx="33">
                  <c:v>Mornington Peninsula </c:v>
                </c:pt>
                <c:pt idx="35">
                  <c:v>Western Subregion</c:v>
                </c:pt>
                <c:pt idx="36">
                  <c:v>Brimbank </c:v>
                </c:pt>
                <c:pt idx="37">
                  <c:v>Hobsons Bay </c:v>
                </c:pt>
                <c:pt idx="38">
                  <c:v>Melton </c:v>
                </c:pt>
                <c:pt idx="39">
                  <c:v>Moonee Valley </c:v>
                </c:pt>
                <c:pt idx="40">
                  <c:v>Wyndham </c:v>
                </c:pt>
              </c:strCache>
            </c:strRef>
          </c:cat>
          <c:val>
            <c:numRef>
              <c:f>Dwellings!$E$2:$E$42</c:f>
              <c:numCache>
                <c:formatCode>General</c:formatCode>
                <c:ptCount val="41"/>
                <c:pt idx="1">
                  <c:v>0</c:v>
                </c:pt>
                <c:pt idx="2">
                  <c:v>0</c:v>
                </c:pt>
                <c:pt idx="3" formatCode="0">
                  <c:v>4</c:v>
                </c:pt>
                <c:pt idx="4" formatCode="0">
                  <c:v>10</c:v>
                </c:pt>
                <c:pt idx="5">
                  <c:v>2</c:v>
                </c:pt>
                <c:pt idx="8" formatCode="0">
                  <c:v>37</c:v>
                </c:pt>
                <c:pt idx="9" formatCode="0">
                  <c:v>53</c:v>
                </c:pt>
                <c:pt idx="10" formatCode="0">
                  <c:v>17</c:v>
                </c:pt>
                <c:pt idx="11" formatCode="0">
                  <c:v>19</c:v>
                </c:pt>
                <c:pt idx="12" formatCode="0">
                  <c:v>17</c:v>
                </c:pt>
                <c:pt idx="13" formatCode="0">
                  <c:v>35</c:v>
                </c:pt>
                <c:pt idx="14" formatCode="0">
                  <c:v>9</c:v>
                </c:pt>
                <c:pt idx="17" formatCode="0">
                  <c:v>84</c:v>
                </c:pt>
                <c:pt idx="18" formatCode="0">
                  <c:v>59</c:v>
                </c:pt>
                <c:pt idx="19" formatCode="0">
                  <c:v>27</c:v>
                </c:pt>
                <c:pt idx="20">
                  <c:v>0</c:v>
                </c:pt>
                <c:pt idx="21" formatCode="0">
                  <c:v>43</c:v>
                </c:pt>
                <c:pt idx="22" formatCode="0">
                  <c:v>21</c:v>
                </c:pt>
                <c:pt idx="23" formatCode="0">
                  <c:v>39</c:v>
                </c:pt>
                <c:pt idx="26" formatCode="0">
                  <c:v>7</c:v>
                </c:pt>
                <c:pt idx="27" formatCode="0">
                  <c:v>38</c:v>
                </c:pt>
                <c:pt idx="28" formatCode="0">
                  <c:v>11</c:v>
                </c:pt>
                <c:pt idx="29" formatCode="0">
                  <c:v>25</c:v>
                </c:pt>
                <c:pt idx="30" formatCode="0">
                  <c:v>6</c:v>
                </c:pt>
                <c:pt idx="31" formatCode="0">
                  <c:v>29</c:v>
                </c:pt>
                <c:pt idx="32" formatCode="0">
                  <c:v>108</c:v>
                </c:pt>
                <c:pt idx="33" formatCode="0">
                  <c:v>46</c:v>
                </c:pt>
                <c:pt idx="36" formatCode="0">
                  <c:v>14</c:v>
                </c:pt>
                <c:pt idx="37" formatCode="0">
                  <c:v>26</c:v>
                </c:pt>
                <c:pt idx="38" formatCode="0">
                  <c:v>27</c:v>
                </c:pt>
                <c:pt idx="39" formatCode="0">
                  <c:v>11</c:v>
                </c:pt>
                <c:pt idx="40">
                  <c:v>4</c:v>
                </c:pt>
              </c:numCache>
            </c:numRef>
          </c:val>
        </c:ser>
        <c:ser>
          <c:idx val="4"/>
          <c:order val="4"/>
          <c:tx>
            <c:strRef>
              <c:f>Dwellings!$F$1</c:f>
              <c:strCache>
                <c:ptCount val="1"/>
                <c:pt idx="0">
                  <c:v>Flats units or apartments - In a three storey block</c:v>
                </c:pt>
              </c:strCache>
            </c:strRef>
          </c:tx>
          <c:spPr>
            <a:solidFill>
              <a:schemeClr val="accent6">
                <a:lumMod val="60000"/>
                <a:lumOff val="40000"/>
              </a:schemeClr>
            </a:solidFill>
            <a:ln>
              <a:solidFill>
                <a:schemeClr val="tx1"/>
              </a:solidFill>
            </a:ln>
            <a:effectLst/>
          </c:spPr>
          <c:invertIfNegative val="0"/>
          <c:cat>
            <c:strRef>
              <c:f>Dwellings!$A$2:$A$42</c:f>
              <c:strCache>
                <c:ptCount val="41"/>
                <c:pt idx="0">
                  <c:v>Central Subregion</c:v>
                </c:pt>
                <c:pt idx="1">
                  <c:v>Maribyrnong </c:v>
                </c:pt>
                <c:pt idx="2">
                  <c:v>Melbourne </c:v>
                </c:pt>
                <c:pt idx="3">
                  <c:v>Port Phillip </c:v>
                </c:pt>
                <c:pt idx="4">
                  <c:v>Stonnington </c:v>
                </c:pt>
                <c:pt idx="5">
                  <c:v>Yarra </c:v>
                </c:pt>
                <c:pt idx="7">
                  <c:v>Eastern Subregion</c:v>
                </c:pt>
                <c:pt idx="8">
                  <c:v>Boroondara </c:v>
                </c:pt>
                <c:pt idx="9">
                  <c:v>Knox </c:v>
                </c:pt>
                <c:pt idx="10">
                  <c:v>Manningham </c:v>
                </c:pt>
                <c:pt idx="11">
                  <c:v>Maroondah </c:v>
                </c:pt>
                <c:pt idx="12">
                  <c:v>Monash </c:v>
                </c:pt>
                <c:pt idx="13">
                  <c:v>Whitehorse </c:v>
                </c:pt>
                <c:pt idx="14">
                  <c:v>Yarra Ranges </c:v>
                </c:pt>
                <c:pt idx="16">
                  <c:v>Northern Subregion</c:v>
                </c:pt>
                <c:pt idx="17">
                  <c:v>Banyule </c:v>
                </c:pt>
                <c:pt idx="18">
                  <c:v>Darebin </c:v>
                </c:pt>
                <c:pt idx="19">
                  <c:v>Hume </c:v>
                </c:pt>
                <c:pt idx="20">
                  <c:v>Mitchell </c:v>
                </c:pt>
                <c:pt idx="21">
                  <c:v>Moreland </c:v>
                </c:pt>
                <c:pt idx="22">
                  <c:v>Nillumbik </c:v>
                </c:pt>
                <c:pt idx="23">
                  <c:v>Whittlesea </c:v>
                </c:pt>
                <c:pt idx="25">
                  <c:v>Southern Subregion</c:v>
                </c:pt>
                <c:pt idx="26">
                  <c:v>Bayside </c:v>
                </c:pt>
                <c:pt idx="27">
                  <c:v>Cardinia </c:v>
                </c:pt>
                <c:pt idx="28">
                  <c:v>Casey </c:v>
                </c:pt>
                <c:pt idx="29">
                  <c:v>Frankston </c:v>
                </c:pt>
                <c:pt idx="30">
                  <c:v>Glen Eira </c:v>
                </c:pt>
                <c:pt idx="31">
                  <c:v>Greater Dandenong </c:v>
                </c:pt>
                <c:pt idx="32">
                  <c:v>Kingston </c:v>
                </c:pt>
                <c:pt idx="33">
                  <c:v>Mornington Peninsula </c:v>
                </c:pt>
                <c:pt idx="35">
                  <c:v>Western Subregion</c:v>
                </c:pt>
                <c:pt idx="36">
                  <c:v>Brimbank </c:v>
                </c:pt>
                <c:pt idx="37">
                  <c:v>Hobsons Bay </c:v>
                </c:pt>
                <c:pt idx="38">
                  <c:v>Melton </c:v>
                </c:pt>
                <c:pt idx="39">
                  <c:v>Moonee Valley </c:v>
                </c:pt>
                <c:pt idx="40">
                  <c:v>Wyndham </c:v>
                </c:pt>
              </c:strCache>
            </c:strRef>
          </c:cat>
          <c:val>
            <c:numRef>
              <c:f>Dwellings!$F$2:$F$42</c:f>
              <c:numCache>
                <c:formatCode>0</c:formatCode>
                <c:ptCount val="41"/>
                <c:pt idx="1">
                  <c:v>103</c:v>
                </c:pt>
                <c:pt idx="2">
                  <c:v>11</c:v>
                </c:pt>
                <c:pt idx="3">
                  <c:v>65</c:v>
                </c:pt>
                <c:pt idx="4">
                  <c:v>137</c:v>
                </c:pt>
                <c:pt idx="5">
                  <c:v>35</c:v>
                </c:pt>
                <c:pt idx="8">
                  <c:v>114</c:v>
                </c:pt>
                <c:pt idx="9">
                  <c:v>58</c:v>
                </c:pt>
                <c:pt idx="10">
                  <c:v>59</c:v>
                </c:pt>
                <c:pt idx="11">
                  <c:v>22</c:v>
                </c:pt>
                <c:pt idx="12">
                  <c:v>65</c:v>
                </c:pt>
                <c:pt idx="13">
                  <c:v>118</c:v>
                </c:pt>
                <c:pt idx="14">
                  <c:v>8</c:v>
                </c:pt>
                <c:pt idx="17">
                  <c:v>57</c:v>
                </c:pt>
                <c:pt idx="18">
                  <c:v>95</c:v>
                </c:pt>
                <c:pt idx="19">
                  <c:v>18</c:v>
                </c:pt>
                <c:pt idx="20" formatCode="General">
                  <c:v>0</c:v>
                </c:pt>
                <c:pt idx="21">
                  <c:v>93</c:v>
                </c:pt>
                <c:pt idx="22" formatCode="General">
                  <c:v>0</c:v>
                </c:pt>
                <c:pt idx="23">
                  <c:v>47</c:v>
                </c:pt>
                <c:pt idx="26">
                  <c:v>147</c:v>
                </c:pt>
                <c:pt idx="27">
                  <c:v>14</c:v>
                </c:pt>
                <c:pt idx="28" formatCode="General">
                  <c:v>0</c:v>
                </c:pt>
                <c:pt idx="29">
                  <c:v>36</c:v>
                </c:pt>
                <c:pt idx="30">
                  <c:v>357</c:v>
                </c:pt>
                <c:pt idx="31">
                  <c:v>29</c:v>
                </c:pt>
                <c:pt idx="32">
                  <c:v>37</c:v>
                </c:pt>
                <c:pt idx="33">
                  <c:v>47</c:v>
                </c:pt>
                <c:pt idx="36">
                  <c:v>8</c:v>
                </c:pt>
                <c:pt idx="37">
                  <c:v>17</c:v>
                </c:pt>
                <c:pt idx="38" formatCode="General">
                  <c:v>0</c:v>
                </c:pt>
                <c:pt idx="39">
                  <c:v>67</c:v>
                </c:pt>
                <c:pt idx="40" formatCode="General">
                  <c:v>0</c:v>
                </c:pt>
              </c:numCache>
            </c:numRef>
          </c:val>
        </c:ser>
        <c:ser>
          <c:idx val="5"/>
          <c:order val="5"/>
          <c:tx>
            <c:strRef>
              <c:f>Dwellings!$G$1</c:f>
              <c:strCache>
                <c:ptCount val="1"/>
                <c:pt idx="0">
                  <c:v>Flats units or apartments - In a four or more storey block</c:v>
                </c:pt>
              </c:strCache>
            </c:strRef>
          </c:tx>
          <c:spPr>
            <a:solidFill>
              <a:schemeClr val="accent6">
                <a:lumMod val="75000"/>
              </a:schemeClr>
            </a:solidFill>
            <a:ln>
              <a:solidFill>
                <a:schemeClr val="tx1"/>
              </a:solidFill>
            </a:ln>
            <a:effectLst/>
          </c:spPr>
          <c:invertIfNegative val="0"/>
          <c:cat>
            <c:strRef>
              <c:f>Dwellings!$A$2:$A$42</c:f>
              <c:strCache>
                <c:ptCount val="41"/>
                <c:pt idx="0">
                  <c:v>Central Subregion</c:v>
                </c:pt>
                <c:pt idx="1">
                  <c:v>Maribyrnong </c:v>
                </c:pt>
                <c:pt idx="2">
                  <c:v>Melbourne </c:v>
                </c:pt>
                <c:pt idx="3">
                  <c:v>Port Phillip </c:v>
                </c:pt>
                <c:pt idx="4">
                  <c:v>Stonnington </c:v>
                </c:pt>
                <c:pt idx="5">
                  <c:v>Yarra </c:v>
                </c:pt>
                <c:pt idx="7">
                  <c:v>Eastern Subregion</c:v>
                </c:pt>
                <c:pt idx="8">
                  <c:v>Boroondara </c:v>
                </c:pt>
                <c:pt idx="9">
                  <c:v>Knox </c:v>
                </c:pt>
                <c:pt idx="10">
                  <c:v>Manningham </c:v>
                </c:pt>
                <c:pt idx="11">
                  <c:v>Maroondah </c:v>
                </c:pt>
                <c:pt idx="12">
                  <c:v>Monash </c:v>
                </c:pt>
                <c:pt idx="13">
                  <c:v>Whitehorse </c:v>
                </c:pt>
                <c:pt idx="14">
                  <c:v>Yarra Ranges </c:v>
                </c:pt>
                <c:pt idx="16">
                  <c:v>Northern Subregion</c:v>
                </c:pt>
                <c:pt idx="17">
                  <c:v>Banyule </c:v>
                </c:pt>
                <c:pt idx="18">
                  <c:v>Darebin </c:v>
                </c:pt>
                <c:pt idx="19">
                  <c:v>Hume </c:v>
                </c:pt>
                <c:pt idx="20">
                  <c:v>Mitchell </c:v>
                </c:pt>
                <c:pt idx="21">
                  <c:v>Moreland </c:v>
                </c:pt>
                <c:pt idx="22">
                  <c:v>Nillumbik </c:v>
                </c:pt>
                <c:pt idx="23">
                  <c:v>Whittlesea </c:v>
                </c:pt>
                <c:pt idx="25">
                  <c:v>Southern Subregion</c:v>
                </c:pt>
                <c:pt idx="26">
                  <c:v>Bayside </c:v>
                </c:pt>
                <c:pt idx="27">
                  <c:v>Cardinia </c:v>
                </c:pt>
                <c:pt idx="28">
                  <c:v>Casey </c:v>
                </c:pt>
                <c:pt idx="29">
                  <c:v>Frankston </c:v>
                </c:pt>
                <c:pt idx="30">
                  <c:v>Glen Eira </c:v>
                </c:pt>
                <c:pt idx="31">
                  <c:v>Greater Dandenong </c:v>
                </c:pt>
                <c:pt idx="32">
                  <c:v>Kingston </c:v>
                </c:pt>
                <c:pt idx="33">
                  <c:v>Mornington Peninsula </c:v>
                </c:pt>
                <c:pt idx="35">
                  <c:v>Western Subregion</c:v>
                </c:pt>
                <c:pt idx="36">
                  <c:v>Brimbank </c:v>
                </c:pt>
                <c:pt idx="37">
                  <c:v>Hobsons Bay </c:v>
                </c:pt>
                <c:pt idx="38">
                  <c:v>Melton </c:v>
                </c:pt>
                <c:pt idx="39">
                  <c:v>Moonee Valley </c:v>
                </c:pt>
                <c:pt idx="40">
                  <c:v>Wyndham </c:v>
                </c:pt>
              </c:strCache>
            </c:strRef>
          </c:cat>
          <c:val>
            <c:numRef>
              <c:f>Dwellings!$G$2:$G$42</c:f>
              <c:numCache>
                <c:formatCode>0</c:formatCode>
                <c:ptCount val="41"/>
                <c:pt idx="1">
                  <c:v>1282</c:v>
                </c:pt>
                <c:pt idx="2">
                  <c:v>6681</c:v>
                </c:pt>
                <c:pt idx="3">
                  <c:v>1594</c:v>
                </c:pt>
                <c:pt idx="4">
                  <c:v>1187</c:v>
                </c:pt>
                <c:pt idx="5">
                  <c:v>592</c:v>
                </c:pt>
                <c:pt idx="8">
                  <c:v>258</c:v>
                </c:pt>
                <c:pt idx="10">
                  <c:v>607</c:v>
                </c:pt>
                <c:pt idx="11">
                  <c:v>203</c:v>
                </c:pt>
                <c:pt idx="12">
                  <c:v>161</c:v>
                </c:pt>
                <c:pt idx="13">
                  <c:v>1182</c:v>
                </c:pt>
                <c:pt idx="17">
                  <c:v>644</c:v>
                </c:pt>
                <c:pt idx="18">
                  <c:v>676</c:v>
                </c:pt>
                <c:pt idx="21">
                  <c:v>729</c:v>
                </c:pt>
                <c:pt idx="26">
                  <c:v>78</c:v>
                </c:pt>
                <c:pt idx="30">
                  <c:v>671</c:v>
                </c:pt>
                <c:pt idx="31">
                  <c:v>34</c:v>
                </c:pt>
                <c:pt idx="32">
                  <c:v>427</c:v>
                </c:pt>
                <c:pt idx="36">
                  <c:v>20</c:v>
                </c:pt>
                <c:pt idx="37" formatCode="General">
                  <c:v>83</c:v>
                </c:pt>
                <c:pt idx="38">
                  <c:v>81</c:v>
                </c:pt>
                <c:pt idx="39">
                  <c:v>521</c:v>
                </c:pt>
                <c:pt idx="40" formatCode="General">
                  <c:v>57</c:v>
                </c:pt>
              </c:numCache>
            </c:numRef>
          </c:val>
        </c:ser>
        <c:dLbls>
          <c:showLegendKey val="0"/>
          <c:showVal val="0"/>
          <c:showCatName val="0"/>
          <c:showSerName val="0"/>
          <c:showPercent val="0"/>
          <c:showBubbleSize val="0"/>
        </c:dLbls>
        <c:gapWidth val="20"/>
        <c:overlap val="100"/>
        <c:axId val="763141552"/>
        <c:axId val="790358768"/>
      </c:barChart>
      <c:catAx>
        <c:axId val="7631415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358768"/>
        <c:crosses val="autoZero"/>
        <c:auto val="1"/>
        <c:lblAlgn val="ctr"/>
        <c:lblOffset val="100"/>
        <c:noMultiLvlLbl val="0"/>
      </c:catAx>
      <c:valAx>
        <c:axId val="790358768"/>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3141552"/>
        <c:crosses val="autoZero"/>
        <c:crossBetween val="between"/>
      </c:valAx>
      <c:spPr>
        <a:noFill/>
        <a:ln>
          <a:noFill/>
        </a:ln>
        <a:effectLst/>
      </c:spPr>
    </c:plotArea>
    <c:legend>
      <c:legendPos val="b"/>
      <c:layout>
        <c:manualLayout>
          <c:xMode val="edge"/>
          <c:yMode val="edge"/>
          <c:x val="0.34286894373201249"/>
          <c:y val="8.9268225800134815E-4"/>
          <c:w val="0.65594499753833746"/>
          <c:h val="0.1121414587020270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Building</a:t>
            </a:r>
            <a:r>
              <a:rPr lang="en-AU" baseline="0"/>
              <a:t> Approvals -</a:t>
            </a:r>
          </a:p>
          <a:p>
            <a:pPr algn="l">
              <a:defRPr/>
            </a:pPr>
            <a:r>
              <a:rPr lang="en-AU" baseline="0"/>
              <a:t>New Dwellings 2015/16</a:t>
            </a:r>
          </a:p>
          <a:p>
            <a:pPr algn="l">
              <a:defRPr/>
            </a:pPr>
            <a:r>
              <a:rPr lang="en-AU"/>
              <a:t>Regional Victoria</a:t>
            </a:r>
          </a:p>
          <a:p>
            <a:pPr algn="l">
              <a:defRPr/>
            </a:pPr>
            <a:r>
              <a:rPr lang="en-AU" sz="1000"/>
              <a:t>Source:</a:t>
            </a:r>
            <a:r>
              <a:rPr lang="en-AU" sz="1000" baseline="0"/>
              <a:t> ABS building approvals</a:t>
            </a:r>
            <a:endParaRPr lang="en-AU" sz="1000"/>
          </a:p>
        </c:rich>
      </c:tx>
      <c:layout>
        <c:manualLayout>
          <c:xMode val="edge"/>
          <c:yMode val="edge"/>
          <c:x val="9.0121963594677146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7752676317283037"/>
          <c:y val="0.15534851710311456"/>
          <c:w val="0.7410287104749852"/>
          <c:h val="0.83384971829661358"/>
        </c:manualLayout>
      </c:layout>
      <c:barChart>
        <c:barDir val="bar"/>
        <c:grouping val="stacked"/>
        <c:varyColors val="0"/>
        <c:ser>
          <c:idx val="0"/>
          <c:order val="0"/>
          <c:tx>
            <c:strRef>
              <c:f>Dwellings!$B$1</c:f>
              <c:strCache>
                <c:ptCount val="1"/>
                <c:pt idx="0">
                  <c:v>Houses</c:v>
                </c:pt>
              </c:strCache>
            </c:strRef>
          </c:tx>
          <c:spPr>
            <a:solidFill>
              <a:schemeClr val="accent1">
                <a:lumMod val="50000"/>
              </a:schemeClr>
            </a:solidFill>
            <a:ln>
              <a:solidFill>
                <a:schemeClr val="tx1"/>
              </a:solidFill>
            </a:ln>
            <a:effectLst/>
          </c:spPr>
          <c:invertIfNegative val="0"/>
          <c:cat>
            <c:strRef>
              <c:f>Dwellings!$A$44:$A$95</c:f>
              <c:strCache>
                <c:ptCount val="52"/>
                <c:pt idx="0">
                  <c:v>Key Regional Cities</c:v>
                </c:pt>
                <c:pt idx="1">
                  <c:v>Ballarat </c:v>
                </c:pt>
                <c:pt idx="2">
                  <c:v>Greater Bendigo </c:v>
                </c:pt>
                <c:pt idx="3">
                  <c:v>Greater Geelong </c:v>
                </c:pt>
                <c:pt idx="4">
                  <c:v>Greater Shepparton </c:v>
                </c:pt>
                <c:pt idx="5">
                  <c:v>Horsham </c:v>
                </c:pt>
                <c:pt idx="6">
                  <c:v>Latrobe </c:v>
                </c:pt>
                <c:pt idx="7">
                  <c:v>Mildura </c:v>
                </c:pt>
                <c:pt idx="8">
                  <c:v>Wangaratta </c:v>
                </c:pt>
                <c:pt idx="9">
                  <c:v>Warrnambool </c:v>
                </c:pt>
                <c:pt idx="10">
                  <c:v>Wodonga </c:v>
                </c:pt>
                <c:pt idx="12">
                  <c:v>Peri Urban and Coastal LGAs</c:v>
                </c:pt>
                <c:pt idx="13">
                  <c:v>Bass Coast </c:v>
                </c:pt>
                <c:pt idx="14">
                  <c:v>Baw Baw </c:v>
                </c:pt>
                <c:pt idx="15">
                  <c:v>Golden Plains </c:v>
                </c:pt>
                <c:pt idx="16">
                  <c:v>Macedon Ranges </c:v>
                </c:pt>
                <c:pt idx="17">
                  <c:v>Moorabool </c:v>
                </c:pt>
                <c:pt idx="18">
                  <c:v>Murrindindi </c:v>
                </c:pt>
                <c:pt idx="19">
                  <c:v>Queenscliffe </c:v>
                </c:pt>
                <c:pt idx="20">
                  <c:v>South Gippsland </c:v>
                </c:pt>
                <c:pt idx="21">
                  <c:v>Surf Coast </c:v>
                </c:pt>
                <c:pt idx="23">
                  <c:v>Other Regional LGAs</c:v>
                </c:pt>
                <c:pt idx="24">
                  <c:v>Alpine </c:v>
                </c:pt>
                <c:pt idx="25">
                  <c:v>Ararat </c:v>
                </c:pt>
                <c:pt idx="26">
                  <c:v>Benalla </c:v>
                </c:pt>
                <c:pt idx="27">
                  <c:v>Buloke </c:v>
                </c:pt>
                <c:pt idx="28">
                  <c:v>Campaspe </c:v>
                </c:pt>
                <c:pt idx="29">
                  <c:v>Central Goldfields </c:v>
                </c:pt>
                <c:pt idx="30">
                  <c:v>Colac-Otway </c:v>
                </c:pt>
                <c:pt idx="31">
                  <c:v>Corangamite </c:v>
                </c:pt>
                <c:pt idx="32">
                  <c:v>East Gippsland </c:v>
                </c:pt>
                <c:pt idx="33">
                  <c:v>Gannawarra </c:v>
                </c:pt>
                <c:pt idx="34">
                  <c:v>Glenelg </c:v>
                </c:pt>
                <c:pt idx="35">
                  <c:v>Hepburn </c:v>
                </c:pt>
                <c:pt idx="36">
                  <c:v>Hindmarsh </c:v>
                </c:pt>
                <c:pt idx="37">
                  <c:v>Indigo </c:v>
                </c:pt>
                <c:pt idx="38">
                  <c:v>Loddon </c:v>
                </c:pt>
                <c:pt idx="39">
                  <c:v>Mansfield </c:v>
                </c:pt>
                <c:pt idx="40">
                  <c:v>Moira </c:v>
                </c:pt>
                <c:pt idx="41">
                  <c:v>Mount Alexander </c:v>
                </c:pt>
                <c:pt idx="42">
                  <c:v>Moyne </c:v>
                </c:pt>
                <c:pt idx="43">
                  <c:v>Northern Grampians </c:v>
                </c:pt>
                <c:pt idx="44">
                  <c:v>Pyrenees </c:v>
                </c:pt>
                <c:pt idx="45">
                  <c:v>Southern Grampians </c:v>
                </c:pt>
                <c:pt idx="46">
                  <c:v>Strathbogie </c:v>
                </c:pt>
                <c:pt idx="47">
                  <c:v>Swan Hill </c:v>
                </c:pt>
                <c:pt idx="48">
                  <c:v>Towong </c:v>
                </c:pt>
                <c:pt idx="49">
                  <c:v>Wellington </c:v>
                </c:pt>
                <c:pt idx="50">
                  <c:v>West Wimmera </c:v>
                </c:pt>
                <c:pt idx="51">
                  <c:v>Yarriambiack </c:v>
                </c:pt>
              </c:strCache>
            </c:strRef>
          </c:cat>
          <c:val>
            <c:numRef>
              <c:f>Dwellings!$B$44:$B$95</c:f>
              <c:numCache>
                <c:formatCode>0</c:formatCode>
                <c:ptCount val="52"/>
                <c:pt idx="1">
                  <c:v>782</c:v>
                </c:pt>
                <c:pt idx="2">
                  <c:v>832</c:v>
                </c:pt>
                <c:pt idx="3">
                  <c:v>2386</c:v>
                </c:pt>
                <c:pt idx="4">
                  <c:v>309</c:v>
                </c:pt>
                <c:pt idx="5">
                  <c:v>123</c:v>
                </c:pt>
                <c:pt idx="6">
                  <c:v>329</c:v>
                </c:pt>
                <c:pt idx="7">
                  <c:v>306</c:v>
                </c:pt>
                <c:pt idx="8">
                  <c:v>135</c:v>
                </c:pt>
                <c:pt idx="9">
                  <c:v>180</c:v>
                </c:pt>
                <c:pt idx="10">
                  <c:v>379</c:v>
                </c:pt>
                <c:pt idx="13">
                  <c:v>426</c:v>
                </c:pt>
                <c:pt idx="14">
                  <c:v>540</c:v>
                </c:pt>
                <c:pt idx="15">
                  <c:v>195</c:v>
                </c:pt>
                <c:pt idx="16">
                  <c:v>307</c:v>
                </c:pt>
                <c:pt idx="17">
                  <c:v>338</c:v>
                </c:pt>
                <c:pt idx="18">
                  <c:v>122</c:v>
                </c:pt>
                <c:pt idx="19">
                  <c:v>27</c:v>
                </c:pt>
                <c:pt idx="20">
                  <c:v>150</c:v>
                </c:pt>
                <c:pt idx="21">
                  <c:v>387</c:v>
                </c:pt>
                <c:pt idx="24">
                  <c:v>76</c:v>
                </c:pt>
                <c:pt idx="25">
                  <c:v>41</c:v>
                </c:pt>
                <c:pt idx="26">
                  <c:v>45</c:v>
                </c:pt>
                <c:pt idx="27">
                  <c:v>13</c:v>
                </c:pt>
                <c:pt idx="28">
                  <c:v>148</c:v>
                </c:pt>
                <c:pt idx="29">
                  <c:v>67</c:v>
                </c:pt>
                <c:pt idx="30">
                  <c:v>102</c:v>
                </c:pt>
                <c:pt idx="31">
                  <c:v>49</c:v>
                </c:pt>
                <c:pt idx="32">
                  <c:v>301</c:v>
                </c:pt>
                <c:pt idx="33">
                  <c:v>25</c:v>
                </c:pt>
                <c:pt idx="34">
                  <c:v>27</c:v>
                </c:pt>
                <c:pt idx="35">
                  <c:v>110</c:v>
                </c:pt>
                <c:pt idx="36">
                  <c:v>4</c:v>
                </c:pt>
                <c:pt idx="37">
                  <c:v>113</c:v>
                </c:pt>
                <c:pt idx="38">
                  <c:v>25</c:v>
                </c:pt>
                <c:pt idx="39">
                  <c:v>99</c:v>
                </c:pt>
                <c:pt idx="40">
                  <c:v>155</c:v>
                </c:pt>
                <c:pt idx="41">
                  <c:v>109</c:v>
                </c:pt>
                <c:pt idx="42">
                  <c:v>81</c:v>
                </c:pt>
                <c:pt idx="43">
                  <c:v>29</c:v>
                </c:pt>
                <c:pt idx="44">
                  <c:v>43</c:v>
                </c:pt>
                <c:pt idx="45">
                  <c:v>30</c:v>
                </c:pt>
                <c:pt idx="46">
                  <c:v>76</c:v>
                </c:pt>
                <c:pt idx="47">
                  <c:v>60</c:v>
                </c:pt>
                <c:pt idx="48">
                  <c:v>16</c:v>
                </c:pt>
                <c:pt idx="49">
                  <c:v>235</c:v>
                </c:pt>
                <c:pt idx="50">
                  <c:v>8</c:v>
                </c:pt>
                <c:pt idx="51">
                  <c:v>7</c:v>
                </c:pt>
              </c:numCache>
            </c:numRef>
          </c:val>
        </c:ser>
        <c:ser>
          <c:idx val="1"/>
          <c:order val="1"/>
          <c:tx>
            <c:strRef>
              <c:f>Dwellings!$C$1</c:f>
              <c:strCache>
                <c:ptCount val="1"/>
                <c:pt idx="0">
                  <c:v>Semi-detached, row or terrace houses, townhouses - One storey</c:v>
                </c:pt>
              </c:strCache>
            </c:strRef>
          </c:tx>
          <c:spPr>
            <a:solidFill>
              <a:srgbClr val="FF5B5F"/>
            </a:solidFill>
            <a:ln>
              <a:solidFill>
                <a:schemeClr val="tx1"/>
              </a:solidFill>
            </a:ln>
            <a:effectLst/>
          </c:spPr>
          <c:invertIfNegative val="0"/>
          <c:cat>
            <c:strRef>
              <c:f>Dwellings!$A$44:$A$95</c:f>
              <c:strCache>
                <c:ptCount val="52"/>
                <c:pt idx="0">
                  <c:v>Key Regional Cities</c:v>
                </c:pt>
                <c:pt idx="1">
                  <c:v>Ballarat </c:v>
                </c:pt>
                <c:pt idx="2">
                  <c:v>Greater Bendigo </c:v>
                </c:pt>
                <c:pt idx="3">
                  <c:v>Greater Geelong </c:v>
                </c:pt>
                <c:pt idx="4">
                  <c:v>Greater Shepparton </c:v>
                </c:pt>
                <c:pt idx="5">
                  <c:v>Horsham </c:v>
                </c:pt>
                <c:pt idx="6">
                  <c:v>Latrobe </c:v>
                </c:pt>
                <c:pt idx="7">
                  <c:v>Mildura </c:v>
                </c:pt>
                <c:pt idx="8">
                  <c:v>Wangaratta </c:v>
                </c:pt>
                <c:pt idx="9">
                  <c:v>Warrnambool </c:v>
                </c:pt>
                <c:pt idx="10">
                  <c:v>Wodonga </c:v>
                </c:pt>
                <c:pt idx="12">
                  <c:v>Peri Urban and Coastal LGAs</c:v>
                </c:pt>
                <c:pt idx="13">
                  <c:v>Bass Coast </c:v>
                </c:pt>
                <c:pt idx="14">
                  <c:v>Baw Baw </c:v>
                </c:pt>
                <c:pt idx="15">
                  <c:v>Golden Plains </c:v>
                </c:pt>
                <c:pt idx="16">
                  <c:v>Macedon Ranges </c:v>
                </c:pt>
                <c:pt idx="17">
                  <c:v>Moorabool </c:v>
                </c:pt>
                <c:pt idx="18">
                  <c:v>Murrindindi </c:v>
                </c:pt>
                <c:pt idx="19">
                  <c:v>Queenscliffe </c:v>
                </c:pt>
                <c:pt idx="20">
                  <c:v>South Gippsland </c:v>
                </c:pt>
                <c:pt idx="21">
                  <c:v>Surf Coast </c:v>
                </c:pt>
                <c:pt idx="23">
                  <c:v>Other Regional LGAs</c:v>
                </c:pt>
                <c:pt idx="24">
                  <c:v>Alpine </c:v>
                </c:pt>
                <c:pt idx="25">
                  <c:v>Ararat </c:v>
                </c:pt>
                <c:pt idx="26">
                  <c:v>Benalla </c:v>
                </c:pt>
                <c:pt idx="27">
                  <c:v>Buloke </c:v>
                </c:pt>
                <c:pt idx="28">
                  <c:v>Campaspe </c:v>
                </c:pt>
                <c:pt idx="29">
                  <c:v>Central Goldfields </c:v>
                </c:pt>
                <c:pt idx="30">
                  <c:v>Colac-Otway </c:v>
                </c:pt>
                <c:pt idx="31">
                  <c:v>Corangamite </c:v>
                </c:pt>
                <c:pt idx="32">
                  <c:v>East Gippsland </c:v>
                </c:pt>
                <c:pt idx="33">
                  <c:v>Gannawarra </c:v>
                </c:pt>
                <c:pt idx="34">
                  <c:v>Glenelg </c:v>
                </c:pt>
                <c:pt idx="35">
                  <c:v>Hepburn </c:v>
                </c:pt>
                <c:pt idx="36">
                  <c:v>Hindmarsh </c:v>
                </c:pt>
                <c:pt idx="37">
                  <c:v>Indigo </c:v>
                </c:pt>
                <c:pt idx="38">
                  <c:v>Loddon </c:v>
                </c:pt>
                <c:pt idx="39">
                  <c:v>Mansfield </c:v>
                </c:pt>
                <c:pt idx="40">
                  <c:v>Moira </c:v>
                </c:pt>
                <c:pt idx="41">
                  <c:v>Mount Alexander </c:v>
                </c:pt>
                <c:pt idx="42">
                  <c:v>Moyne </c:v>
                </c:pt>
                <c:pt idx="43">
                  <c:v>Northern Grampians </c:v>
                </c:pt>
                <c:pt idx="44">
                  <c:v>Pyrenees </c:v>
                </c:pt>
                <c:pt idx="45">
                  <c:v>Southern Grampians </c:v>
                </c:pt>
                <c:pt idx="46">
                  <c:v>Strathbogie </c:v>
                </c:pt>
                <c:pt idx="47">
                  <c:v>Swan Hill </c:v>
                </c:pt>
                <c:pt idx="48">
                  <c:v>Towong </c:v>
                </c:pt>
                <c:pt idx="49">
                  <c:v>Wellington </c:v>
                </c:pt>
                <c:pt idx="50">
                  <c:v>West Wimmera </c:v>
                </c:pt>
                <c:pt idx="51">
                  <c:v>Yarriambiack </c:v>
                </c:pt>
              </c:strCache>
            </c:strRef>
          </c:cat>
          <c:val>
            <c:numRef>
              <c:f>Dwellings!$C$44:$C$95</c:f>
              <c:numCache>
                <c:formatCode>0</c:formatCode>
                <c:ptCount val="52"/>
                <c:pt idx="1">
                  <c:v>31</c:v>
                </c:pt>
                <c:pt idx="2">
                  <c:v>8</c:v>
                </c:pt>
                <c:pt idx="3">
                  <c:v>128</c:v>
                </c:pt>
                <c:pt idx="4">
                  <c:v>4</c:v>
                </c:pt>
                <c:pt idx="5" formatCode="General">
                  <c:v>0</c:v>
                </c:pt>
                <c:pt idx="6">
                  <c:v>18</c:v>
                </c:pt>
                <c:pt idx="7" formatCode="General">
                  <c:v>0</c:v>
                </c:pt>
                <c:pt idx="8">
                  <c:v>7</c:v>
                </c:pt>
                <c:pt idx="9">
                  <c:v>18</c:v>
                </c:pt>
                <c:pt idx="10" formatCode="General">
                  <c:v>0</c:v>
                </c:pt>
                <c:pt idx="13">
                  <c:v>11</c:v>
                </c:pt>
                <c:pt idx="14">
                  <c:v>23</c:v>
                </c:pt>
                <c:pt idx="15" formatCode="General">
                  <c:v>0</c:v>
                </c:pt>
                <c:pt idx="16">
                  <c:v>33</c:v>
                </c:pt>
                <c:pt idx="17">
                  <c:v>43</c:v>
                </c:pt>
                <c:pt idx="18" formatCode="General">
                  <c:v>0</c:v>
                </c:pt>
                <c:pt idx="19" formatCode="General">
                  <c:v>0</c:v>
                </c:pt>
                <c:pt idx="20" formatCode="General">
                  <c:v>0</c:v>
                </c:pt>
                <c:pt idx="21">
                  <c:v>6</c:v>
                </c:pt>
                <c:pt idx="24" formatCode="General">
                  <c:v>0</c:v>
                </c:pt>
                <c:pt idx="25" formatCode="General">
                  <c:v>0</c:v>
                </c:pt>
                <c:pt idx="26">
                  <c:v>2</c:v>
                </c:pt>
                <c:pt idx="27" formatCode="General">
                  <c:v>0</c:v>
                </c:pt>
                <c:pt idx="28" formatCode="General">
                  <c:v>2</c:v>
                </c:pt>
                <c:pt idx="29">
                  <c:v>4</c:v>
                </c:pt>
                <c:pt idx="30">
                  <c:v>3</c:v>
                </c:pt>
                <c:pt idx="31" formatCode="General">
                  <c:v>0</c:v>
                </c:pt>
                <c:pt idx="32">
                  <c:v>12</c:v>
                </c:pt>
                <c:pt idx="33" formatCode="General">
                  <c:v>0</c:v>
                </c:pt>
                <c:pt idx="34" formatCode="General">
                  <c:v>0</c:v>
                </c:pt>
                <c:pt idx="35">
                  <c:v>4</c:v>
                </c:pt>
                <c:pt idx="36" formatCode="General">
                  <c:v>0</c:v>
                </c:pt>
                <c:pt idx="37" formatCode="General">
                  <c:v>0</c:v>
                </c:pt>
                <c:pt idx="38" formatCode="General">
                  <c:v>0</c:v>
                </c:pt>
                <c:pt idx="39" formatCode="General">
                  <c:v>0</c:v>
                </c:pt>
                <c:pt idx="40">
                  <c:v>4</c:v>
                </c:pt>
                <c:pt idx="41" formatCode="General">
                  <c:v>0</c:v>
                </c:pt>
                <c:pt idx="42" formatCode="General">
                  <c:v>0</c:v>
                </c:pt>
                <c:pt idx="43" formatCode="General">
                  <c:v>0</c:v>
                </c:pt>
                <c:pt idx="44" formatCode="General">
                  <c:v>0</c:v>
                </c:pt>
                <c:pt idx="45" formatCode="General">
                  <c:v>0</c:v>
                </c:pt>
                <c:pt idx="46" formatCode="General">
                  <c:v>3</c:v>
                </c:pt>
                <c:pt idx="47" formatCode="General">
                  <c:v>0</c:v>
                </c:pt>
                <c:pt idx="48" formatCode="General">
                  <c:v>0</c:v>
                </c:pt>
                <c:pt idx="49">
                  <c:v>8</c:v>
                </c:pt>
                <c:pt idx="50" formatCode="General">
                  <c:v>0</c:v>
                </c:pt>
                <c:pt idx="51" formatCode="General">
                  <c:v>0</c:v>
                </c:pt>
              </c:numCache>
            </c:numRef>
          </c:val>
        </c:ser>
        <c:ser>
          <c:idx val="2"/>
          <c:order val="2"/>
          <c:tx>
            <c:strRef>
              <c:f>Dwellings!$D$1</c:f>
              <c:strCache>
                <c:ptCount val="1"/>
                <c:pt idx="0">
                  <c:v>Semi-detached, row or terrace houses, townhouses - Two or more storeys</c:v>
                </c:pt>
              </c:strCache>
            </c:strRef>
          </c:tx>
          <c:spPr>
            <a:solidFill>
              <a:srgbClr val="C00000"/>
            </a:solidFill>
            <a:ln>
              <a:solidFill>
                <a:schemeClr val="tx1"/>
              </a:solidFill>
            </a:ln>
            <a:effectLst/>
          </c:spPr>
          <c:invertIfNegative val="0"/>
          <c:cat>
            <c:strRef>
              <c:f>Dwellings!$A$44:$A$95</c:f>
              <c:strCache>
                <c:ptCount val="52"/>
                <c:pt idx="0">
                  <c:v>Key Regional Cities</c:v>
                </c:pt>
                <c:pt idx="1">
                  <c:v>Ballarat </c:v>
                </c:pt>
                <c:pt idx="2">
                  <c:v>Greater Bendigo </c:v>
                </c:pt>
                <c:pt idx="3">
                  <c:v>Greater Geelong </c:v>
                </c:pt>
                <c:pt idx="4">
                  <c:v>Greater Shepparton </c:v>
                </c:pt>
                <c:pt idx="5">
                  <c:v>Horsham </c:v>
                </c:pt>
                <c:pt idx="6">
                  <c:v>Latrobe </c:v>
                </c:pt>
                <c:pt idx="7">
                  <c:v>Mildura </c:v>
                </c:pt>
                <c:pt idx="8">
                  <c:v>Wangaratta </c:v>
                </c:pt>
                <c:pt idx="9">
                  <c:v>Warrnambool </c:v>
                </c:pt>
                <c:pt idx="10">
                  <c:v>Wodonga </c:v>
                </c:pt>
                <c:pt idx="12">
                  <c:v>Peri Urban and Coastal LGAs</c:v>
                </c:pt>
                <c:pt idx="13">
                  <c:v>Bass Coast </c:v>
                </c:pt>
                <c:pt idx="14">
                  <c:v>Baw Baw </c:v>
                </c:pt>
                <c:pt idx="15">
                  <c:v>Golden Plains </c:v>
                </c:pt>
                <c:pt idx="16">
                  <c:v>Macedon Ranges </c:v>
                </c:pt>
                <c:pt idx="17">
                  <c:v>Moorabool </c:v>
                </c:pt>
                <c:pt idx="18">
                  <c:v>Murrindindi </c:v>
                </c:pt>
                <c:pt idx="19">
                  <c:v>Queenscliffe </c:v>
                </c:pt>
                <c:pt idx="20">
                  <c:v>South Gippsland </c:v>
                </c:pt>
                <c:pt idx="21">
                  <c:v>Surf Coast </c:v>
                </c:pt>
                <c:pt idx="23">
                  <c:v>Other Regional LGAs</c:v>
                </c:pt>
                <c:pt idx="24">
                  <c:v>Alpine </c:v>
                </c:pt>
                <c:pt idx="25">
                  <c:v>Ararat </c:v>
                </c:pt>
                <c:pt idx="26">
                  <c:v>Benalla </c:v>
                </c:pt>
                <c:pt idx="27">
                  <c:v>Buloke </c:v>
                </c:pt>
                <c:pt idx="28">
                  <c:v>Campaspe </c:v>
                </c:pt>
                <c:pt idx="29">
                  <c:v>Central Goldfields </c:v>
                </c:pt>
                <c:pt idx="30">
                  <c:v>Colac-Otway </c:v>
                </c:pt>
                <c:pt idx="31">
                  <c:v>Corangamite </c:v>
                </c:pt>
                <c:pt idx="32">
                  <c:v>East Gippsland </c:v>
                </c:pt>
                <c:pt idx="33">
                  <c:v>Gannawarra </c:v>
                </c:pt>
                <c:pt idx="34">
                  <c:v>Glenelg </c:v>
                </c:pt>
                <c:pt idx="35">
                  <c:v>Hepburn </c:v>
                </c:pt>
                <c:pt idx="36">
                  <c:v>Hindmarsh </c:v>
                </c:pt>
                <c:pt idx="37">
                  <c:v>Indigo </c:v>
                </c:pt>
                <c:pt idx="38">
                  <c:v>Loddon </c:v>
                </c:pt>
                <c:pt idx="39">
                  <c:v>Mansfield </c:v>
                </c:pt>
                <c:pt idx="40">
                  <c:v>Moira </c:v>
                </c:pt>
                <c:pt idx="41">
                  <c:v>Mount Alexander </c:v>
                </c:pt>
                <c:pt idx="42">
                  <c:v>Moyne </c:v>
                </c:pt>
                <c:pt idx="43">
                  <c:v>Northern Grampians </c:v>
                </c:pt>
                <c:pt idx="44">
                  <c:v>Pyrenees </c:v>
                </c:pt>
                <c:pt idx="45">
                  <c:v>Southern Grampians </c:v>
                </c:pt>
                <c:pt idx="46">
                  <c:v>Strathbogie </c:v>
                </c:pt>
                <c:pt idx="47">
                  <c:v>Swan Hill </c:v>
                </c:pt>
                <c:pt idx="48">
                  <c:v>Towong </c:v>
                </c:pt>
                <c:pt idx="49">
                  <c:v>Wellington </c:v>
                </c:pt>
                <c:pt idx="50">
                  <c:v>West Wimmera </c:v>
                </c:pt>
                <c:pt idx="51">
                  <c:v>Yarriambiack </c:v>
                </c:pt>
              </c:strCache>
            </c:strRef>
          </c:cat>
          <c:val>
            <c:numRef>
              <c:f>Dwellings!$D$44:$D$95</c:f>
              <c:numCache>
                <c:formatCode>0</c:formatCode>
                <c:ptCount val="52"/>
                <c:pt idx="1">
                  <c:v>51</c:v>
                </c:pt>
                <c:pt idx="2">
                  <c:v>14</c:v>
                </c:pt>
                <c:pt idx="3">
                  <c:v>94</c:v>
                </c:pt>
                <c:pt idx="4" formatCode="General">
                  <c:v>0</c:v>
                </c:pt>
                <c:pt idx="5" formatCode="General">
                  <c:v>0</c:v>
                </c:pt>
                <c:pt idx="6" formatCode="General">
                  <c:v>2</c:v>
                </c:pt>
                <c:pt idx="7">
                  <c:v>3</c:v>
                </c:pt>
                <c:pt idx="8" formatCode="General">
                  <c:v>0</c:v>
                </c:pt>
                <c:pt idx="9" formatCode="General">
                  <c:v>5</c:v>
                </c:pt>
                <c:pt idx="10">
                  <c:v>3</c:v>
                </c:pt>
                <c:pt idx="13">
                  <c:v>10</c:v>
                </c:pt>
                <c:pt idx="14">
                  <c:v>2</c:v>
                </c:pt>
                <c:pt idx="15" formatCode="General">
                  <c:v>0</c:v>
                </c:pt>
                <c:pt idx="16">
                  <c:v>6</c:v>
                </c:pt>
                <c:pt idx="17">
                  <c:v>3</c:v>
                </c:pt>
                <c:pt idx="18" formatCode="General">
                  <c:v>0</c:v>
                </c:pt>
                <c:pt idx="19" formatCode="General">
                  <c:v>0</c:v>
                </c:pt>
                <c:pt idx="20" formatCode="General">
                  <c:v>0</c:v>
                </c:pt>
                <c:pt idx="21">
                  <c:v>16</c:v>
                </c:pt>
                <c:pt idx="24">
                  <c:v>2</c:v>
                </c:pt>
                <c:pt idx="25" formatCode="General">
                  <c:v>0</c:v>
                </c:pt>
                <c:pt idx="26" formatCode="General">
                  <c:v>0</c:v>
                </c:pt>
                <c:pt idx="27" formatCode="General">
                  <c:v>0</c:v>
                </c:pt>
                <c:pt idx="28" formatCode="General">
                  <c:v>6</c:v>
                </c:pt>
                <c:pt idx="29" formatCode="General">
                  <c:v>0</c:v>
                </c:pt>
                <c:pt idx="30">
                  <c:v>7</c:v>
                </c:pt>
                <c:pt idx="31" formatCode="General">
                  <c:v>0</c:v>
                </c:pt>
                <c:pt idx="32" formatCode="General">
                  <c:v>0</c:v>
                </c:pt>
                <c:pt idx="33" formatCode="General">
                  <c:v>0</c:v>
                </c:pt>
                <c:pt idx="34" formatCode="General">
                  <c:v>0</c:v>
                </c:pt>
                <c:pt idx="35" formatCode="General">
                  <c:v>0</c:v>
                </c:pt>
                <c:pt idx="36" formatCode="General">
                  <c:v>0</c:v>
                </c:pt>
                <c:pt idx="37" formatCode="General">
                  <c:v>0</c:v>
                </c:pt>
                <c:pt idx="38" formatCode="General">
                  <c:v>0</c:v>
                </c:pt>
                <c:pt idx="39" formatCode="General">
                  <c:v>0</c:v>
                </c:pt>
                <c:pt idx="40" formatCode="General">
                  <c:v>0</c:v>
                </c:pt>
                <c:pt idx="41" formatCode="General">
                  <c:v>0</c:v>
                </c:pt>
                <c:pt idx="42" formatCode="General">
                  <c:v>0</c:v>
                </c:pt>
                <c:pt idx="43" formatCode="General">
                  <c:v>0</c:v>
                </c:pt>
                <c:pt idx="44" formatCode="General">
                  <c:v>0</c:v>
                </c:pt>
                <c:pt idx="45" formatCode="General">
                  <c:v>0</c:v>
                </c:pt>
                <c:pt idx="46" formatCode="General">
                  <c:v>0</c:v>
                </c:pt>
                <c:pt idx="47" formatCode="General">
                  <c:v>0</c:v>
                </c:pt>
                <c:pt idx="48" formatCode="General">
                  <c:v>0</c:v>
                </c:pt>
                <c:pt idx="49" formatCode="General">
                  <c:v>4</c:v>
                </c:pt>
                <c:pt idx="50" formatCode="General">
                  <c:v>0</c:v>
                </c:pt>
                <c:pt idx="51" formatCode="General">
                  <c:v>0</c:v>
                </c:pt>
              </c:numCache>
            </c:numRef>
          </c:val>
        </c:ser>
        <c:ser>
          <c:idx val="3"/>
          <c:order val="3"/>
          <c:tx>
            <c:strRef>
              <c:f>Dwellings!$E$1</c:f>
              <c:strCache>
                <c:ptCount val="1"/>
                <c:pt idx="0">
                  <c:v>Flats units or apartments - In a one or two storey block</c:v>
                </c:pt>
              </c:strCache>
            </c:strRef>
          </c:tx>
          <c:spPr>
            <a:solidFill>
              <a:schemeClr val="accent6">
                <a:lumMod val="20000"/>
                <a:lumOff val="80000"/>
              </a:schemeClr>
            </a:solidFill>
            <a:ln>
              <a:solidFill>
                <a:schemeClr val="tx1"/>
              </a:solidFill>
            </a:ln>
            <a:effectLst/>
          </c:spPr>
          <c:invertIfNegative val="0"/>
          <c:cat>
            <c:strRef>
              <c:f>Dwellings!$A$44:$A$95</c:f>
              <c:strCache>
                <c:ptCount val="52"/>
                <c:pt idx="0">
                  <c:v>Key Regional Cities</c:v>
                </c:pt>
                <c:pt idx="1">
                  <c:v>Ballarat </c:v>
                </c:pt>
                <c:pt idx="2">
                  <c:v>Greater Bendigo </c:v>
                </c:pt>
                <c:pt idx="3">
                  <c:v>Greater Geelong </c:v>
                </c:pt>
                <c:pt idx="4">
                  <c:v>Greater Shepparton </c:v>
                </c:pt>
                <c:pt idx="5">
                  <c:v>Horsham </c:v>
                </c:pt>
                <c:pt idx="6">
                  <c:v>Latrobe </c:v>
                </c:pt>
                <c:pt idx="7">
                  <c:v>Mildura </c:v>
                </c:pt>
                <c:pt idx="8">
                  <c:v>Wangaratta </c:v>
                </c:pt>
                <c:pt idx="9">
                  <c:v>Warrnambool </c:v>
                </c:pt>
                <c:pt idx="10">
                  <c:v>Wodonga </c:v>
                </c:pt>
                <c:pt idx="12">
                  <c:v>Peri Urban and Coastal LGAs</c:v>
                </c:pt>
                <c:pt idx="13">
                  <c:v>Bass Coast </c:v>
                </c:pt>
                <c:pt idx="14">
                  <c:v>Baw Baw </c:v>
                </c:pt>
                <c:pt idx="15">
                  <c:v>Golden Plains </c:v>
                </c:pt>
                <c:pt idx="16">
                  <c:v>Macedon Ranges </c:v>
                </c:pt>
                <c:pt idx="17">
                  <c:v>Moorabool </c:v>
                </c:pt>
                <c:pt idx="18">
                  <c:v>Murrindindi </c:v>
                </c:pt>
                <c:pt idx="19">
                  <c:v>Queenscliffe </c:v>
                </c:pt>
                <c:pt idx="20">
                  <c:v>South Gippsland </c:v>
                </c:pt>
                <c:pt idx="21">
                  <c:v>Surf Coast </c:v>
                </c:pt>
                <c:pt idx="23">
                  <c:v>Other Regional LGAs</c:v>
                </c:pt>
                <c:pt idx="24">
                  <c:v>Alpine </c:v>
                </c:pt>
                <c:pt idx="25">
                  <c:v>Ararat </c:v>
                </c:pt>
                <c:pt idx="26">
                  <c:v>Benalla </c:v>
                </c:pt>
                <c:pt idx="27">
                  <c:v>Buloke </c:v>
                </c:pt>
                <c:pt idx="28">
                  <c:v>Campaspe </c:v>
                </c:pt>
                <c:pt idx="29">
                  <c:v>Central Goldfields </c:v>
                </c:pt>
                <c:pt idx="30">
                  <c:v>Colac-Otway </c:v>
                </c:pt>
                <c:pt idx="31">
                  <c:v>Corangamite </c:v>
                </c:pt>
                <c:pt idx="32">
                  <c:v>East Gippsland </c:v>
                </c:pt>
                <c:pt idx="33">
                  <c:v>Gannawarra </c:v>
                </c:pt>
                <c:pt idx="34">
                  <c:v>Glenelg </c:v>
                </c:pt>
                <c:pt idx="35">
                  <c:v>Hepburn </c:v>
                </c:pt>
                <c:pt idx="36">
                  <c:v>Hindmarsh </c:v>
                </c:pt>
                <c:pt idx="37">
                  <c:v>Indigo </c:v>
                </c:pt>
                <c:pt idx="38">
                  <c:v>Loddon </c:v>
                </c:pt>
                <c:pt idx="39">
                  <c:v>Mansfield </c:v>
                </c:pt>
                <c:pt idx="40">
                  <c:v>Moira </c:v>
                </c:pt>
                <c:pt idx="41">
                  <c:v>Mount Alexander </c:v>
                </c:pt>
                <c:pt idx="42">
                  <c:v>Moyne </c:v>
                </c:pt>
                <c:pt idx="43">
                  <c:v>Northern Grampians </c:v>
                </c:pt>
                <c:pt idx="44">
                  <c:v>Pyrenees </c:v>
                </c:pt>
                <c:pt idx="45">
                  <c:v>Southern Grampians </c:v>
                </c:pt>
                <c:pt idx="46">
                  <c:v>Strathbogie </c:v>
                </c:pt>
                <c:pt idx="47">
                  <c:v>Swan Hill </c:v>
                </c:pt>
                <c:pt idx="48">
                  <c:v>Towong </c:v>
                </c:pt>
                <c:pt idx="49">
                  <c:v>Wellington </c:v>
                </c:pt>
                <c:pt idx="50">
                  <c:v>West Wimmera </c:v>
                </c:pt>
                <c:pt idx="51">
                  <c:v>Yarriambiack </c:v>
                </c:pt>
              </c:strCache>
            </c:strRef>
          </c:cat>
          <c:val>
            <c:numRef>
              <c:f>Dwellings!$E$44:$E$95</c:f>
              <c:numCache>
                <c:formatCode>General</c:formatCode>
                <c:ptCount val="52"/>
                <c:pt idx="1">
                  <c:v>0</c:v>
                </c:pt>
                <c:pt idx="2">
                  <c:v>0</c:v>
                </c:pt>
                <c:pt idx="3" formatCode="0">
                  <c:v>18</c:v>
                </c:pt>
                <c:pt idx="4">
                  <c:v>0</c:v>
                </c:pt>
                <c:pt idx="5" formatCode="0">
                  <c:v>10</c:v>
                </c:pt>
                <c:pt idx="6" formatCode="0">
                  <c:v>40</c:v>
                </c:pt>
                <c:pt idx="7">
                  <c:v>0</c:v>
                </c:pt>
                <c:pt idx="8">
                  <c:v>0</c:v>
                </c:pt>
                <c:pt idx="9">
                  <c:v>0</c:v>
                </c:pt>
                <c:pt idx="10">
                  <c:v>0</c:v>
                </c:pt>
                <c:pt idx="13" formatCode="0">
                  <c:v>3</c:v>
                </c:pt>
                <c:pt idx="14" formatCode="0">
                  <c:v>6</c:v>
                </c:pt>
                <c:pt idx="15">
                  <c:v>0</c:v>
                </c:pt>
                <c:pt idx="16">
                  <c:v>0</c:v>
                </c:pt>
                <c:pt idx="17">
                  <c:v>0</c:v>
                </c:pt>
                <c:pt idx="18">
                  <c:v>0</c:v>
                </c:pt>
                <c:pt idx="19">
                  <c:v>0</c:v>
                </c:pt>
                <c:pt idx="20">
                  <c:v>0</c:v>
                </c:pt>
                <c:pt idx="21">
                  <c:v>0</c:v>
                </c:pt>
                <c:pt idx="24">
                  <c:v>0</c:v>
                </c:pt>
                <c:pt idx="25">
                  <c:v>0</c:v>
                </c:pt>
                <c:pt idx="26">
                  <c:v>0</c:v>
                </c:pt>
                <c:pt idx="27">
                  <c:v>0</c:v>
                </c:pt>
                <c:pt idx="28">
                  <c:v>0</c:v>
                </c:pt>
                <c:pt idx="29">
                  <c:v>0</c:v>
                </c:pt>
                <c:pt idx="30">
                  <c:v>0</c:v>
                </c:pt>
                <c:pt idx="31">
                  <c:v>0</c:v>
                </c:pt>
                <c:pt idx="32">
                  <c:v>0</c:v>
                </c:pt>
                <c:pt idx="33">
                  <c:v>0</c:v>
                </c:pt>
                <c:pt idx="34">
                  <c:v>0</c:v>
                </c:pt>
                <c:pt idx="35" formatCode="0">
                  <c:v>3</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numCache>
            </c:numRef>
          </c:val>
        </c:ser>
        <c:ser>
          <c:idx val="4"/>
          <c:order val="4"/>
          <c:tx>
            <c:strRef>
              <c:f>Dwellings!$F$1</c:f>
              <c:strCache>
                <c:ptCount val="1"/>
                <c:pt idx="0">
                  <c:v>Flats units or apartments - In a three storey block</c:v>
                </c:pt>
              </c:strCache>
            </c:strRef>
          </c:tx>
          <c:spPr>
            <a:solidFill>
              <a:schemeClr val="accent6">
                <a:lumMod val="60000"/>
                <a:lumOff val="40000"/>
              </a:schemeClr>
            </a:solidFill>
            <a:ln>
              <a:solidFill>
                <a:schemeClr val="tx1"/>
              </a:solidFill>
            </a:ln>
            <a:effectLst/>
          </c:spPr>
          <c:invertIfNegative val="0"/>
          <c:cat>
            <c:strRef>
              <c:f>Dwellings!$A$44:$A$95</c:f>
              <c:strCache>
                <c:ptCount val="52"/>
                <c:pt idx="0">
                  <c:v>Key Regional Cities</c:v>
                </c:pt>
                <c:pt idx="1">
                  <c:v>Ballarat </c:v>
                </c:pt>
                <c:pt idx="2">
                  <c:v>Greater Bendigo </c:v>
                </c:pt>
                <c:pt idx="3">
                  <c:v>Greater Geelong </c:v>
                </c:pt>
                <c:pt idx="4">
                  <c:v>Greater Shepparton </c:v>
                </c:pt>
                <c:pt idx="5">
                  <c:v>Horsham </c:v>
                </c:pt>
                <c:pt idx="6">
                  <c:v>Latrobe </c:v>
                </c:pt>
                <c:pt idx="7">
                  <c:v>Mildura </c:v>
                </c:pt>
                <c:pt idx="8">
                  <c:v>Wangaratta </c:v>
                </c:pt>
                <c:pt idx="9">
                  <c:v>Warrnambool </c:v>
                </c:pt>
                <c:pt idx="10">
                  <c:v>Wodonga </c:v>
                </c:pt>
                <c:pt idx="12">
                  <c:v>Peri Urban and Coastal LGAs</c:v>
                </c:pt>
                <c:pt idx="13">
                  <c:v>Bass Coast </c:v>
                </c:pt>
                <c:pt idx="14">
                  <c:v>Baw Baw </c:v>
                </c:pt>
                <c:pt idx="15">
                  <c:v>Golden Plains </c:v>
                </c:pt>
                <c:pt idx="16">
                  <c:v>Macedon Ranges </c:v>
                </c:pt>
                <c:pt idx="17">
                  <c:v>Moorabool </c:v>
                </c:pt>
                <c:pt idx="18">
                  <c:v>Murrindindi </c:v>
                </c:pt>
                <c:pt idx="19">
                  <c:v>Queenscliffe </c:v>
                </c:pt>
                <c:pt idx="20">
                  <c:v>South Gippsland </c:v>
                </c:pt>
                <c:pt idx="21">
                  <c:v>Surf Coast </c:v>
                </c:pt>
                <c:pt idx="23">
                  <c:v>Other Regional LGAs</c:v>
                </c:pt>
                <c:pt idx="24">
                  <c:v>Alpine </c:v>
                </c:pt>
                <c:pt idx="25">
                  <c:v>Ararat </c:v>
                </c:pt>
                <c:pt idx="26">
                  <c:v>Benalla </c:v>
                </c:pt>
                <c:pt idx="27">
                  <c:v>Buloke </c:v>
                </c:pt>
                <c:pt idx="28">
                  <c:v>Campaspe </c:v>
                </c:pt>
                <c:pt idx="29">
                  <c:v>Central Goldfields </c:v>
                </c:pt>
                <c:pt idx="30">
                  <c:v>Colac-Otway </c:v>
                </c:pt>
                <c:pt idx="31">
                  <c:v>Corangamite </c:v>
                </c:pt>
                <c:pt idx="32">
                  <c:v>East Gippsland </c:v>
                </c:pt>
                <c:pt idx="33">
                  <c:v>Gannawarra </c:v>
                </c:pt>
                <c:pt idx="34">
                  <c:v>Glenelg </c:v>
                </c:pt>
                <c:pt idx="35">
                  <c:v>Hepburn </c:v>
                </c:pt>
                <c:pt idx="36">
                  <c:v>Hindmarsh </c:v>
                </c:pt>
                <c:pt idx="37">
                  <c:v>Indigo </c:v>
                </c:pt>
                <c:pt idx="38">
                  <c:v>Loddon </c:v>
                </c:pt>
                <c:pt idx="39">
                  <c:v>Mansfield </c:v>
                </c:pt>
                <c:pt idx="40">
                  <c:v>Moira </c:v>
                </c:pt>
                <c:pt idx="41">
                  <c:v>Mount Alexander </c:v>
                </c:pt>
                <c:pt idx="42">
                  <c:v>Moyne </c:v>
                </c:pt>
                <c:pt idx="43">
                  <c:v>Northern Grampians </c:v>
                </c:pt>
                <c:pt idx="44">
                  <c:v>Pyrenees </c:v>
                </c:pt>
                <c:pt idx="45">
                  <c:v>Southern Grampians </c:v>
                </c:pt>
                <c:pt idx="46">
                  <c:v>Strathbogie </c:v>
                </c:pt>
                <c:pt idx="47">
                  <c:v>Swan Hill </c:v>
                </c:pt>
                <c:pt idx="48">
                  <c:v>Towong </c:v>
                </c:pt>
                <c:pt idx="49">
                  <c:v>Wellington </c:v>
                </c:pt>
                <c:pt idx="50">
                  <c:v>West Wimmera </c:v>
                </c:pt>
                <c:pt idx="51">
                  <c:v>Yarriambiack </c:v>
                </c:pt>
              </c:strCache>
            </c:strRef>
          </c:cat>
          <c:val>
            <c:numRef>
              <c:f>Dwellings!$F$44:$F$95</c:f>
              <c:numCache>
                <c:formatCode>General</c:formatCode>
                <c:ptCount val="52"/>
                <c:pt idx="1">
                  <c:v>0</c:v>
                </c:pt>
                <c:pt idx="2" formatCode="0">
                  <c:v>4</c:v>
                </c:pt>
                <c:pt idx="3" formatCode="0">
                  <c:v>16</c:v>
                </c:pt>
                <c:pt idx="4">
                  <c:v>0</c:v>
                </c:pt>
                <c:pt idx="5">
                  <c:v>0</c:v>
                </c:pt>
                <c:pt idx="6">
                  <c:v>0</c:v>
                </c:pt>
                <c:pt idx="7">
                  <c:v>0</c:v>
                </c:pt>
                <c:pt idx="8">
                  <c:v>0</c:v>
                </c:pt>
                <c:pt idx="9">
                  <c:v>0</c:v>
                </c:pt>
                <c:pt idx="10">
                  <c:v>0</c:v>
                </c:pt>
                <c:pt idx="13">
                  <c:v>0</c:v>
                </c:pt>
                <c:pt idx="14">
                  <c:v>0</c:v>
                </c:pt>
                <c:pt idx="15">
                  <c:v>0</c:v>
                </c:pt>
                <c:pt idx="16">
                  <c:v>0</c:v>
                </c:pt>
                <c:pt idx="17">
                  <c:v>0</c:v>
                </c:pt>
                <c:pt idx="18">
                  <c:v>0</c:v>
                </c:pt>
                <c:pt idx="19">
                  <c:v>0</c:v>
                </c:pt>
                <c:pt idx="20">
                  <c:v>0</c:v>
                </c:pt>
                <c:pt idx="21">
                  <c:v>6</c:v>
                </c:pt>
                <c:pt idx="24">
                  <c:v>0</c:v>
                </c:pt>
                <c:pt idx="25">
                  <c:v>0</c:v>
                </c:pt>
                <c:pt idx="26">
                  <c:v>0</c:v>
                </c:pt>
                <c:pt idx="27">
                  <c:v>0</c:v>
                </c:pt>
                <c:pt idx="28">
                  <c:v>0</c:v>
                </c:pt>
                <c:pt idx="29">
                  <c:v>0</c:v>
                </c:pt>
                <c:pt idx="30">
                  <c:v>0</c:v>
                </c:pt>
                <c:pt idx="31">
                  <c:v>0</c:v>
                </c:pt>
                <c:pt idx="32" formatCode="0">
                  <c:v>2</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numCache>
            </c:numRef>
          </c:val>
        </c:ser>
        <c:ser>
          <c:idx val="5"/>
          <c:order val="5"/>
          <c:tx>
            <c:strRef>
              <c:f>Dwellings!$G$1</c:f>
              <c:strCache>
                <c:ptCount val="1"/>
                <c:pt idx="0">
                  <c:v>Flats units or apartments - In a four or more storey block</c:v>
                </c:pt>
              </c:strCache>
            </c:strRef>
          </c:tx>
          <c:spPr>
            <a:solidFill>
              <a:schemeClr val="accent6">
                <a:lumMod val="75000"/>
              </a:schemeClr>
            </a:solidFill>
            <a:ln>
              <a:solidFill>
                <a:schemeClr val="tx1"/>
              </a:solidFill>
            </a:ln>
            <a:effectLst/>
          </c:spPr>
          <c:invertIfNegative val="0"/>
          <c:cat>
            <c:strRef>
              <c:f>Dwellings!$A$44:$A$95</c:f>
              <c:strCache>
                <c:ptCount val="52"/>
                <c:pt idx="0">
                  <c:v>Key Regional Cities</c:v>
                </c:pt>
                <c:pt idx="1">
                  <c:v>Ballarat </c:v>
                </c:pt>
                <c:pt idx="2">
                  <c:v>Greater Bendigo </c:v>
                </c:pt>
                <c:pt idx="3">
                  <c:v>Greater Geelong </c:v>
                </c:pt>
                <c:pt idx="4">
                  <c:v>Greater Shepparton </c:v>
                </c:pt>
                <c:pt idx="5">
                  <c:v>Horsham </c:v>
                </c:pt>
                <c:pt idx="6">
                  <c:v>Latrobe </c:v>
                </c:pt>
                <c:pt idx="7">
                  <c:v>Mildura </c:v>
                </c:pt>
                <c:pt idx="8">
                  <c:v>Wangaratta </c:v>
                </c:pt>
                <c:pt idx="9">
                  <c:v>Warrnambool </c:v>
                </c:pt>
                <c:pt idx="10">
                  <c:v>Wodonga </c:v>
                </c:pt>
                <c:pt idx="12">
                  <c:v>Peri Urban and Coastal LGAs</c:v>
                </c:pt>
                <c:pt idx="13">
                  <c:v>Bass Coast </c:v>
                </c:pt>
                <c:pt idx="14">
                  <c:v>Baw Baw </c:v>
                </c:pt>
                <c:pt idx="15">
                  <c:v>Golden Plains </c:v>
                </c:pt>
                <c:pt idx="16">
                  <c:v>Macedon Ranges </c:v>
                </c:pt>
                <c:pt idx="17">
                  <c:v>Moorabool </c:v>
                </c:pt>
                <c:pt idx="18">
                  <c:v>Murrindindi </c:v>
                </c:pt>
                <c:pt idx="19">
                  <c:v>Queenscliffe </c:v>
                </c:pt>
                <c:pt idx="20">
                  <c:v>South Gippsland </c:v>
                </c:pt>
                <c:pt idx="21">
                  <c:v>Surf Coast </c:v>
                </c:pt>
                <c:pt idx="23">
                  <c:v>Other Regional LGAs</c:v>
                </c:pt>
                <c:pt idx="24">
                  <c:v>Alpine </c:v>
                </c:pt>
                <c:pt idx="25">
                  <c:v>Ararat </c:v>
                </c:pt>
                <c:pt idx="26">
                  <c:v>Benalla </c:v>
                </c:pt>
                <c:pt idx="27">
                  <c:v>Buloke </c:v>
                </c:pt>
                <c:pt idx="28">
                  <c:v>Campaspe </c:v>
                </c:pt>
                <c:pt idx="29">
                  <c:v>Central Goldfields </c:v>
                </c:pt>
                <c:pt idx="30">
                  <c:v>Colac-Otway </c:v>
                </c:pt>
                <c:pt idx="31">
                  <c:v>Corangamite </c:v>
                </c:pt>
                <c:pt idx="32">
                  <c:v>East Gippsland </c:v>
                </c:pt>
                <c:pt idx="33">
                  <c:v>Gannawarra </c:v>
                </c:pt>
                <c:pt idx="34">
                  <c:v>Glenelg </c:v>
                </c:pt>
                <c:pt idx="35">
                  <c:v>Hepburn </c:v>
                </c:pt>
                <c:pt idx="36">
                  <c:v>Hindmarsh </c:v>
                </c:pt>
                <c:pt idx="37">
                  <c:v>Indigo </c:v>
                </c:pt>
                <c:pt idx="38">
                  <c:v>Loddon </c:v>
                </c:pt>
                <c:pt idx="39">
                  <c:v>Mansfield </c:v>
                </c:pt>
                <c:pt idx="40">
                  <c:v>Moira </c:v>
                </c:pt>
                <c:pt idx="41">
                  <c:v>Mount Alexander </c:v>
                </c:pt>
                <c:pt idx="42">
                  <c:v>Moyne </c:v>
                </c:pt>
                <c:pt idx="43">
                  <c:v>Northern Grampians </c:v>
                </c:pt>
                <c:pt idx="44">
                  <c:v>Pyrenees </c:v>
                </c:pt>
                <c:pt idx="45">
                  <c:v>Southern Grampians </c:v>
                </c:pt>
                <c:pt idx="46">
                  <c:v>Strathbogie </c:v>
                </c:pt>
                <c:pt idx="47">
                  <c:v>Swan Hill </c:v>
                </c:pt>
                <c:pt idx="48">
                  <c:v>Towong </c:v>
                </c:pt>
                <c:pt idx="49">
                  <c:v>Wellington </c:v>
                </c:pt>
                <c:pt idx="50">
                  <c:v>West Wimmera </c:v>
                </c:pt>
                <c:pt idx="51">
                  <c:v>Yarriambiack </c:v>
                </c:pt>
              </c:strCache>
            </c:strRef>
          </c:cat>
          <c:val>
            <c:numRef>
              <c:f>Dwellings!$G$44:$G$95</c:f>
              <c:numCache>
                <c:formatCode>General</c:formatCode>
                <c:ptCount val="52"/>
                <c:pt idx="1">
                  <c:v>0</c:v>
                </c:pt>
                <c:pt idx="2">
                  <c:v>0</c:v>
                </c:pt>
                <c:pt idx="3">
                  <c:v>0</c:v>
                </c:pt>
                <c:pt idx="4">
                  <c:v>0</c:v>
                </c:pt>
                <c:pt idx="5">
                  <c:v>0</c:v>
                </c:pt>
                <c:pt idx="6">
                  <c:v>0</c:v>
                </c:pt>
                <c:pt idx="7">
                  <c:v>0</c:v>
                </c:pt>
                <c:pt idx="8">
                  <c:v>0</c:v>
                </c:pt>
                <c:pt idx="9">
                  <c:v>0</c:v>
                </c:pt>
                <c:pt idx="10">
                  <c:v>0</c:v>
                </c:pt>
                <c:pt idx="13">
                  <c:v>0</c:v>
                </c:pt>
                <c:pt idx="14">
                  <c:v>0</c:v>
                </c:pt>
                <c:pt idx="15">
                  <c:v>0</c:v>
                </c:pt>
                <c:pt idx="16">
                  <c:v>0</c:v>
                </c:pt>
                <c:pt idx="17">
                  <c:v>0</c:v>
                </c:pt>
                <c:pt idx="18">
                  <c:v>0</c:v>
                </c:pt>
                <c:pt idx="19">
                  <c:v>0</c:v>
                </c:pt>
                <c:pt idx="20">
                  <c:v>0</c:v>
                </c:pt>
                <c:pt idx="21">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numCache>
            </c:numRef>
          </c:val>
        </c:ser>
        <c:dLbls>
          <c:showLegendKey val="0"/>
          <c:showVal val="0"/>
          <c:showCatName val="0"/>
          <c:showSerName val="0"/>
          <c:showPercent val="0"/>
          <c:showBubbleSize val="0"/>
        </c:dLbls>
        <c:gapWidth val="20"/>
        <c:overlap val="100"/>
        <c:axId val="771269728"/>
        <c:axId val="771270288"/>
      </c:barChart>
      <c:catAx>
        <c:axId val="7712697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1270288"/>
        <c:crosses val="autoZero"/>
        <c:auto val="1"/>
        <c:lblAlgn val="ctr"/>
        <c:lblOffset val="100"/>
        <c:noMultiLvlLbl val="0"/>
      </c:catAx>
      <c:valAx>
        <c:axId val="771270288"/>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1269728"/>
        <c:crosses val="autoZero"/>
        <c:crossBetween val="between"/>
      </c:valAx>
      <c:spPr>
        <a:noFill/>
        <a:ln>
          <a:noFill/>
        </a:ln>
        <a:effectLst/>
      </c:spPr>
    </c:plotArea>
    <c:legend>
      <c:legendPos val="b"/>
      <c:layout>
        <c:manualLayout>
          <c:xMode val="edge"/>
          <c:yMode val="edge"/>
          <c:x val="0.37302497243768307"/>
          <c:y val="0"/>
          <c:w val="0.62697502756231704"/>
          <c:h val="0.1135675965866240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Value</a:t>
            </a:r>
            <a:r>
              <a:rPr lang="en-AU" baseline="0"/>
              <a:t> of Building Approvals </a:t>
            </a:r>
          </a:p>
          <a:p>
            <a:pPr algn="l">
              <a:defRPr/>
            </a:pPr>
            <a:r>
              <a:rPr lang="en-AU" baseline="0"/>
              <a:t>Metropolitan Melbourne </a:t>
            </a:r>
          </a:p>
          <a:p>
            <a:pPr algn="l">
              <a:defRPr/>
            </a:pPr>
            <a:r>
              <a:rPr lang="en-AU" baseline="0"/>
              <a:t>2015/16 </a:t>
            </a:r>
          </a:p>
          <a:p>
            <a:pPr algn="l">
              <a:defRPr/>
            </a:pPr>
            <a:r>
              <a:rPr lang="en-AU" sz="1000" baseline="0"/>
              <a:t>Source: ABS Building Approvals</a:t>
            </a:r>
            <a:endParaRPr lang="en-AU" sz="1000"/>
          </a:p>
        </c:rich>
      </c:tx>
      <c:layout>
        <c:manualLayout>
          <c:xMode val="edge"/>
          <c:yMode val="edge"/>
          <c:x val="1.6560691419848367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31392101091966"/>
          <c:y val="0.16076970747246339"/>
          <c:w val="0.73539170574389501"/>
          <c:h val="0.8256362586086996"/>
        </c:manualLayout>
      </c:layout>
      <c:barChart>
        <c:barDir val="bar"/>
        <c:grouping val="stacked"/>
        <c:varyColors val="0"/>
        <c:ser>
          <c:idx val="0"/>
          <c:order val="0"/>
          <c:tx>
            <c:strRef>
              <c:f>Value!$AD$7</c:f>
              <c:strCache>
                <c:ptCount val="1"/>
                <c:pt idx="0">
                  <c:v>Residential</c:v>
                </c:pt>
              </c:strCache>
            </c:strRef>
          </c:tx>
          <c:spPr>
            <a:solidFill>
              <a:schemeClr val="accent1"/>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Value!$AD$8:$AD$48</c:f>
              <c:numCache>
                <c:formatCode>_-"$"* #,##0_-;\-"$"* #,##0_-;_-"$"* "-"??_-;_-@_-</c:formatCode>
                <c:ptCount val="41"/>
                <c:pt idx="1">
                  <c:v>565.53399999999999</c:v>
                </c:pt>
                <c:pt idx="2">
                  <c:v>2509.9369999999999</c:v>
                </c:pt>
                <c:pt idx="3">
                  <c:v>813.80499999999995</c:v>
                </c:pt>
                <c:pt idx="4">
                  <c:v>883.57100000000003</c:v>
                </c:pt>
                <c:pt idx="5">
                  <c:v>338.459</c:v>
                </c:pt>
                <c:pt idx="6">
                  <c:v>0</c:v>
                </c:pt>
                <c:pt idx="7">
                  <c:v>0</c:v>
                </c:pt>
                <c:pt idx="8">
                  <c:v>947.44899999999996</c:v>
                </c:pt>
                <c:pt idx="9">
                  <c:v>265.58999999999997</c:v>
                </c:pt>
                <c:pt idx="10">
                  <c:v>543.50800000000004</c:v>
                </c:pt>
                <c:pt idx="11">
                  <c:v>259.69099999999997</c:v>
                </c:pt>
                <c:pt idx="12">
                  <c:v>596.18899999999996</c:v>
                </c:pt>
                <c:pt idx="13">
                  <c:v>763.72299999999996</c:v>
                </c:pt>
                <c:pt idx="14">
                  <c:v>254.08799999999999</c:v>
                </c:pt>
                <c:pt idx="15">
                  <c:v>0</c:v>
                </c:pt>
                <c:pt idx="16">
                  <c:v>0</c:v>
                </c:pt>
                <c:pt idx="17">
                  <c:v>566.71299999999997</c:v>
                </c:pt>
                <c:pt idx="18">
                  <c:v>458.73099999999999</c:v>
                </c:pt>
                <c:pt idx="19">
                  <c:v>653.553</c:v>
                </c:pt>
                <c:pt idx="20">
                  <c:v>118.999</c:v>
                </c:pt>
                <c:pt idx="21">
                  <c:v>614.755</c:v>
                </c:pt>
                <c:pt idx="22">
                  <c:v>103.739</c:v>
                </c:pt>
                <c:pt idx="23">
                  <c:v>663.30700000000002</c:v>
                </c:pt>
                <c:pt idx="24">
                  <c:v>0</c:v>
                </c:pt>
                <c:pt idx="25">
                  <c:v>0</c:v>
                </c:pt>
                <c:pt idx="26">
                  <c:v>577.12099999999998</c:v>
                </c:pt>
                <c:pt idx="27">
                  <c:v>436.18400000000003</c:v>
                </c:pt>
                <c:pt idx="28">
                  <c:v>1028.4449999999999</c:v>
                </c:pt>
                <c:pt idx="29">
                  <c:v>152.65299999999999</c:v>
                </c:pt>
                <c:pt idx="30">
                  <c:v>606.17600000000004</c:v>
                </c:pt>
                <c:pt idx="31">
                  <c:v>294.34500000000003</c:v>
                </c:pt>
                <c:pt idx="32">
                  <c:v>394.73</c:v>
                </c:pt>
                <c:pt idx="33">
                  <c:v>696.60900000000004</c:v>
                </c:pt>
                <c:pt idx="34">
                  <c:v>0</c:v>
                </c:pt>
                <c:pt idx="35">
                  <c:v>0</c:v>
                </c:pt>
                <c:pt idx="36">
                  <c:v>224.00800000000001</c:v>
                </c:pt>
                <c:pt idx="37">
                  <c:v>231.535</c:v>
                </c:pt>
                <c:pt idx="38">
                  <c:v>502.279</c:v>
                </c:pt>
                <c:pt idx="39">
                  <c:v>454.91699999999997</c:v>
                </c:pt>
                <c:pt idx="40">
                  <c:v>1107.2239999999999</c:v>
                </c:pt>
              </c:numCache>
            </c:numRef>
          </c:val>
        </c:ser>
        <c:ser>
          <c:idx val="1"/>
          <c:order val="1"/>
          <c:tx>
            <c:strRef>
              <c:f>Value!$AE$7</c:f>
              <c:strCache>
                <c:ptCount val="1"/>
                <c:pt idx="0">
                  <c:v>Commercial Buildings </c:v>
                </c:pt>
              </c:strCache>
            </c:strRef>
          </c:tx>
          <c:spPr>
            <a:solidFill>
              <a:schemeClr val="accent2"/>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Value!$AE$8:$AE$48</c:f>
              <c:numCache>
                <c:formatCode>_-"$"* #,##0_-;\-"$"* #,##0_-;_-"$"* "-"??_-;_-@_-</c:formatCode>
                <c:ptCount val="41"/>
                <c:pt idx="1">
                  <c:v>37.655000000000001</c:v>
                </c:pt>
                <c:pt idx="2">
                  <c:v>732.077</c:v>
                </c:pt>
                <c:pt idx="3">
                  <c:v>87.567999999999998</c:v>
                </c:pt>
                <c:pt idx="4">
                  <c:v>65.183999999999997</c:v>
                </c:pt>
                <c:pt idx="5">
                  <c:v>83.488</c:v>
                </c:pt>
                <c:pt idx="6">
                  <c:v>0</c:v>
                </c:pt>
                <c:pt idx="7">
                  <c:v>0</c:v>
                </c:pt>
                <c:pt idx="8">
                  <c:v>39.109000000000002</c:v>
                </c:pt>
                <c:pt idx="9">
                  <c:v>51.576000000000001</c:v>
                </c:pt>
                <c:pt idx="10">
                  <c:v>53.616999999999997</c:v>
                </c:pt>
                <c:pt idx="11">
                  <c:v>63.466000000000001</c:v>
                </c:pt>
                <c:pt idx="12">
                  <c:v>126.926</c:v>
                </c:pt>
                <c:pt idx="13">
                  <c:v>57.944000000000003</c:v>
                </c:pt>
                <c:pt idx="14">
                  <c:v>15.452999999999999</c:v>
                </c:pt>
                <c:pt idx="15">
                  <c:v>0</c:v>
                </c:pt>
                <c:pt idx="16">
                  <c:v>0</c:v>
                </c:pt>
                <c:pt idx="17">
                  <c:v>27.628</c:v>
                </c:pt>
                <c:pt idx="18">
                  <c:v>41.521999999999998</c:v>
                </c:pt>
                <c:pt idx="19">
                  <c:v>73.006</c:v>
                </c:pt>
                <c:pt idx="20">
                  <c:v>12.949</c:v>
                </c:pt>
                <c:pt idx="21">
                  <c:v>12.561</c:v>
                </c:pt>
                <c:pt idx="22">
                  <c:v>5.0060000000000002</c:v>
                </c:pt>
                <c:pt idx="23">
                  <c:v>52.408999999999999</c:v>
                </c:pt>
                <c:pt idx="24">
                  <c:v>0</c:v>
                </c:pt>
                <c:pt idx="25">
                  <c:v>0</c:v>
                </c:pt>
                <c:pt idx="26">
                  <c:v>8.5579999999999998</c:v>
                </c:pt>
                <c:pt idx="27">
                  <c:v>28.992000000000001</c:v>
                </c:pt>
                <c:pt idx="28">
                  <c:v>65.027000000000001</c:v>
                </c:pt>
                <c:pt idx="29">
                  <c:v>11.766</c:v>
                </c:pt>
                <c:pt idx="30">
                  <c:v>11.385999999999999</c:v>
                </c:pt>
                <c:pt idx="31">
                  <c:v>76.27</c:v>
                </c:pt>
                <c:pt idx="32">
                  <c:v>32.805</c:v>
                </c:pt>
                <c:pt idx="33">
                  <c:v>51.372</c:v>
                </c:pt>
                <c:pt idx="34">
                  <c:v>0</c:v>
                </c:pt>
                <c:pt idx="35">
                  <c:v>0</c:v>
                </c:pt>
                <c:pt idx="36">
                  <c:v>65.682000000000002</c:v>
                </c:pt>
                <c:pt idx="37">
                  <c:v>9.3330000000000002</c:v>
                </c:pt>
                <c:pt idx="38">
                  <c:v>17.513000000000002</c:v>
                </c:pt>
                <c:pt idx="39">
                  <c:v>40.786000000000001</c:v>
                </c:pt>
                <c:pt idx="40">
                  <c:v>80.468000000000004</c:v>
                </c:pt>
              </c:numCache>
            </c:numRef>
          </c:val>
        </c:ser>
        <c:ser>
          <c:idx val="2"/>
          <c:order val="2"/>
          <c:tx>
            <c:strRef>
              <c:f>Value!$AF$7</c:f>
              <c:strCache>
                <c:ptCount val="1"/>
                <c:pt idx="0">
                  <c:v>Industrial Buildings</c:v>
                </c:pt>
              </c:strCache>
            </c:strRef>
          </c:tx>
          <c:spPr>
            <a:solidFill>
              <a:schemeClr val="accent3"/>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Value!$AF$8:$AF$48</c:f>
              <c:numCache>
                <c:formatCode>_-"$"* #,##0_-;\-"$"* #,##0_-;_-"$"* "-"??_-;_-@_-</c:formatCode>
                <c:ptCount val="41"/>
                <c:pt idx="1">
                  <c:v>9.7729999999999997</c:v>
                </c:pt>
                <c:pt idx="2">
                  <c:v>12.3</c:v>
                </c:pt>
                <c:pt idx="3">
                  <c:v>12.336</c:v>
                </c:pt>
                <c:pt idx="4">
                  <c:v>1.089</c:v>
                </c:pt>
                <c:pt idx="5">
                  <c:v>4.508</c:v>
                </c:pt>
                <c:pt idx="6">
                  <c:v>0</c:v>
                </c:pt>
                <c:pt idx="7">
                  <c:v>0</c:v>
                </c:pt>
                <c:pt idx="8">
                  <c:v>11.673</c:v>
                </c:pt>
                <c:pt idx="9">
                  <c:v>39.83</c:v>
                </c:pt>
                <c:pt idx="10">
                  <c:v>3.1</c:v>
                </c:pt>
                <c:pt idx="11">
                  <c:v>4.0449999999999999</c:v>
                </c:pt>
                <c:pt idx="12">
                  <c:v>40.875</c:v>
                </c:pt>
                <c:pt idx="13">
                  <c:v>7.5609999999999999</c:v>
                </c:pt>
                <c:pt idx="14">
                  <c:v>8.4049999999999994</c:v>
                </c:pt>
                <c:pt idx="15">
                  <c:v>0</c:v>
                </c:pt>
                <c:pt idx="16">
                  <c:v>0</c:v>
                </c:pt>
                <c:pt idx="17">
                  <c:v>8.2949999999999999</c:v>
                </c:pt>
                <c:pt idx="18">
                  <c:v>10.835000000000001</c:v>
                </c:pt>
                <c:pt idx="19">
                  <c:v>195.66399999999999</c:v>
                </c:pt>
                <c:pt idx="20">
                  <c:v>1.44</c:v>
                </c:pt>
                <c:pt idx="21">
                  <c:v>4.641</c:v>
                </c:pt>
                <c:pt idx="22">
                  <c:v>0.68200000000000005</c:v>
                </c:pt>
                <c:pt idx="23">
                  <c:v>75.715999999999994</c:v>
                </c:pt>
                <c:pt idx="24">
                  <c:v>0</c:v>
                </c:pt>
                <c:pt idx="25">
                  <c:v>0</c:v>
                </c:pt>
                <c:pt idx="26">
                  <c:v>14.435</c:v>
                </c:pt>
                <c:pt idx="27">
                  <c:v>17.361000000000001</c:v>
                </c:pt>
                <c:pt idx="28">
                  <c:v>10.836</c:v>
                </c:pt>
                <c:pt idx="29">
                  <c:v>37.442999999999998</c:v>
                </c:pt>
                <c:pt idx="30">
                  <c:v>0.66200000000000003</c:v>
                </c:pt>
                <c:pt idx="31">
                  <c:v>254.184</c:v>
                </c:pt>
                <c:pt idx="32">
                  <c:v>81.049000000000007</c:v>
                </c:pt>
                <c:pt idx="33">
                  <c:v>22.393999999999998</c:v>
                </c:pt>
                <c:pt idx="34">
                  <c:v>0</c:v>
                </c:pt>
                <c:pt idx="35">
                  <c:v>0</c:v>
                </c:pt>
                <c:pt idx="36">
                  <c:v>69.091999999999999</c:v>
                </c:pt>
                <c:pt idx="37">
                  <c:v>53.38</c:v>
                </c:pt>
                <c:pt idx="38">
                  <c:v>95.86</c:v>
                </c:pt>
                <c:pt idx="39">
                  <c:v>2.391</c:v>
                </c:pt>
                <c:pt idx="40">
                  <c:v>169.56700000000001</c:v>
                </c:pt>
              </c:numCache>
            </c:numRef>
          </c:val>
        </c:ser>
        <c:ser>
          <c:idx val="3"/>
          <c:order val="3"/>
          <c:tx>
            <c:strRef>
              <c:f>Value!$AG$7</c:f>
              <c:strCache>
                <c:ptCount val="1"/>
                <c:pt idx="0">
                  <c:v>Other Non-residential</c:v>
                </c:pt>
              </c:strCache>
            </c:strRef>
          </c:tx>
          <c:spPr>
            <a:solidFill>
              <a:schemeClr val="accent4"/>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Value!$AG$8:$AG$48</c:f>
              <c:numCache>
                <c:formatCode>_-"$"* #,##0_-;\-"$"* #,##0_-;_-"$"* "-"??_-;_-@_-</c:formatCode>
                <c:ptCount val="41"/>
                <c:pt idx="1">
                  <c:v>21.298999999999999</c:v>
                </c:pt>
                <c:pt idx="2">
                  <c:v>917.97199999999998</c:v>
                </c:pt>
                <c:pt idx="3">
                  <c:v>52.828000000000003</c:v>
                </c:pt>
                <c:pt idx="4">
                  <c:v>154.49299999999999</c:v>
                </c:pt>
                <c:pt idx="5">
                  <c:v>151.55099999999999</c:v>
                </c:pt>
                <c:pt idx="6">
                  <c:v>0</c:v>
                </c:pt>
                <c:pt idx="7">
                  <c:v>0</c:v>
                </c:pt>
                <c:pt idx="8">
                  <c:v>61.048999999999999</c:v>
                </c:pt>
                <c:pt idx="9">
                  <c:v>28.774999999999999</c:v>
                </c:pt>
                <c:pt idx="10">
                  <c:v>62.021999999999998</c:v>
                </c:pt>
                <c:pt idx="11">
                  <c:v>22.302</c:v>
                </c:pt>
                <c:pt idx="12">
                  <c:v>239.61500000000001</c:v>
                </c:pt>
                <c:pt idx="13">
                  <c:v>192.67</c:v>
                </c:pt>
                <c:pt idx="14">
                  <c:v>21.452999999999999</c:v>
                </c:pt>
                <c:pt idx="15">
                  <c:v>0</c:v>
                </c:pt>
                <c:pt idx="16">
                  <c:v>0</c:v>
                </c:pt>
                <c:pt idx="17">
                  <c:v>46.552999999999997</c:v>
                </c:pt>
                <c:pt idx="18">
                  <c:v>67.683999999999997</c:v>
                </c:pt>
                <c:pt idx="19">
                  <c:v>108.18</c:v>
                </c:pt>
                <c:pt idx="20">
                  <c:v>37.414000000000001</c:v>
                </c:pt>
                <c:pt idx="21">
                  <c:v>37.889000000000003</c:v>
                </c:pt>
                <c:pt idx="22">
                  <c:v>11.861000000000001</c:v>
                </c:pt>
                <c:pt idx="23">
                  <c:v>143.12700000000001</c:v>
                </c:pt>
                <c:pt idx="24">
                  <c:v>0</c:v>
                </c:pt>
                <c:pt idx="25">
                  <c:v>0</c:v>
                </c:pt>
                <c:pt idx="26">
                  <c:v>33.518000000000001</c:v>
                </c:pt>
                <c:pt idx="27">
                  <c:v>67.686000000000007</c:v>
                </c:pt>
                <c:pt idx="28">
                  <c:v>320.83100000000002</c:v>
                </c:pt>
                <c:pt idx="29">
                  <c:v>119.29300000000001</c:v>
                </c:pt>
                <c:pt idx="30">
                  <c:v>73.448999999999998</c:v>
                </c:pt>
                <c:pt idx="31">
                  <c:v>61.404000000000003</c:v>
                </c:pt>
                <c:pt idx="32">
                  <c:v>119.113</c:v>
                </c:pt>
                <c:pt idx="33">
                  <c:v>195.31899999999999</c:v>
                </c:pt>
                <c:pt idx="34">
                  <c:v>0</c:v>
                </c:pt>
                <c:pt idx="35">
                  <c:v>0</c:v>
                </c:pt>
                <c:pt idx="36">
                  <c:v>15.504</c:v>
                </c:pt>
                <c:pt idx="37">
                  <c:v>10.859</c:v>
                </c:pt>
                <c:pt idx="38">
                  <c:v>40.134</c:v>
                </c:pt>
                <c:pt idx="39">
                  <c:v>106.15</c:v>
                </c:pt>
                <c:pt idx="40">
                  <c:v>169.54300000000001</c:v>
                </c:pt>
              </c:numCache>
            </c:numRef>
          </c:val>
        </c:ser>
        <c:dLbls>
          <c:showLegendKey val="0"/>
          <c:showVal val="0"/>
          <c:showCatName val="0"/>
          <c:showSerName val="0"/>
          <c:showPercent val="0"/>
          <c:showBubbleSize val="0"/>
        </c:dLbls>
        <c:gapWidth val="30"/>
        <c:overlap val="100"/>
        <c:axId val="767077392"/>
        <c:axId val="767077952"/>
      </c:barChart>
      <c:catAx>
        <c:axId val="7670773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7077952"/>
        <c:crosses val="autoZero"/>
        <c:auto val="1"/>
        <c:lblAlgn val="ctr"/>
        <c:lblOffset val="100"/>
        <c:noMultiLvlLbl val="0"/>
      </c:catAx>
      <c:valAx>
        <c:axId val="767077952"/>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Value</a:t>
                </a:r>
                <a:r>
                  <a:rPr lang="en-AU" baseline="0"/>
                  <a:t> of Approvals (millions)</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7077392"/>
        <c:crosses val="autoZero"/>
        <c:crossBetween val="between"/>
      </c:valAx>
      <c:spPr>
        <a:noFill/>
        <a:ln>
          <a:noFill/>
        </a:ln>
        <a:effectLst/>
      </c:spPr>
    </c:plotArea>
    <c:legend>
      <c:legendPos val="b"/>
      <c:layout>
        <c:manualLayout>
          <c:xMode val="edge"/>
          <c:yMode val="edge"/>
          <c:x val="0.59005242022571436"/>
          <c:y val="0"/>
          <c:w val="0.40799371835842696"/>
          <c:h val="9.771210489714427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Change in population</a:t>
            </a:r>
            <a:r>
              <a:rPr lang="en-AU" baseline="0"/>
              <a:t> of States and territories during 2015</a:t>
            </a:r>
          </a:p>
          <a:p>
            <a:pPr algn="l">
              <a:defRPr/>
            </a:pPr>
            <a:r>
              <a:rPr lang="en-AU" sz="1000" baseline="0"/>
              <a:t>Source: ABS 3101.0 </a:t>
            </a:r>
            <a:endParaRPr lang="en-AU" sz="1000"/>
          </a:p>
        </c:rich>
      </c:tx>
      <c:layout>
        <c:manualLayout>
          <c:xMode val="edge"/>
          <c:yMode val="edge"/>
          <c:x val="7.5477278955357998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039087069426742"/>
          <c:y val="0.18489082809515314"/>
          <c:w val="0.83530259203034407"/>
          <c:h val="0.72809946497910827"/>
        </c:manualLayout>
      </c:layout>
      <c:barChart>
        <c:barDir val="col"/>
        <c:grouping val="clustered"/>
        <c:varyColors val="1"/>
        <c:ser>
          <c:idx val="0"/>
          <c:order val="0"/>
          <c:spPr>
            <a:ln>
              <a:solidFill>
                <a:schemeClr val="tx1"/>
              </a:solidFill>
            </a:ln>
          </c:spPr>
          <c:invertIfNegative val="0"/>
          <c:dPt>
            <c:idx val="0"/>
            <c:invertIfNegative val="0"/>
            <c:bubble3D val="0"/>
            <c:spPr>
              <a:solidFill>
                <a:schemeClr val="accent1"/>
              </a:solidFill>
              <a:ln>
                <a:solidFill>
                  <a:schemeClr val="tx1"/>
                </a:solidFill>
              </a:ln>
              <a:effectLst/>
            </c:spPr>
          </c:dPt>
          <c:dPt>
            <c:idx val="1"/>
            <c:invertIfNegative val="0"/>
            <c:bubble3D val="0"/>
            <c:spPr>
              <a:solidFill>
                <a:schemeClr val="tx2"/>
              </a:solidFill>
              <a:ln>
                <a:solidFill>
                  <a:schemeClr val="tx1"/>
                </a:solidFill>
              </a:ln>
              <a:effectLst/>
            </c:spPr>
          </c:dPt>
          <c:dPt>
            <c:idx val="2"/>
            <c:invertIfNegative val="0"/>
            <c:bubble3D val="0"/>
            <c:spPr>
              <a:solidFill>
                <a:srgbClr val="A50021"/>
              </a:solidFill>
              <a:ln>
                <a:solidFill>
                  <a:schemeClr val="tx1"/>
                </a:solidFill>
              </a:ln>
              <a:effectLst/>
            </c:spPr>
          </c:dPt>
          <c:dPt>
            <c:idx val="3"/>
            <c:invertIfNegative val="0"/>
            <c:bubble3D val="0"/>
            <c:spPr>
              <a:solidFill>
                <a:srgbClr val="FF0000"/>
              </a:solidFill>
              <a:ln>
                <a:solidFill>
                  <a:schemeClr val="tx1"/>
                </a:solidFill>
              </a:ln>
              <a:effectLst/>
            </c:spPr>
          </c:dPt>
          <c:dPt>
            <c:idx val="4"/>
            <c:invertIfNegative val="0"/>
            <c:bubble3D val="0"/>
            <c:spPr>
              <a:solidFill>
                <a:schemeClr val="accent4"/>
              </a:solidFill>
              <a:ln>
                <a:solidFill>
                  <a:schemeClr val="tx1"/>
                </a:solidFill>
              </a:ln>
              <a:effectLst/>
            </c:spPr>
          </c:dPt>
          <c:dPt>
            <c:idx val="5"/>
            <c:invertIfNegative val="0"/>
            <c:bubble3D val="0"/>
            <c:spPr>
              <a:solidFill>
                <a:schemeClr val="accent6"/>
              </a:solidFill>
              <a:ln>
                <a:solidFill>
                  <a:schemeClr val="tx1"/>
                </a:solidFill>
              </a:ln>
              <a:effectLst/>
            </c:spPr>
          </c:dPt>
          <c:dPt>
            <c:idx val="6"/>
            <c:invertIfNegative val="0"/>
            <c:bubble3D val="0"/>
            <c:spPr>
              <a:solidFill>
                <a:schemeClr val="accent2"/>
              </a:solidFill>
              <a:ln>
                <a:solidFill>
                  <a:schemeClr val="tx1"/>
                </a:solidFill>
              </a:ln>
              <a:effectLst/>
            </c:spPr>
          </c:dPt>
          <c:dPt>
            <c:idx val="7"/>
            <c:invertIfNegative val="0"/>
            <c:bubble3D val="0"/>
            <c:spPr>
              <a:solidFill>
                <a:schemeClr val="accent3"/>
              </a:solidFill>
              <a:ln>
                <a:solidFill>
                  <a:schemeClr val="tx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Sheet2!$T$4:$AA$4</c:f>
              <c:strCache>
                <c:ptCount val="8"/>
                <c:pt idx="0">
                  <c:v>NSW</c:v>
                </c:pt>
                <c:pt idx="1">
                  <c:v>VIC</c:v>
                </c:pt>
                <c:pt idx="2">
                  <c:v>QLD</c:v>
                </c:pt>
                <c:pt idx="3">
                  <c:v>SA</c:v>
                </c:pt>
                <c:pt idx="4">
                  <c:v>WA</c:v>
                </c:pt>
                <c:pt idx="5">
                  <c:v>TAS</c:v>
                </c:pt>
                <c:pt idx="6">
                  <c:v>NT</c:v>
                </c:pt>
                <c:pt idx="7">
                  <c:v>ACT</c:v>
                </c:pt>
              </c:strCache>
            </c:strRef>
          </c:cat>
          <c:val>
            <c:numRef>
              <c:f>Sheet2!$T$6:$AA$6</c:f>
              <c:numCache>
                <c:formatCode>_-* #,##0_-;\-* #,##0_-;_-* "-"??_-;_-@_-</c:formatCode>
                <c:ptCount val="8"/>
                <c:pt idx="0">
                  <c:v>106116</c:v>
                </c:pt>
                <c:pt idx="1">
                  <c:v>109830</c:v>
                </c:pt>
                <c:pt idx="2">
                  <c:v>59714</c:v>
                </c:pt>
                <c:pt idx="3">
                  <c:v>11180</c:v>
                </c:pt>
                <c:pt idx="4">
                  <c:v>30980</c:v>
                </c:pt>
                <c:pt idx="5">
                  <c:v>2110</c:v>
                </c:pt>
                <c:pt idx="6">
                  <c:v>840</c:v>
                </c:pt>
                <c:pt idx="7">
                  <c:v>5271</c:v>
                </c:pt>
              </c:numCache>
            </c:numRef>
          </c:val>
        </c:ser>
        <c:dLbls>
          <c:showLegendKey val="0"/>
          <c:showVal val="0"/>
          <c:showCatName val="0"/>
          <c:showSerName val="0"/>
          <c:showPercent val="0"/>
          <c:showBubbleSize val="0"/>
        </c:dLbls>
        <c:gapWidth val="25"/>
        <c:axId val="481305968"/>
        <c:axId val="481306528"/>
      </c:barChart>
      <c:catAx>
        <c:axId val="481305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306528"/>
        <c:crosses val="autoZero"/>
        <c:auto val="1"/>
        <c:lblAlgn val="ctr"/>
        <c:lblOffset val="100"/>
        <c:noMultiLvlLbl val="0"/>
      </c:catAx>
      <c:valAx>
        <c:axId val="481306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Population Increase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3059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Value</a:t>
            </a:r>
            <a:r>
              <a:rPr lang="en-AU" baseline="0"/>
              <a:t> of Building Approvals </a:t>
            </a:r>
          </a:p>
          <a:p>
            <a:pPr algn="l">
              <a:defRPr/>
            </a:pPr>
            <a:r>
              <a:rPr lang="en-AU" baseline="0"/>
              <a:t>Regional Victoria</a:t>
            </a:r>
          </a:p>
          <a:p>
            <a:pPr algn="l">
              <a:defRPr/>
            </a:pPr>
            <a:r>
              <a:rPr lang="en-AU" baseline="0"/>
              <a:t>2015/16</a:t>
            </a:r>
          </a:p>
          <a:p>
            <a:pPr algn="l">
              <a:defRPr/>
            </a:pPr>
            <a:r>
              <a:rPr lang="en-AU" sz="1000" baseline="0"/>
              <a:t>Source: ABS Building Approvals</a:t>
            </a:r>
            <a:endParaRPr lang="en-AU" sz="1000"/>
          </a:p>
        </c:rich>
      </c:tx>
      <c:layout>
        <c:manualLayout>
          <c:xMode val="edge"/>
          <c:yMode val="edge"/>
          <c:x val="1.6560691419848367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5105004903233252"/>
          <c:y val="0.11895595135368353"/>
          <c:w val="0.7138035029275186"/>
          <c:h val="0.86744991101283575"/>
        </c:manualLayout>
      </c:layout>
      <c:barChart>
        <c:barDir val="bar"/>
        <c:grouping val="stacked"/>
        <c:varyColors val="0"/>
        <c:ser>
          <c:idx val="0"/>
          <c:order val="0"/>
          <c:tx>
            <c:strRef>
              <c:f>Value!$AD$7</c:f>
              <c:strCache>
                <c:ptCount val="1"/>
                <c:pt idx="0">
                  <c:v>Residential</c:v>
                </c:pt>
              </c:strCache>
            </c:strRef>
          </c:tx>
          <c:spPr>
            <a:solidFill>
              <a:schemeClr val="accent1"/>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Value!$AD$49:$AD$100</c:f>
              <c:numCache>
                <c:formatCode>_-"$"* #,##0_-;\-"$"* #,##0_-;_-"$"* "-"??_-;_-@_-</c:formatCode>
                <c:ptCount val="52"/>
                <c:pt idx="0">
                  <c:v>0</c:v>
                </c:pt>
                <c:pt idx="1">
                  <c:v>251.32</c:v>
                </c:pt>
                <c:pt idx="2">
                  <c:v>259.88299999999998</c:v>
                </c:pt>
                <c:pt idx="3">
                  <c:v>828.9</c:v>
                </c:pt>
                <c:pt idx="4">
                  <c:v>98.25</c:v>
                </c:pt>
                <c:pt idx="5">
                  <c:v>43.987000000000002</c:v>
                </c:pt>
                <c:pt idx="6">
                  <c:v>110.639</c:v>
                </c:pt>
                <c:pt idx="7">
                  <c:v>97.774000000000001</c:v>
                </c:pt>
                <c:pt idx="8">
                  <c:v>46.49</c:v>
                </c:pt>
                <c:pt idx="9">
                  <c:v>64.323999999999998</c:v>
                </c:pt>
                <c:pt idx="10">
                  <c:v>106.538</c:v>
                </c:pt>
                <c:pt idx="11">
                  <c:v>0</c:v>
                </c:pt>
                <c:pt idx="12">
                  <c:v>0</c:v>
                </c:pt>
                <c:pt idx="13">
                  <c:v>143.05199999999999</c:v>
                </c:pt>
                <c:pt idx="14">
                  <c:v>169.93299999999999</c:v>
                </c:pt>
                <c:pt idx="15">
                  <c:v>61.173000000000002</c:v>
                </c:pt>
                <c:pt idx="16">
                  <c:v>125.667</c:v>
                </c:pt>
                <c:pt idx="17">
                  <c:v>105.01900000000001</c:v>
                </c:pt>
                <c:pt idx="18">
                  <c:v>40.216000000000001</c:v>
                </c:pt>
                <c:pt idx="19">
                  <c:v>25.417000000000002</c:v>
                </c:pt>
                <c:pt idx="20">
                  <c:v>55.061</c:v>
                </c:pt>
                <c:pt idx="21">
                  <c:v>168.72800000000001</c:v>
                </c:pt>
                <c:pt idx="22">
                  <c:v>0</c:v>
                </c:pt>
                <c:pt idx="23">
                  <c:v>0</c:v>
                </c:pt>
                <c:pt idx="24">
                  <c:v>27.553999999999998</c:v>
                </c:pt>
                <c:pt idx="25">
                  <c:v>12.268000000000001</c:v>
                </c:pt>
                <c:pt idx="26">
                  <c:v>16.382000000000001</c:v>
                </c:pt>
                <c:pt idx="27">
                  <c:v>3.7130000000000001</c:v>
                </c:pt>
                <c:pt idx="28">
                  <c:v>51.216000000000001</c:v>
                </c:pt>
                <c:pt idx="29">
                  <c:v>16.25</c:v>
                </c:pt>
                <c:pt idx="30">
                  <c:v>44.377000000000002</c:v>
                </c:pt>
                <c:pt idx="31">
                  <c:v>17.829999999999998</c:v>
                </c:pt>
                <c:pt idx="32">
                  <c:v>101.01</c:v>
                </c:pt>
                <c:pt idx="33">
                  <c:v>11.048</c:v>
                </c:pt>
                <c:pt idx="34">
                  <c:v>13.957000000000001</c:v>
                </c:pt>
                <c:pt idx="35">
                  <c:v>44.872</c:v>
                </c:pt>
                <c:pt idx="36">
                  <c:v>2.1800000000000002</c:v>
                </c:pt>
                <c:pt idx="37">
                  <c:v>40.063000000000002</c:v>
                </c:pt>
                <c:pt idx="38">
                  <c:v>7.5039999999999996</c:v>
                </c:pt>
                <c:pt idx="39">
                  <c:v>34.093000000000004</c:v>
                </c:pt>
                <c:pt idx="40">
                  <c:v>69.448999999999998</c:v>
                </c:pt>
                <c:pt idx="41">
                  <c:v>34.912999999999997</c:v>
                </c:pt>
                <c:pt idx="42">
                  <c:v>38.033999999999999</c:v>
                </c:pt>
                <c:pt idx="43">
                  <c:v>9.9949999999999992</c:v>
                </c:pt>
                <c:pt idx="44">
                  <c:v>14.615</c:v>
                </c:pt>
                <c:pt idx="45">
                  <c:v>13.765000000000001</c:v>
                </c:pt>
                <c:pt idx="46">
                  <c:v>23.376000000000001</c:v>
                </c:pt>
                <c:pt idx="47">
                  <c:v>25.524999999999999</c:v>
                </c:pt>
                <c:pt idx="48">
                  <c:v>5.3369999999999997</c:v>
                </c:pt>
                <c:pt idx="49">
                  <c:v>73.745000000000005</c:v>
                </c:pt>
                <c:pt idx="50">
                  <c:v>2.6059999999999999</c:v>
                </c:pt>
                <c:pt idx="51">
                  <c:v>2.3769999999999998</c:v>
                </c:pt>
              </c:numCache>
            </c:numRef>
          </c:val>
        </c:ser>
        <c:ser>
          <c:idx val="1"/>
          <c:order val="1"/>
          <c:tx>
            <c:strRef>
              <c:f>Value!$AE$7</c:f>
              <c:strCache>
                <c:ptCount val="1"/>
                <c:pt idx="0">
                  <c:v>Commercial Buildings </c:v>
                </c:pt>
              </c:strCache>
            </c:strRef>
          </c:tx>
          <c:spPr>
            <a:solidFill>
              <a:schemeClr val="accent2"/>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Value!$AE$49:$AE$100</c:f>
              <c:numCache>
                <c:formatCode>_-"$"* #,##0_-;\-"$"* #,##0_-;_-"$"* "-"??_-;_-@_-</c:formatCode>
                <c:ptCount val="52"/>
                <c:pt idx="0">
                  <c:v>0</c:v>
                </c:pt>
                <c:pt idx="1">
                  <c:v>70.876999999999995</c:v>
                </c:pt>
                <c:pt idx="2">
                  <c:v>33.247</c:v>
                </c:pt>
                <c:pt idx="3">
                  <c:v>232.249</c:v>
                </c:pt>
                <c:pt idx="4">
                  <c:v>11.207000000000001</c:v>
                </c:pt>
                <c:pt idx="5">
                  <c:v>3.7749999999999999</c:v>
                </c:pt>
                <c:pt idx="6">
                  <c:v>17.292999999999999</c:v>
                </c:pt>
                <c:pt idx="7">
                  <c:v>19.273</c:v>
                </c:pt>
                <c:pt idx="8">
                  <c:v>17.199000000000002</c:v>
                </c:pt>
                <c:pt idx="9">
                  <c:v>19.37</c:v>
                </c:pt>
                <c:pt idx="10">
                  <c:v>17.303999999999998</c:v>
                </c:pt>
                <c:pt idx="11">
                  <c:v>0</c:v>
                </c:pt>
                <c:pt idx="12">
                  <c:v>0</c:v>
                </c:pt>
                <c:pt idx="13">
                  <c:v>3.1920000000000002</c:v>
                </c:pt>
                <c:pt idx="14">
                  <c:v>8.6999999999999993</c:v>
                </c:pt>
                <c:pt idx="15">
                  <c:v>1.79</c:v>
                </c:pt>
                <c:pt idx="16">
                  <c:v>4.4610000000000003</c:v>
                </c:pt>
                <c:pt idx="17">
                  <c:v>10.188000000000001</c:v>
                </c:pt>
                <c:pt idx="18">
                  <c:v>0.59799999999999998</c:v>
                </c:pt>
                <c:pt idx="19">
                  <c:v>0.14000000000000001</c:v>
                </c:pt>
                <c:pt idx="20">
                  <c:v>0.61199999999999999</c:v>
                </c:pt>
                <c:pt idx="21">
                  <c:v>22.370999999999999</c:v>
                </c:pt>
                <c:pt idx="22">
                  <c:v>0</c:v>
                </c:pt>
                <c:pt idx="23">
                  <c:v>0</c:v>
                </c:pt>
                <c:pt idx="24">
                  <c:v>2.41</c:v>
                </c:pt>
                <c:pt idx="25">
                  <c:v>0.94899999999999995</c:v>
                </c:pt>
                <c:pt idx="26">
                  <c:v>1.466</c:v>
                </c:pt>
                <c:pt idx="27">
                  <c:v>8.5000000000000006E-2</c:v>
                </c:pt>
                <c:pt idx="28">
                  <c:v>6.3769999999999998</c:v>
                </c:pt>
                <c:pt idx="29">
                  <c:v>0.80500000000000005</c:v>
                </c:pt>
                <c:pt idx="30">
                  <c:v>9.1050000000000004</c:v>
                </c:pt>
                <c:pt idx="31">
                  <c:v>0.83099999999999996</c:v>
                </c:pt>
                <c:pt idx="32">
                  <c:v>14.679</c:v>
                </c:pt>
                <c:pt idx="33">
                  <c:v>0.58599999999999997</c:v>
                </c:pt>
                <c:pt idx="34">
                  <c:v>1.4530000000000001</c:v>
                </c:pt>
                <c:pt idx="35">
                  <c:v>7.0000000000000007E-2</c:v>
                </c:pt>
                <c:pt idx="36">
                  <c:v>5.3999999999999999E-2</c:v>
                </c:pt>
                <c:pt idx="37">
                  <c:v>0.52100000000000002</c:v>
                </c:pt>
                <c:pt idx="38">
                  <c:v>0</c:v>
                </c:pt>
                <c:pt idx="39">
                  <c:v>0.80500000000000005</c:v>
                </c:pt>
                <c:pt idx="40">
                  <c:v>12.022</c:v>
                </c:pt>
                <c:pt idx="41">
                  <c:v>1.647</c:v>
                </c:pt>
                <c:pt idx="42">
                  <c:v>0.92700000000000005</c:v>
                </c:pt>
                <c:pt idx="43">
                  <c:v>0.82499999999999996</c:v>
                </c:pt>
                <c:pt idx="44">
                  <c:v>0.13900000000000001</c:v>
                </c:pt>
                <c:pt idx="45">
                  <c:v>15.335000000000001</c:v>
                </c:pt>
                <c:pt idx="46">
                  <c:v>6.5000000000000002E-2</c:v>
                </c:pt>
                <c:pt idx="47">
                  <c:v>1.159</c:v>
                </c:pt>
                <c:pt idx="48">
                  <c:v>0.28499999999999998</c:v>
                </c:pt>
                <c:pt idx="49">
                  <c:v>2.6720000000000002</c:v>
                </c:pt>
                <c:pt idx="50">
                  <c:v>0.09</c:v>
                </c:pt>
                <c:pt idx="51">
                  <c:v>0.375</c:v>
                </c:pt>
              </c:numCache>
            </c:numRef>
          </c:val>
        </c:ser>
        <c:ser>
          <c:idx val="2"/>
          <c:order val="2"/>
          <c:tx>
            <c:strRef>
              <c:f>Value!$AF$7</c:f>
              <c:strCache>
                <c:ptCount val="1"/>
                <c:pt idx="0">
                  <c:v>Industrial Buildings</c:v>
                </c:pt>
              </c:strCache>
            </c:strRef>
          </c:tx>
          <c:spPr>
            <a:solidFill>
              <a:schemeClr val="accent3"/>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Value!$AF$49:$AF$100</c:f>
              <c:numCache>
                <c:formatCode>_-"$"* #,##0_-;\-"$"* #,##0_-;_-"$"* "-"??_-;_-@_-</c:formatCode>
                <c:ptCount val="52"/>
                <c:pt idx="0">
                  <c:v>0</c:v>
                </c:pt>
                <c:pt idx="1">
                  <c:v>14.821</c:v>
                </c:pt>
                <c:pt idx="2">
                  <c:v>11.032999999999999</c:v>
                </c:pt>
                <c:pt idx="3">
                  <c:v>32.482999999999997</c:v>
                </c:pt>
                <c:pt idx="4">
                  <c:v>14.577</c:v>
                </c:pt>
                <c:pt idx="5">
                  <c:v>1.6659999999999999</c:v>
                </c:pt>
                <c:pt idx="6">
                  <c:v>6.2119999999999997</c:v>
                </c:pt>
                <c:pt idx="7">
                  <c:v>7.2789999999999999</c:v>
                </c:pt>
                <c:pt idx="8">
                  <c:v>0.82899999999999996</c:v>
                </c:pt>
                <c:pt idx="9">
                  <c:v>1.1950000000000001</c:v>
                </c:pt>
                <c:pt idx="10">
                  <c:v>4.8710000000000004</c:v>
                </c:pt>
                <c:pt idx="11">
                  <c:v>0</c:v>
                </c:pt>
                <c:pt idx="12">
                  <c:v>0</c:v>
                </c:pt>
                <c:pt idx="13">
                  <c:v>0.82799999999999996</c:v>
                </c:pt>
                <c:pt idx="14">
                  <c:v>5.8330000000000002</c:v>
                </c:pt>
                <c:pt idx="15">
                  <c:v>6.56</c:v>
                </c:pt>
                <c:pt idx="16">
                  <c:v>4.6989999999999998</c:v>
                </c:pt>
                <c:pt idx="17">
                  <c:v>1.5029999999999999</c:v>
                </c:pt>
                <c:pt idx="18">
                  <c:v>2.0790000000000002</c:v>
                </c:pt>
                <c:pt idx="19">
                  <c:v>0</c:v>
                </c:pt>
                <c:pt idx="20">
                  <c:v>5.3890000000000002</c:v>
                </c:pt>
                <c:pt idx="21">
                  <c:v>9.6340000000000003</c:v>
                </c:pt>
                <c:pt idx="22">
                  <c:v>0</c:v>
                </c:pt>
                <c:pt idx="23">
                  <c:v>0</c:v>
                </c:pt>
                <c:pt idx="24">
                  <c:v>1.0609999999999999</c:v>
                </c:pt>
                <c:pt idx="25">
                  <c:v>1.43</c:v>
                </c:pt>
                <c:pt idx="26">
                  <c:v>0.41899999999999998</c:v>
                </c:pt>
                <c:pt idx="27">
                  <c:v>5.9180000000000001</c:v>
                </c:pt>
                <c:pt idx="28">
                  <c:v>23.244</c:v>
                </c:pt>
                <c:pt idx="29">
                  <c:v>1.105</c:v>
                </c:pt>
                <c:pt idx="30">
                  <c:v>4.1890000000000001</c:v>
                </c:pt>
                <c:pt idx="31">
                  <c:v>2.3090000000000002</c:v>
                </c:pt>
                <c:pt idx="32">
                  <c:v>1.756</c:v>
                </c:pt>
                <c:pt idx="33">
                  <c:v>1.0149999999999999</c:v>
                </c:pt>
                <c:pt idx="34">
                  <c:v>1.097</c:v>
                </c:pt>
                <c:pt idx="35">
                  <c:v>1.2749999999999999</c:v>
                </c:pt>
                <c:pt idx="36">
                  <c:v>1.1140000000000001</c:v>
                </c:pt>
                <c:pt idx="37">
                  <c:v>2.0099999999999998</c:v>
                </c:pt>
                <c:pt idx="38">
                  <c:v>10.106</c:v>
                </c:pt>
                <c:pt idx="39">
                  <c:v>1.0289999999999999</c:v>
                </c:pt>
                <c:pt idx="40">
                  <c:v>5.6349999999999998</c:v>
                </c:pt>
                <c:pt idx="41">
                  <c:v>0.872</c:v>
                </c:pt>
                <c:pt idx="42">
                  <c:v>4.3959999999999999</c:v>
                </c:pt>
                <c:pt idx="43">
                  <c:v>1.8879999999999999</c:v>
                </c:pt>
                <c:pt idx="44">
                  <c:v>0.36799999999999999</c:v>
                </c:pt>
                <c:pt idx="45">
                  <c:v>1.946</c:v>
                </c:pt>
                <c:pt idx="46">
                  <c:v>4.58</c:v>
                </c:pt>
                <c:pt idx="47">
                  <c:v>5.4770000000000003</c:v>
                </c:pt>
                <c:pt idx="48">
                  <c:v>6.6000000000000003E-2</c:v>
                </c:pt>
                <c:pt idx="49">
                  <c:v>4.7770000000000001</c:v>
                </c:pt>
                <c:pt idx="50">
                  <c:v>0.123</c:v>
                </c:pt>
                <c:pt idx="51">
                  <c:v>0.49099999999999999</c:v>
                </c:pt>
              </c:numCache>
            </c:numRef>
          </c:val>
        </c:ser>
        <c:ser>
          <c:idx val="3"/>
          <c:order val="3"/>
          <c:tx>
            <c:strRef>
              <c:f>Value!$AG$7</c:f>
              <c:strCache>
                <c:ptCount val="1"/>
                <c:pt idx="0">
                  <c:v>Other Non-residential</c:v>
                </c:pt>
              </c:strCache>
            </c:strRef>
          </c:tx>
          <c:spPr>
            <a:solidFill>
              <a:schemeClr val="accent4"/>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Value!$AG$49:$AG$100</c:f>
              <c:numCache>
                <c:formatCode>_-"$"* #,##0_-;\-"$"* #,##0_-;_-"$"* "-"??_-;_-@_-</c:formatCode>
                <c:ptCount val="52"/>
                <c:pt idx="0">
                  <c:v>0</c:v>
                </c:pt>
                <c:pt idx="1">
                  <c:v>55.322000000000003</c:v>
                </c:pt>
                <c:pt idx="2">
                  <c:v>92.736000000000004</c:v>
                </c:pt>
                <c:pt idx="3">
                  <c:v>191.67400000000001</c:v>
                </c:pt>
                <c:pt idx="4">
                  <c:v>77.715999999999994</c:v>
                </c:pt>
                <c:pt idx="5">
                  <c:v>13.526999999999999</c:v>
                </c:pt>
                <c:pt idx="6">
                  <c:v>87.165000000000006</c:v>
                </c:pt>
                <c:pt idx="7">
                  <c:v>11.801</c:v>
                </c:pt>
                <c:pt idx="8">
                  <c:v>19.337</c:v>
                </c:pt>
                <c:pt idx="9">
                  <c:v>6.7270000000000003</c:v>
                </c:pt>
                <c:pt idx="10">
                  <c:v>6.7649999999999997</c:v>
                </c:pt>
                <c:pt idx="11">
                  <c:v>0</c:v>
                </c:pt>
                <c:pt idx="12">
                  <c:v>0</c:v>
                </c:pt>
                <c:pt idx="13">
                  <c:v>3.6560000000000001</c:v>
                </c:pt>
                <c:pt idx="14">
                  <c:v>4.1500000000000004</c:v>
                </c:pt>
                <c:pt idx="15">
                  <c:v>1.6859999999999999</c:v>
                </c:pt>
                <c:pt idx="16">
                  <c:v>10.983000000000001</c:v>
                </c:pt>
                <c:pt idx="17">
                  <c:v>9.7379999999999995</c:v>
                </c:pt>
                <c:pt idx="18">
                  <c:v>2.2770000000000001</c:v>
                </c:pt>
                <c:pt idx="19">
                  <c:v>0.496</c:v>
                </c:pt>
                <c:pt idx="20">
                  <c:v>7.5910000000000002</c:v>
                </c:pt>
                <c:pt idx="21">
                  <c:v>66.239999999999995</c:v>
                </c:pt>
                <c:pt idx="22">
                  <c:v>0</c:v>
                </c:pt>
                <c:pt idx="23">
                  <c:v>0</c:v>
                </c:pt>
                <c:pt idx="24">
                  <c:v>4.17</c:v>
                </c:pt>
                <c:pt idx="25">
                  <c:v>2.1760000000000002</c:v>
                </c:pt>
                <c:pt idx="26">
                  <c:v>0.14000000000000001</c:v>
                </c:pt>
                <c:pt idx="27">
                  <c:v>0.84699999999999998</c:v>
                </c:pt>
                <c:pt idx="28">
                  <c:v>17.346</c:v>
                </c:pt>
                <c:pt idx="29">
                  <c:v>4.242</c:v>
                </c:pt>
                <c:pt idx="30">
                  <c:v>6.9009999999999998</c:v>
                </c:pt>
                <c:pt idx="31">
                  <c:v>5.7690000000000001</c:v>
                </c:pt>
                <c:pt idx="32">
                  <c:v>10.128</c:v>
                </c:pt>
                <c:pt idx="33">
                  <c:v>0.81100000000000005</c:v>
                </c:pt>
                <c:pt idx="34">
                  <c:v>5.1289999999999996</c:v>
                </c:pt>
                <c:pt idx="35">
                  <c:v>3.9750000000000001</c:v>
                </c:pt>
                <c:pt idx="36">
                  <c:v>2.1309999999999998</c:v>
                </c:pt>
                <c:pt idx="37">
                  <c:v>1.272</c:v>
                </c:pt>
                <c:pt idx="38">
                  <c:v>0.82599999999999996</c:v>
                </c:pt>
                <c:pt idx="39">
                  <c:v>0.66500000000000004</c:v>
                </c:pt>
                <c:pt idx="40">
                  <c:v>7.4450000000000003</c:v>
                </c:pt>
                <c:pt idx="41">
                  <c:v>12.993</c:v>
                </c:pt>
                <c:pt idx="42">
                  <c:v>5.5549999999999997</c:v>
                </c:pt>
                <c:pt idx="43">
                  <c:v>1.401</c:v>
                </c:pt>
                <c:pt idx="44">
                  <c:v>1.587</c:v>
                </c:pt>
                <c:pt idx="45">
                  <c:v>0.56299999999999994</c:v>
                </c:pt>
                <c:pt idx="46">
                  <c:v>16.247</c:v>
                </c:pt>
                <c:pt idx="47">
                  <c:v>1.8129999999999999</c:v>
                </c:pt>
                <c:pt idx="48">
                  <c:v>0.23400000000000001</c:v>
                </c:pt>
                <c:pt idx="49">
                  <c:v>46.991</c:v>
                </c:pt>
                <c:pt idx="50">
                  <c:v>0.13800000000000001</c:v>
                </c:pt>
                <c:pt idx="51">
                  <c:v>1.55</c:v>
                </c:pt>
              </c:numCache>
            </c:numRef>
          </c:val>
        </c:ser>
        <c:dLbls>
          <c:showLegendKey val="0"/>
          <c:showVal val="0"/>
          <c:showCatName val="0"/>
          <c:showSerName val="0"/>
          <c:showPercent val="0"/>
          <c:showBubbleSize val="0"/>
        </c:dLbls>
        <c:gapWidth val="30"/>
        <c:overlap val="100"/>
        <c:axId val="511381744"/>
        <c:axId val="511382304"/>
      </c:barChart>
      <c:catAx>
        <c:axId val="5113817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382304"/>
        <c:crosses val="autoZero"/>
        <c:auto val="1"/>
        <c:lblAlgn val="ctr"/>
        <c:lblOffset val="100"/>
        <c:noMultiLvlLbl val="0"/>
      </c:catAx>
      <c:valAx>
        <c:axId val="511382304"/>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Value</a:t>
                </a:r>
                <a:r>
                  <a:rPr lang="en-AU" baseline="0"/>
                  <a:t> of Approvals (millions)</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381744"/>
        <c:crosses val="autoZero"/>
        <c:crossBetween val="between"/>
      </c:valAx>
      <c:spPr>
        <a:noFill/>
        <a:ln>
          <a:noFill/>
        </a:ln>
        <a:effectLst/>
      </c:spPr>
    </c:plotArea>
    <c:legend>
      <c:legendPos val="b"/>
      <c:layout>
        <c:manualLayout>
          <c:xMode val="edge"/>
          <c:yMode val="edge"/>
          <c:x val="0.59005242022571436"/>
          <c:y val="0"/>
          <c:w val="0.40799371835842696"/>
          <c:h val="6.631936953942400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Value</a:t>
            </a:r>
            <a:r>
              <a:rPr lang="en-AU" baseline="0"/>
              <a:t> of Building Approvals - Commerical </a:t>
            </a:r>
          </a:p>
          <a:p>
            <a:pPr algn="l">
              <a:defRPr/>
            </a:pPr>
            <a:r>
              <a:rPr lang="en-AU" baseline="0"/>
              <a:t>Metropolitan Melbourne </a:t>
            </a:r>
          </a:p>
          <a:p>
            <a:pPr algn="l">
              <a:defRPr/>
            </a:pPr>
            <a:r>
              <a:rPr lang="en-AU" baseline="0"/>
              <a:t>2015/16</a:t>
            </a:r>
          </a:p>
          <a:p>
            <a:pPr algn="l">
              <a:defRPr/>
            </a:pPr>
            <a:r>
              <a:rPr lang="en-AU" sz="1000" baseline="0"/>
              <a:t>Source: ABS Building Approvals</a:t>
            </a:r>
            <a:endParaRPr lang="en-AU" sz="1000"/>
          </a:p>
        </c:rich>
      </c:tx>
      <c:layout>
        <c:manualLayout>
          <c:xMode val="edge"/>
          <c:yMode val="edge"/>
          <c:x val="1.6560691419848367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31392101091966"/>
          <c:y val="0.16076970747246339"/>
          <c:w val="0.73539170574389501"/>
          <c:h val="0.8256362586086996"/>
        </c:manualLayout>
      </c:layout>
      <c:barChart>
        <c:barDir val="bar"/>
        <c:grouping val="stacked"/>
        <c:varyColors val="0"/>
        <c:ser>
          <c:idx val="0"/>
          <c:order val="0"/>
          <c:tx>
            <c:strRef>
              <c:f>Value!$AS$7</c:f>
              <c:strCache>
                <c:ptCount val="1"/>
                <c:pt idx="0">
                  <c:v>Retail and wholesale trade buildings</c:v>
                </c:pt>
              </c:strCache>
            </c:strRef>
          </c:tx>
          <c:spPr>
            <a:solidFill>
              <a:schemeClr val="accent2"/>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Value!$AS$8:$AS$48</c:f>
              <c:numCache>
                <c:formatCode>_-"$"* #,##0_-;\-"$"* #,##0_-;_-"$"* "-"??_-;_-@_-</c:formatCode>
                <c:ptCount val="41"/>
                <c:pt idx="1">
                  <c:v>23.875</c:v>
                </c:pt>
                <c:pt idx="2">
                  <c:v>158.685</c:v>
                </c:pt>
                <c:pt idx="3">
                  <c:v>25.3</c:v>
                </c:pt>
                <c:pt idx="4">
                  <c:v>29.276</c:v>
                </c:pt>
                <c:pt idx="5">
                  <c:v>27.411000000000001</c:v>
                </c:pt>
                <c:pt idx="6">
                  <c:v>0</c:v>
                </c:pt>
                <c:pt idx="7">
                  <c:v>0</c:v>
                </c:pt>
                <c:pt idx="8">
                  <c:v>26.452000000000002</c:v>
                </c:pt>
                <c:pt idx="9">
                  <c:v>24.224</c:v>
                </c:pt>
                <c:pt idx="10">
                  <c:v>47.96</c:v>
                </c:pt>
                <c:pt idx="11">
                  <c:v>57.271999999999998</c:v>
                </c:pt>
                <c:pt idx="12">
                  <c:v>26.661000000000001</c:v>
                </c:pt>
                <c:pt idx="13">
                  <c:v>19.081</c:v>
                </c:pt>
                <c:pt idx="14">
                  <c:v>13.081</c:v>
                </c:pt>
                <c:pt idx="15">
                  <c:v>0</c:v>
                </c:pt>
                <c:pt idx="16">
                  <c:v>0</c:v>
                </c:pt>
                <c:pt idx="17">
                  <c:v>9.08</c:v>
                </c:pt>
                <c:pt idx="18">
                  <c:v>32.662999999999997</c:v>
                </c:pt>
                <c:pt idx="19">
                  <c:v>20.571000000000002</c:v>
                </c:pt>
                <c:pt idx="20">
                  <c:v>10.837</c:v>
                </c:pt>
                <c:pt idx="21">
                  <c:v>7.1070000000000002</c:v>
                </c:pt>
                <c:pt idx="22">
                  <c:v>4.6500000000000004</c:v>
                </c:pt>
                <c:pt idx="23">
                  <c:v>24.942</c:v>
                </c:pt>
                <c:pt idx="24">
                  <c:v>0</c:v>
                </c:pt>
                <c:pt idx="25">
                  <c:v>0</c:v>
                </c:pt>
                <c:pt idx="26">
                  <c:v>4.9370000000000003</c:v>
                </c:pt>
                <c:pt idx="27">
                  <c:v>16.326000000000001</c:v>
                </c:pt>
                <c:pt idx="28">
                  <c:v>46.472000000000001</c:v>
                </c:pt>
                <c:pt idx="29">
                  <c:v>10.196999999999999</c:v>
                </c:pt>
                <c:pt idx="30">
                  <c:v>7.7789999999999999</c:v>
                </c:pt>
                <c:pt idx="31">
                  <c:v>18.475999999999999</c:v>
                </c:pt>
                <c:pt idx="32">
                  <c:v>13.942</c:v>
                </c:pt>
                <c:pt idx="33">
                  <c:v>48.134</c:v>
                </c:pt>
                <c:pt idx="34">
                  <c:v>0</c:v>
                </c:pt>
                <c:pt idx="35">
                  <c:v>0</c:v>
                </c:pt>
                <c:pt idx="36">
                  <c:v>41.584000000000003</c:v>
                </c:pt>
                <c:pt idx="37">
                  <c:v>6.1349999999999998</c:v>
                </c:pt>
                <c:pt idx="38">
                  <c:v>11.464</c:v>
                </c:pt>
                <c:pt idx="39">
                  <c:v>19.937999999999999</c:v>
                </c:pt>
                <c:pt idx="40">
                  <c:v>67.846999999999994</c:v>
                </c:pt>
              </c:numCache>
            </c:numRef>
          </c:val>
        </c:ser>
        <c:ser>
          <c:idx val="1"/>
          <c:order val="1"/>
          <c:tx>
            <c:strRef>
              <c:f>Value!$AT$7</c:f>
              <c:strCache>
                <c:ptCount val="1"/>
                <c:pt idx="0">
                  <c:v>Transport buildings</c:v>
                </c:pt>
              </c:strCache>
            </c:strRef>
          </c:tx>
          <c:spPr>
            <a:solidFill>
              <a:schemeClr val="accent4"/>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Value!$AT$8:$AT$48</c:f>
              <c:numCache>
                <c:formatCode>_-"$"* #,##0_-;\-"$"* #,##0_-;_-"$"* "-"??_-;_-@_-</c:formatCode>
                <c:ptCount val="41"/>
                <c:pt idx="1">
                  <c:v>9.15</c:v>
                </c:pt>
                <c:pt idx="2">
                  <c:v>1.0649999999999999</c:v>
                </c:pt>
                <c:pt idx="3">
                  <c:v>0</c:v>
                </c:pt>
                <c:pt idx="4">
                  <c:v>9.08</c:v>
                </c:pt>
                <c:pt idx="5">
                  <c:v>5.4710000000000001</c:v>
                </c:pt>
                <c:pt idx="6">
                  <c:v>0</c:v>
                </c:pt>
                <c:pt idx="7">
                  <c:v>0</c:v>
                </c:pt>
                <c:pt idx="8">
                  <c:v>0</c:v>
                </c:pt>
                <c:pt idx="9">
                  <c:v>8.31</c:v>
                </c:pt>
                <c:pt idx="10">
                  <c:v>3.3</c:v>
                </c:pt>
                <c:pt idx="11">
                  <c:v>0.08</c:v>
                </c:pt>
                <c:pt idx="12">
                  <c:v>0.15</c:v>
                </c:pt>
                <c:pt idx="13">
                  <c:v>26.268000000000001</c:v>
                </c:pt>
                <c:pt idx="14">
                  <c:v>0</c:v>
                </c:pt>
                <c:pt idx="15">
                  <c:v>0</c:v>
                </c:pt>
                <c:pt idx="16">
                  <c:v>0</c:v>
                </c:pt>
                <c:pt idx="17">
                  <c:v>0.12</c:v>
                </c:pt>
                <c:pt idx="18">
                  <c:v>5.8000000000000003E-2</c:v>
                </c:pt>
                <c:pt idx="19">
                  <c:v>26.821000000000002</c:v>
                </c:pt>
                <c:pt idx="20">
                  <c:v>0</c:v>
                </c:pt>
                <c:pt idx="21">
                  <c:v>5.8000000000000003E-2</c:v>
                </c:pt>
                <c:pt idx="22">
                  <c:v>0</c:v>
                </c:pt>
                <c:pt idx="23">
                  <c:v>4.7619999999999996</c:v>
                </c:pt>
                <c:pt idx="24">
                  <c:v>0</c:v>
                </c:pt>
                <c:pt idx="25">
                  <c:v>0</c:v>
                </c:pt>
                <c:pt idx="26">
                  <c:v>7.0000000000000007E-2</c:v>
                </c:pt>
                <c:pt idx="27">
                  <c:v>0</c:v>
                </c:pt>
                <c:pt idx="28">
                  <c:v>1.2310000000000001</c:v>
                </c:pt>
                <c:pt idx="29">
                  <c:v>0</c:v>
                </c:pt>
                <c:pt idx="30">
                  <c:v>0</c:v>
                </c:pt>
                <c:pt idx="31">
                  <c:v>0.153</c:v>
                </c:pt>
                <c:pt idx="32">
                  <c:v>0.60199999999999998</c:v>
                </c:pt>
                <c:pt idx="33">
                  <c:v>0.35</c:v>
                </c:pt>
                <c:pt idx="34">
                  <c:v>0</c:v>
                </c:pt>
                <c:pt idx="35">
                  <c:v>0</c:v>
                </c:pt>
                <c:pt idx="36">
                  <c:v>14.103999999999999</c:v>
                </c:pt>
                <c:pt idx="37">
                  <c:v>0.15</c:v>
                </c:pt>
                <c:pt idx="38">
                  <c:v>1.6919999999999999</c:v>
                </c:pt>
                <c:pt idx="39">
                  <c:v>7.0579999999999998</c:v>
                </c:pt>
                <c:pt idx="40">
                  <c:v>0</c:v>
                </c:pt>
              </c:numCache>
            </c:numRef>
          </c:val>
        </c:ser>
        <c:ser>
          <c:idx val="2"/>
          <c:order val="2"/>
          <c:tx>
            <c:strRef>
              <c:f>Value!$AU$7</c:f>
              <c:strCache>
                <c:ptCount val="1"/>
                <c:pt idx="0">
                  <c:v>Offices</c:v>
                </c:pt>
              </c:strCache>
            </c:strRef>
          </c:tx>
          <c:spPr>
            <a:solidFill>
              <a:schemeClr val="accent6"/>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Value!$AU$8:$AU$48</c:f>
              <c:numCache>
                <c:formatCode>_-"$"* #,##0_-;\-"$"* #,##0_-;_-"$"* "-"??_-;_-@_-</c:formatCode>
                <c:ptCount val="41"/>
                <c:pt idx="1">
                  <c:v>4.63</c:v>
                </c:pt>
                <c:pt idx="2">
                  <c:v>571.99199999999996</c:v>
                </c:pt>
                <c:pt idx="3">
                  <c:v>62.067999999999998</c:v>
                </c:pt>
                <c:pt idx="4">
                  <c:v>24.722999999999999</c:v>
                </c:pt>
                <c:pt idx="5">
                  <c:v>49.463999999999999</c:v>
                </c:pt>
                <c:pt idx="6">
                  <c:v>0</c:v>
                </c:pt>
                <c:pt idx="7">
                  <c:v>0</c:v>
                </c:pt>
                <c:pt idx="8">
                  <c:v>12.087</c:v>
                </c:pt>
                <c:pt idx="9">
                  <c:v>18.902999999999999</c:v>
                </c:pt>
                <c:pt idx="10">
                  <c:v>2.028</c:v>
                </c:pt>
                <c:pt idx="11">
                  <c:v>5.8650000000000002</c:v>
                </c:pt>
                <c:pt idx="12">
                  <c:v>99.915999999999997</c:v>
                </c:pt>
                <c:pt idx="13">
                  <c:v>12.065</c:v>
                </c:pt>
                <c:pt idx="14">
                  <c:v>2.3719999999999999</c:v>
                </c:pt>
                <c:pt idx="15">
                  <c:v>0</c:v>
                </c:pt>
                <c:pt idx="16">
                  <c:v>0</c:v>
                </c:pt>
                <c:pt idx="17">
                  <c:v>18.138000000000002</c:v>
                </c:pt>
                <c:pt idx="18">
                  <c:v>7.9210000000000003</c:v>
                </c:pt>
                <c:pt idx="19">
                  <c:v>19.364999999999998</c:v>
                </c:pt>
                <c:pt idx="20">
                  <c:v>2.1120000000000001</c:v>
                </c:pt>
                <c:pt idx="21">
                  <c:v>2.0619999999999998</c:v>
                </c:pt>
                <c:pt idx="22">
                  <c:v>0.35599999999999998</c:v>
                </c:pt>
                <c:pt idx="23">
                  <c:v>19.623999999999999</c:v>
                </c:pt>
                <c:pt idx="24">
                  <c:v>0</c:v>
                </c:pt>
                <c:pt idx="25">
                  <c:v>0</c:v>
                </c:pt>
                <c:pt idx="26">
                  <c:v>3.55</c:v>
                </c:pt>
                <c:pt idx="27">
                  <c:v>9.3989999999999991</c:v>
                </c:pt>
                <c:pt idx="28">
                  <c:v>15.047000000000001</c:v>
                </c:pt>
                <c:pt idx="29">
                  <c:v>1.569</c:v>
                </c:pt>
                <c:pt idx="30">
                  <c:v>3.552</c:v>
                </c:pt>
                <c:pt idx="31">
                  <c:v>53.11</c:v>
                </c:pt>
                <c:pt idx="32">
                  <c:v>18.12</c:v>
                </c:pt>
                <c:pt idx="33">
                  <c:v>2.8879999999999999</c:v>
                </c:pt>
                <c:pt idx="34">
                  <c:v>0</c:v>
                </c:pt>
                <c:pt idx="35">
                  <c:v>0</c:v>
                </c:pt>
                <c:pt idx="36">
                  <c:v>8.1430000000000007</c:v>
                </c:pt>
                <c:pt idx="37">
                  <c:v>2.8479999999999999</c:v>
                </c:pt>
                <c:pt idx="38">
                  <c:v>4.3570000000000002</c:v>
                </c:pt>
                <c:pt idx="39">
                  <c:v>13.702</c:v>
                </c:pt>
                <c:pt idx="40">
                  <c:v>11.521000000000001</c:v>
                </c:pt>
              </c:numCache>
            </c:numRef>
          </c:val>
        </c:ser>
        <c:ser>
          <c:idx val="3"/>
          <c:order val="3"/>
          <c:tx>
            <c:strRef>
              <c:f>Value!$AV$7</c:f>
              <c:strCache>
                <c:ptCount val="1"/>
                <c:pt idx="0">
                  <c:v>Other Commercial buildings </c:v>
                </c:pt>
              </c:strCache>
            </c:strRef>
          </c:tx>
          <c:spPr>
            <a:solidFill>
              <a:schemeClr val="accent2">
                <a:lumMod val="60000"/>
              </a:schemeClr>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Value!$AV$8:$AV$48</c:f>
              <c:numCache>
                <c:formatCode>_-"$"* #,##0_-;\-"$"* #,##0_-;_-"$"* "-"??_-;_-@_-</c:formatCode>
                <c:ptCount val="41"/>
                <c:pt idx="1">
                  <c:v>0</c:v>
                </c:pt>
                <c:pt idx="2">
                  <c:v>0.33400000000000002</c:v>
                </c:pt>
                <c:pt idx="3">
                  <c:v>0.2</c:v>
                </c:pt>
                <c:pt idx="4">
                  <c:v>2.105</c:v>
                </c:pt>
                <c:pt idx="5">
                  <c:v>1.1419999999999999</c:v>
                </c:pt>
                <c:pt idx="6">
                  <c:v>0</c:v>
                </c:pt>
                <c:pt idx="7">
                  <c:v>0</c:v>
                </c:pt>
                <c:pt idx="8">
                  <c:v>0.56999999999999995</c:v>
                </c:pt>
                <c:pt idx="9">
                  <c:v>0.13800000000000001</c:v>
                </c:pt>
                <c:pt idx="10">
                  <c:v>0.33</c:v>
                </c:pt>
                <c:pt idx="11">
                  <c:v>0.248</c:v>
                </c:pt>
                <c:pt idx="12">
                  <c:v>0.2</c:v>
                </c:pt>
                <c:pt idx="13">
                  <c:v>0.52900000000000003</c:v>
                </c:pt>
                <c:pt idx="14">
                  <c:v>0</c:v>
                </c:pt>
                <c:pt idx="15">
                  <c:v>0</c:v>
                </c:pt>
                <c:pt idx="16">
                  <c:v>0</c:v>
                </c:pt>
                <c:pt idx="17">
                  <c:v>0.28999999999999998</c:v>
                </c:pt>
                <c:pt idx="18">
                  <c:v>0.88</c:v>
                </c:pt>
                <c:pt idx="19">
                  <c:v>6.25</c:v>
                </c:pt>
                <c:pt idx="20">
                  <c:v>0</c:v>
                </c:pt>
                <c:pt idx="21">
                  <c:v>3.335</c:v>
                </c:pt>
                <c:pt idx="22">
                  <c:v>0</c:v>
                </c:pt>
                <c:pt idx="23">
                  <c:v>3.081</c:v>
                </c:pt>
                <c:pt idx="24">
                  <c:v>0</c:v>
                </c:pt>
                <c:pt idx="25">
                  <c:v>0</c:v>
                </c:pt>
                <c:pt idx="26">
                  <c:v>0</c:v>
                </c:pt>
                <c:pt idx="27">
                  <c:v>3.266</c:v>
                </c:pt>
                <c:pt idx="28">
                  <c:v>2.278</c:v>
                </c:pt>
                <c:pt idx="29">
                  <c:v>0</c:v>
                </c:pt>
                <c:pt idx="30">
                  <c:v>5.5E-2</c:v>
                </c:pt>
                <c:pt idx="31">
                  <c:v>4.5309999999999997</c:v>
                </c:pt>
                <c:pt idx="32">
                  <c:v>0.14000000000000001</c:v>
                </c:pt>
                <c:pt idx="33">
                  <c:v>0</c:v>
                </c:pt>
                <c:pt idx="34">
                  <c:v>0</c:v>
                </c:pt>
                <c:pt idx="35">
                  <c:v>0</c:v>
                </c:pt>
                <c:pt idx="36">
                  <c:v>1.85</c:v>
                </c:pt>
                <c:pt idx="37">
                  <c:v>0.2</c:v>
                </c:pt>
                <c:pt idx="38">
                  <c:v>0</c:v>
                </c:pt>
                <c:pt idx="39">
                  <c:v>8.7999999999999995E-2</c:v>
                </c:pt>
                <c:pt idx="40">
                  <c:v>1.1000000000000001</c:v>
                </c:pt>
              </c:numCache>
            </c:numRef>
          </c:val>
        </c:ser>
        <c:dLbls>
          <c:showLegendKey val="0"/>
          <c:showVal val="0"/>
          <c:showCatName val="0"/>
          <c:showSerName val="0"/>
          <c:showPercent val="0"/>
          <c:showBubbleSize val="0"/>
        </c:dLbls>
        <c:gapWidth val="30"/>
        <c:overlap val="100"/>
        <c:axId val="511386224"/>
        <c:axId val="511386784"/>
      </c:barChart>
      <c:catAx>
        <c:axId val="5113862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386784"/>
        <c:crosses val="autoZero"/>
        <c:auto val="1"/>
        <c:lblAlgn val="ctr"/>
        <c:lblOffset val="100"/>
        <c:noMultiLvlLbl val="0"/>
      </c:catAx>
      <c:valAx>
        <c:axId val="511386784"/>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Value</a:t>
                </a:r>
                <a:r>
                  <a:rPr lang="en-AU" baseline="0"/>
                  <a:t> of Approvals (millions)</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386224"/>
        <c:crosses val="autoZero"/>
        <c:crossBetween val="between"/>
      </c:valAx>
      <c:spPr>
        <a:noFill/>
        <a:ln>
          <a:noFill/>
        </a:ln>
        <a:effectLst/>
      </c:spPr>
    </c:plotArea>
    <c:legend>
      <c:legendPos val="b"/>
      <c:layout>
        <c:manualLayout>
          <c:xMode val="edge"/>
          <c:yMode val="edge"/>
          <c:x val="0.59005242022571436"/>
          <c:y val="0"/>
          <c:w val="0.40799371835842696"/>
          <c:h val="9.771210489714427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Value</a:t>
            </a:r>
            <a:r>
              <a:rPr lang="en-AU" baseline="0"/>
              <a:t> of Building Approvals - Commerical </a:t>
            </a:r>
          </a:p>
          <a:p>
            <a:pPr algn="l">
              <a:defRPr/>
            </a:pPr>
            <a:r>
              <a:rPr lang="en-AU" sz="1400" baseline="0"/>
              <a:t>Regional Victoria</a:t>
            </a:r>
          </a:p>
          <a:p>
            <a:pPr algn="l">
              <a:defRPr/>
            </a:pPr>
            <a:r>
              <a:rPr lang="en-AU" sz="1400" b="0" i="0" baseline="0">
                <a:effectLst/>
              </a:rPr>
              <a:t>2015/16</a:t>
            </a:r>
            <a:endParaRPr lang="en-AU" sz="1400">
              <a:effectLst/>
            </a:endParaRPr>
          </a:p>
          <a:p>
            <a:pPr algn="l">
              <a:defRPr/>
            </a:pPr>
            <a:r>
              <a:rPr lang="en-AU" sz="1000" baseline="0"/>
              <a:t>Source: ABS Building Approvals</a:t>
            </a:r>
            <a:endParaRPr lang="en-AU" sz="1000"/>
          </a:p>
        </c:rich>
      </c:tx>
      <c:layout>
        <c:manualLayout>
          <c:xMode val="edge"/>
          <c:yMode val="edge"/>
          <c:x val="1.6560691419848367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6870168380591769"/>
          <c:y val="0.13675435743442732"/>
          <c:w val="0.68982921704459077"/>
          <c:h val="0.84965168258866774"/>
        </c:manualLayout>
      </c:layout>
      <c:barChart>
        <c:barDir val="bar"/>
        <c:grouping val="stacked"/>
        <c:varyColors val="0"/>
        <c:ser>
          <c:idx val="0"/>
          <c:order val="0"/>
          <c:tx>
            <c:strRef>
              <c:f>Value!$AS$7</c:f>
              <c:strCache>
                <c:ptCount val="1"/>
                <c:pt idx="0">
                  <c:v>Retail and wholesale trade buildings</c:v>
                </c:pt>
              </c:strCache>
            </c:strRef>
          </c:tx>
          <c:spPr>
            <a:solidFill>
              <a:schemeClr val="accent2"/>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Value!$AS$49:$AS$100</c:f>
              <c:numCache>
                <c:formatCode>_-"$"* #,##0_-;\-"$"* #,##0_-;_-"$"* "-"??_-;_-@_-</c:formatCode>
                <c:ptCount val="52"/>
                <c:pt idx="0">
                  <c:v>0</c:v>
                </c:pt>
                <c:pt idx="1">
                  <c:v>53.691000000000003</c:v>
                </c:pt>
                <c:pt idx="2">
                  <c:v>20.577999999999999</c:v>
                </c:pt>
                <c:pt idx="3">
                  <c:v>91.713999999999999</c:v>
                </c:pt>
                <c:pt idx="4">
                  <c:v>3.3820000000000001</c:v>
                </c:pt>
                <c:pt idx="5">
                  <c:v>2.2469999999999999</c:v>
                </c:pt>
                <c:pt idx="6">
                  <c:v>11.977</c:v>
                </c:pt>
                <c:pt idx="7">
                  <c:v>8.4250000000000007</c:v>
                </c:pt>
                <c:pt idx="8">
                  <c:v>17.199000000000002</c:v>
                </c:pt>
                <c:pt idx="9">
                  <c:v>16.21</c:v>
                </c:pt>
                <c:pt idx="10">
                  <c:v>6.0810000000000004</c:v>
                </c:pt>
                <c:pt idx="11">
                  <c:v>0</c:v>
                </c:pt>
                <c:pt idx="12">
                  <c:v>0</c:v>
                </c:pt>
                <c:pt idx="13">
                  <c:v>2.4609999999999999</c:v>
                </c:pt>
                <c:pt idx="14">
                  <c:v>3.3330000000000002</c:v>
                </c:pt>
                <c:pt idx="15">
                  <c:v>0.12</c:v>
                </c:pt>
                <c:pt idx="16">
                  <c:v>3.1360000000000001</c:v>
                </c:pt>
                <c:pt idx="17">
                  <c:v>9.0129999999999999</c:v>
                </c:pt>
                <c:pt idx="18">
                  <c:v>0.52200000000000002</c:v>
                </c:pt>
                <c:pt idx="19">
                  <c:v>0.14000000000000001</c:v>
                </c:pt>
                <c:pt idx="20">
                  <c:v>0.08</c:v>
                </c:pt>
                <c:pt idx="21">
                  <c:v>22.14</c:v>
                </c:pt>
                <c:pt idx="22">
                  <c:v>0</c:v>
                </c:pt>
                <c:pt idx="23">
                  <c:v>0</c:v>
                </c:pt>
                <c:pt idx="24">
                  <c:v>1.9419999999999999</c:v>
                </c:pt>
                <c:pt idx="25">
                  <c:v>0.32300000000000001</c:v>
                </c:pt>
                <c:pt idx="26">
                  <c:v>0.47099999999999997</c:v>
                </c:pt>
                <c:pt idx="27">
                  <c:v>0</c:v>
                </c:pt>
                <c:pt idx="28">
                  <c:v>3.4260000000000002</c:v>
                </c:pt>
                <c:pt idx="29">
                  <c:v>8.5000000000000006E-2</c:v>
                </c:pt>
                <c:pt idx="30">
                  <c:v>2.496</c:v>
                </c:pt>
                <c:pt idx="31">
                  <c:v>0.58799999999999997</c:v>
                </c:pt>
                <c:pt idx="32">
                  <c:v>8.5370000000000008</c:v>
                </c:pt>
                <c:pt idx="33">
                  <c:v>0</c:v>
                </c:pt>
                <c:pt idx="34">
                  <c:v>0.68200000000000005</c:v>
                </c:pt>
                <c:pt idx="35">
                  <c:v>7.0000000000000007E-2</c:v>
                </c:pt>
                <c:pt idx="36">
                  <c:v>5.3999999999999999E-2</c:v>
                </c:pt>
                <c:pt idx="37">
                  <c:v>0.39100000000000001</c:v>
                </c:pt>
                <c:pt idx="38">
                  <c:v>0</c:v>
                </c:pt>
                <c:pt idx="39">
                  <c:v>0.1</c:v>
                </c:pt>
                <c:pt idx="40">
                  <c:v>11.616</c:v>
                </c:pt>
                <c:pt idx="41">
                  <c:v>0.40600000000000003</c:v>
                </c:pt>
                <c:pt idx="42">
                  <c:v>0.52100000000000002</c:v>
                </c:pt>
                <c:pt idx="43">
                  <c:v>0.32500000000000001</c:v>
                </c:pt>
                <c:pt idx="44">
                  <c:v>6.4000000000000001E-2</c:v>
                </c:pt>
                <c:pt idx="45">
                  <c:v>13.71</c:v>
                </c:pt>
                <c:pt idx="46">
                  <c:v>6.5000000000000002E-2</c:v>
                </c:pt>
                <c:pt idx="47">
                  <c:v>1.0660000000000001</c:v>
                </c:pt>
                <c:pt idx="48">
                  <c:v>0</c:v>
                </c:pt>
                <c:pt idx="49">
                  <c:v>1.077</c:v>
                </c:pt>
                <c:pt idx="50">
                  <c:v>0.09</c:v>
                </c:pt>
                <c:pt idx="51">
                  <c:v>0.375</c:v>
                </c:pt>
              </c:numCache>
            </c:numRef>
          </c:val>
        </c:ser>
        <c:ser>
          <c:idx val="1"/>
          <c:order val="1"/>
          <c:tx>
            <c:strRef>
              <c:f>Value!$AT$7</c:f>
              <c:strCache>
                <c:ptCount val="1"/>
                <c:pt idx="0">
                  <c:v>Transport buildings</c:v>
                </c:pt>
              </c:strCache>
            </c:strRef>
          </c:tx>
          <c:spPr>
            <a:solidFill>
              <a:schemeClr val="accent4"/>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Value!$AT$49:$AT$100</c:f>
              <c:numCache>
                <c:formatCode>_-"$"* #,##0_-;\-"$"* #,##0_-;_-"$"* "-"??_-;_-@_-</c:formatCode>
                <c:ptCount val="52"/>
                <c:pt idx="0">
                  <c:v>0</c:v>
                </c:pt>
                <c:pt idx="1">
                  <c:v>0</c:v>
                </c:pt>
                <c:pt idx="2">
                  <c:v>0.33400000000000002</c:v>
                </c:pt>
                <c:pt idx="3">
                  <c:v>3.0059999999999998</c:v>
                </c:pt>
                <c:pt idx="4">
                  <c:v>0</c:v>
                </c:pt>
                <c:pt idx="5">
                  <c:v>0</c:v>
                </c:pt>
                <c:pt idx="6">
                  <c:v>0</c:v>
                </c:pt>
                <c:pt idx="7">
                  <c:v>0</c:v>
                </c:pt>
                <c:pt idx="8">
                  <c:v>0</c:v>
                </c:pt>
                <c:pt idx="9">
                  <c:v>0</c:v>
                </c:pt>
                <c:pt idx="10">
                  <c:v>7.4039999999999999</c:v>
                </c:pt>
                <c:pt idx="11">
                  <c:v>0</c:v>
                </c:pt>
                <c:pt idx="12">
                  <c:v>0</c:v>
                </c:pt>
                <c:pt idx="13">
                  <c:v>0</c:v>
                </c:pt>
                <c:pt idx="14">
                  <c:v>0</c:v>
                </c:pt>
                <c:pt idx="15">
                  <c:v>0.70599999999999996</c:v>
                </c:pt>
                <c:pt idx="16">
                  <c:v>0</c:v>
                </c:pt>
                <c:pt idx="17">
                  <c:v>0</c:v>
                </c:pt>
                <c:pt idx="18">
                  <c:v>0</c:v>
                </c:pt>
                <c:pt idx="19">
                  <c:v>0</c:v>
                </c:pt>
                <c:pt idx="20">
                  <c:v>5.1999999999999998E-2</c:v>
                </c:pt>
                <c:pt idx="21">
                  <c:v>0</c:v>
                </c:pt>
                <c:pt idx="22">
                  <c:v>0</c:v>
                </c:pt>
                <c:pt idx="23">
                  <c:v>0</c:v>
                </c:pt>
                <c:pt idx="24">
                  <c:v>0</c:v>
                </c:pt>
                <c:pt idx="25">
                  <c:v>0</c:v>
                </c:pt>
                <c:pt idx="26">
                  <c:v>0</c:v>
                </c:pt>
                <c:pt idx="27">
                  <c:v>0</c:v>
                </c:pt>
                <c:pt idx="28">
                  <c:v>0</c:v>
                </c:pt>
                <c:pt idx="29">
                  <c:v>0</c:v>
                </c:pt>
                <c:pt idx="30">
                  <c:v>0</c:v>
                </c:pt>
                <c:pt idx="31">
                  <c:v>0.13</c:v>
                </c:pt>
                <c:pt idx="32">
                  <c:v>0</c:v>
                </c:pt>
                <c:pt idx="33">
                  <c:v>0</c:v>
                </c:pt>
                <c:pt idx="34">
                  <c:v>0</c:v>
                </c:pt>
                <c:pt idx="35">
                  <c:v>0</c:v>
                </c:pt>
                <c:pt idx="36">
                  <c:v>0</c:v>
                </c:pt>
                <c:pt idx="37">
                  <c:v>0</c:v>
                </c:pt>
                <c:pt idx="38">
                  <c:v>0</c:v>
                </c:pt>
                <c:pt idx="39">
                  <c:v>0</c:v>
                </c:pt>
                <c:pt idx="40">
                  <c:v>0</c:v>
                </c:pt>
                <c:pt idx="41">
                  <c:v>0.29699999999999999</c:v>
                </c:pt>
                <c:pt idx="42">
                  <c:v>0.156</c:v>
                </c:pt>
                <c:pt idx="43">
                  <c:v>0</c:v>
                </c:pt>
                <c:pt idx="44">
                  <c:v>0</c:v>
                </c:pt>
                <c:pt idx="45">
                  <c:v>0.27</c:v>
                </c:pt>
                <c:pt idx="46">
                  <c:v>0</c:v>
                </c:pt>
                <c:pt idx="47">
                  <c:v>0</c:v>
                </c:pt>
                <c:pt idx="48">
                  <c:v>0</c:v>
                </c:pt>
                <c:pt idx="49">
                  <c:v>0.2</c:v>
                </c:pt>
                <c:pt idx="50">
                  <c:v>0</c:v>
                </c:pt>
                <c:pt idx="51">
                  <c:v>0</c:v>
                </c:pt>
              </c:numCache>
            </c:numRef>
          </c:val>
        </c:ser>
        <c:ser>
          <c:idx val="2"/>
          <c:order val="2"/>
          <c:tx>
            <c:strRef>
              <c:f>Value!$AU$7</c:f>
              <c:strCache>
                <c:ptCount val="1"/>
                <c:pt idx="0">
                  <c:v>Offices</c:v>
                </c:pt>
              </c:strCache>
            </c:strRef>
          </c:tx>
          <c:spPr>
            <a:solidFill>
              <a:schemeClr val="accent6"/>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Value!$AU$49:$AU$100</c:f>
              <c:numCache>
                <c:formatCode>_-"$"* #,##0_-;\-"$"* #,##0_-;_-"$"* "-"??_-;_-@_-</c:formatCode>
                <c:ptCount val="52"/>
                <c:pt idx="0">
                  <c:v>0</c:v>
                </c:pt>
                <c:pt idx="1">
                  <c:v>13.31</c:v>
                </c:pt>
                <c:pt idx="2">
                  <c:v>8.5150000000000006</c:v>
                </c:pt>
                <c:pt idx="3">
                  <c:v>126.37</c:v>
                </c:pt>
                <c:pt idx="4">
                  <c:v>5.3109999999999999</c:v>
                </c:pt>
                <c:pt idx="5">
                  <c:v>1.528</c:v>
                </c:pt>
                <c:pt idx="6">
                  <c:v>4.0359999999999996</c:v>
                </c:pt>
                <c:pt idx="7">
                  <c:v>10.848000000000001</c:v>
                </c:pt>
                <c:pt idx="8">
                  <c:v>0</c:v>
                </c:pt>
                <c:pt idx="9">
                  <c:v>2.7879999999999998</c:v>
                </c:pt>
                <c:pt idx="10">
                  <c:v>3.327</c:v>
                </c:pt>
                <c:pt idx="11">
                  <c:v>0</c:v>
                </c:pt>
                <c:pt idx="12">
                  <c:v>0</c:v>
                </c:pt>
                <c:pt idx="13">
                  <c:v>0.73099999999999998</c:v>
                </c:pt>
                <c:pt idx="14">
                  <c:v>5.367</c:v>
                </c:pt>
                <c:pt idx="15">
                  <c:v>0.96399999999999997</c:v>
                </c:pt>
                <c:pt idx="16">
                  <c:v>1.075</c:v>
                </c:pt>
                <c:pt idx="17">
                  <c:v>0.32500000000000001</c:v>
                </c:pt>
                <c:pt idx="18">
                  <c:v>7.5999999999999998E-2</c:v>
                </c:pt>
                <c:pt idx="19">
                  <c:v>0</c:v>
                </c:pt>
                <c:pt idx="20">
                  <c:v>0.06</c:v>
                </c:pt>
                <c:pt idx="21">
                  <c:v>0.13100000000000001</c:v>
                </c:pt>
                <c:pt idx="22">
                  <c:v>0</c:v>
                </c:pt>
                <c:pt idx="23">
                  <c:v>0</c:v>
                </c:pt>
                <c:pt idx="24">
                  <c:v>0.46800000000000003</c:v>
                </c:pt>
                <c:pt idx="25">
                  <c:v>0.626</c:v>
                </c:pt>
                <c:pt idx="26">
                  <c:v>0.995</c:v>
                </c:pt>
                <c:pt idx="27">
                  <c:v>8.5000000000000006E-2</c:v>
                </c:pt>
                <c:pt idx="28">
                  <c:v>2.95</c:v>
                </c:pt>
                <c:pt idx="29">
                  <c:v>0.42</c:v>
                </c:pt>
                <c:pt idx="30">
                  <c:v>6.609</c:v>
                </c:pt>
                <c:pt idx="31">
                  <c:v>0.113</c:v>
                </c:pt>
                <c:pt idx="32">
                  <c:v>6.1429999999999998</c:v>
                </c:pt>
                <c:pt idx="33">
                  <c:v>0.58599999999999997</c:v>
                </c:pt>
                <c:pt idx="34">
                  <c:v>0.28100000000000003</c:v>
                </c:pt>
                <c:pt idx="35">
                  <c:v>0</c:v>
                </c:pt>
                <c:pt idx="36">
                  <c:v>0</c:v>
                </c:pt>
                <c:pt idx="37">
                  <c:v>0.13</c:v>
                </c:pt>
                <c:pt idx="38">
                  <c:v>0</c:v>
                </c:pt>
                <c:pt idx="39">
                  <c:v>0.70499999999999996</c:v>
                </c:pt>
                <c:pt idx="40">
                  <c:v>0.40600000000000003</c:v>
                </c:pt>
                <c:pt idx="41">
                  <c:v>0.08</c:v>
                </c:pt>
                <c:pt idx="42">
                  <c:v>0.25</c:v>
                </c:pt>
                <c:pt idx="43">
                  <c:v>0.5</c:v>
                </c:pt>
                <c:pt idx="44">
                  <c:v>7.4999999999999997E-2</c:v>
                </c:pt>
                <c:pt idx="45">
                  <c:v>1.0049999999999999</c:v>
                </c:pt>
                <c:pt idx="46">
                  <c:v>0</c:v>
                </c:pt>
                <c:pt idx="47">
                  <c:v>9.2999999999999999E-2</c:v>
                </c:pt>
                <c:pt idx="48">
                  <c:v>0.28499999999999998</c:v>
                </c:pt>
                <c:pt idx="49">
                  <c:v>1.395</c:v>
                </c:pt>
                <c:pt idx="50">
                  <c:v>0</c:v>
                </c:pt>
                <c:pt idx="51">
                  <c:v>0</c:v>
                </c:pt>
              </c:numCache>
            </c:numRef>
          </c:val>
        </c:ser>
        <c:ser>
          <c:idx val="3"/>
          <c:order val="3"/>
          <c:tx>
            <c:strRef>
              <c:f>Value!$AV$7</c:f>
              <c:strCache>
                <c:ptCount val="1"/>
                <c:pt idx="0">
                  <c:v>Other Commercial buildings </c:v>
                </c:pt>
              </c:strCache>
            </c:strRef>
          </c:tx>
          <c:spPr>
            <a:solidFill>
              <a:schemeClr val="accent2">
                <a:lumMod val="60000"/>
              </a:schemeClr>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Value!$AV$49:$AV$100</c:f>
              <c:numCache>
                <c:formatCode>_-"$"* #,##0_-;\-"$"* #,##0_-;_-"$"* "-"??_-;_-@_-</c:formatCode>
                <c:ptCount val="52"/>
                <c:pt idx="0">
                  <c:v>0</c:v>
                </c:pt>
                <c:pt idx="1">
                  <c:v>3.8769999999999998</c:v>
                </c:pt>
                <c:pt idx="2">
                  <c:v>3.819</c:v>
                </c:pt>
                <c:pt idx="3">
                  <c:v>11.159000000000001</c:v>
                </c:pt>
                <c:pt idx="4">
                  <c:v>2.5139999999999998</c:v>
                </c:pt>
                <c:pt idx="5">
                  <c:v>0</c:v>
                </c:pt>
                <c:pt idx="6">
                  <c:v>1.28</c:v>
                </c:pt>
                <c:pt idx="7">
                  <c:v>0</c:v>
                </c:pt>
                <c:pt idx="8">
                  <c:v>0</c:v>
                </c:pt>
                <c:pt idx="9">
                  <c:v>0.372</c:v>
                </c:pt>
                <c:pt idx="10">
                  <c:v>0.49099999999999999</c:v>
                </c:pt>
                <c:pt idx="11">
                  <c:v>0</c:v>
                </c:pt>
                <c:pt idx="12">
                  <c:v>0</c:v>
                </c:pt>
                <c:pt idx="13">
                  <c:v>0</c:v>
                </c:pt>
                <c:pt idx="14">
                  <c:v>0</c:v>
                </c:pt>
                <c:pt idx="15">
                  <c:v>0</c:v>
                </c:pt>
                <c:pt idx="16">
                  <c:v>0.25</c:v>
                </c:pt>
                <c:pt idx="17">
                  <c:v>0.85</c:v>
                </c:pt>
                <c:pt idx="18">
                  <c:v>0</c:v>
                </c:pt>
                <c:pt idx="19">
                  <c:v>0</c:v>
                </c:pt>
                <c:pt idx="20">
                  <c:v>0.41899999999999998</c:v>
                </c:pt>
                <c:pt idx="21">
                  <c:v>0.1</c:v>
                </c:pt>
                <c:pt idx="22">
                  <c:v>0</c:v>
                </c:pt>
                <c:pt idx="23">
                  <c:v>0</c:v>
                </c:pt>
                <c:pt idx="24">
                  <c:v>0</c:v>
                </c:pt>
                <c:pt idx="25">
                  <c:v>0</c:v>
                </c:pt>
                <c:pt idx="26">
                  <c:v>0</c:v>
                </c:pt>
                <c:pt idx="27">
                  <c:v>0</c:v>
                </c:pt>
                <c:pt idx="28">
                  <c:v>0</c:v>
                </c:pt>
                <c:pt idx="29">
                  <c:v>0.3</c:v>
                </c:pt>
                <c:pt idx="30">
                  <c:v>0</c:v>
                </c:pt>
                <c:pt idx="31">
                  <c:v>0</c:v>
                </c:pt>
                <c:pt idx="32">
                  <c:v>0</c:v>
                </c:pt>
                <c:pt idx="33">
                  <c:v>0</c:v>
                </c:pt>
                <c:pt idx="34">
                  <c:v>0.49</c:v>
                </c:pt>
                <c:pt idx="35">
                  <c:v>0</c:v>
                </c:pt>
                <c:pt idx="36">
                  <c:v>0</c:v>
                </c:pt>
                <c:pt idx="37">
                  <c:v>0</c:v>
                </c:pt>
                <c:pt idx="38">
                  <c:v>0</c:v>
                </c:pt>
                <c:pt idx="39">
                  <c:v>0</c:v>
                </c:pt>
                <c:pt idx="40">
                  <c:v>0</c:v>
                </c:pt>
                <c:pt idx="41">
                  <c:v>0.86399999999999999</c:v>
                </c:pt>
                <c:pt idx="42">
                  <c:v>0</c:v>
                </c:pt>
                <c:pt idx="43">
                  <c:v>0</c:v>
                </c:pt>
                <c:pt idx="44">
                  <c:v>0</c:v>
                </c:pt>
                <c:pt idx="45">
                  <c:v>0.35</c:v>
                </c:pt>
                <c:pt idx="46">
                  <c:v>0</c:v>
                </c:pt>
                <c:pt idx="47">
                  <c:v>0</c:v>
                </c:pt>
                <c:pt idx="48">
                  <c:v>0</c:v>
                </c:pt>
                <c:pt idx="49">
                  <c:v>0</c:v>
                </c:pt>
                <c:pt idx="50">
                  <c:v>0</c:v>
                </c:pt>
                <c:pt idx="51">
                  <c:v>0</c:v>
                </c:pt>
              </c:numCache>
            </c:numRef>
          </c:val>
        </c:ser>
        <c:dLbls>
          <c:showLegendKey val="0"/>
          <c:showVal val="0"/>
          <c:showCatName val="0"/>
          <c:showSerName val="0"/>
          <c:showPercent val="0"/>
          <c:showBubbleSize val="0"/>
        </c:dLbls>
        <c:gapWidth val="30"/>
        <c:overlap val="100"/>
        <c:axId val="785926288"/>
        <c:axId val="785926848"/>
      </c:barChart>
      <c:catAx>
        <c:axId val="7859262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5926848"/>
        <c:crosses val="autoZero"/>
        <c:auto val="1"/>
        <c:lblAlgn val="ctr"/>
        <c:lblOffset val="100"/>
        <c:noMultiLvlLbl val="0"/>
      </c:catAx>
      <c:valAx>
        <c:axId val="785926848"/>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Value</a:t>
                </a:r>
                <a:r>
                  <a:rPr lang="en-AU" baseline="0"/>
                  <a:t> of Approvals (millions)</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5926288"/>
        <c:crosses val="autoZero"/>
        <c:crossBetween val="between"/>
      </c:valAx>
      <c:spPr>
        <a:noFill/>
        <a:ln>
          <a:noFill/>
        </a:ln>
        <a:effectLst/>
      </c:spPr>
    </c:plotArea>
    <c:legend>
      <c:legendPos val="b"/>
      <c:layout>
        <c:manualLayout>
          <c:xMode val="edge"/>
          <c:yMode val="edge"/>
          <c:x val="0.59005242022571436"/>
          <c:y val="0"/>
          <c:w val="0.40799371835842696"/>
          <c:h val="8.3561135046798393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Value</a:t>
            </a:r>
            <a:r>
              <a:rPr lang="en-AU" baseline="0"/>
              <a:t> of Building Approvals - Industrial </a:t>
            </a:r>
          </a:p>
          <a:p>
            <a:pPr algn="l">
              <a:defRPr/>
            </a:pPr>
            <a:r>
              <a:rPr lang="en-AU" sz="1400" baseline="0"/>
              <a:t>Metropolitan Melbourne </a:t>
            </a:r>
          </a:p>
          <a:p>
            <a:pPr algn="l">
              <a:defRPr/>
            </a:pPr>
            <a:r>
              <a:rPr lang="en-AU" sz="1400" baseline="0"/>
              <a:t>2015/16</a:t>
            </a:r>
          </a:p>
          <a:p>
            <a:pPr algn="l">
              <a:defRPr/>
            </a:pPr>
            <a:r>
              <a:rPr lang="en-AU" sz="1000" baseline="0"/>
              <a:t>Source: ABS Building Approvals</a:t>
            </a:r>
            <a:endParaRPr lang="en-AU" sz="1000"/>
          </a:p>
        </c:rich>
      </c:tx>
      <c:layout>
        <c:manualLayout>
          <c:xMode val="edge"/>
          <c:yMode val="edge"/>
          <c:x val="1.656069141984867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31392101091966"/>
          <c:y val="0.1946016163043722"/>
          <c:w val="0.73539170574389501"/>
          <c:h val="0.79180434977679071"/>
        </c:manualLayout>
      </c:layout>
      <c:barChart>
        <c:barDir val="bar"/>
        <c:grouping val="stacked"/>
        <c:varyColors val="0"/>
        <c:ser>
          <c:idx val="0"/>
          <c:order val="0"/>
          <c:tx>
            <c:strRef>
              <c:f>Value!$BH$7</c:f>
              <c:strCache>
                <c:ptCount val="1"/>
                <c:pt idx="0">
                  <c:v>Factories and other secondary production buildings</c:v>
                </c:pt>
              </c:strCache>
            </c:strRef>
          </c:tx>
          <c:spPr>
            <a:solidFill>
              <a:srgbClr val="7030A0"/>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Value!$BH$8:$BH$48</c:f>
              <c:numCache>
                <c:formatCode>_-"$"* #,##0_-;\-"$"* #,##0_-;_-"$"* "-"??_-;_-@_-</c:formatCode>
                <c:ptCount val="41"/>
                <c:pt idx="1">
                  <c:v>0.97299999999999998</c:v>
                </c:pt>
                <c:pt idx="2">
                  <c:v>2.6440000000000001</c:v>
                </c:pt>
                <c:pt idx="3">
                  <c:v>1.018</c:v>
                </c:pt>
                <c:pt idx="4">
                  <c:v>8.8999999999999996E-2</c:v>
                </c:pt>
                <c:pt idx="5">
                  <c:v>1.095</c:v>
                </c:pt>
                <c:pt idx="6">
                  <c:v>0</c:v>
                </c:pt>
                <c:pt idx="7">
                  <c:v>0</c:v>
                </c:pt>
                <c:pt idx="8">
                  <c:v>0</c:v>
                </c:pt>
                <c:pt idx="9">
                  <c:v>3.4449999999999998</c:v>
                </c:pt>
                <c:pt idx="10">
                  <c:v>0</c:v>
                </c:pt>
                <c:pt idx="11">
                  <c:v>0.108</c:v>
                </c:pt>
                <c:pt idx="12">
                  <c:v>0.755</c:v>
                </c:pt>
                <c:pt idx="13">
                  <c:v>0.08</c:v>
                </c:pt>
                <c:pt idx="14">
                  <c:v>3.4289999999999998</c:v>
                </c:pt>
                <c:pt idx="15">
                  <c:v>0</c:v>
                </c:pt>
                <c:pt idx="16">
                  <c:v>0</c:v>
                </c:pt>
                <c:pt idx="17">
                  <c:v>0.81399999999999995</c:v>
                </c:pt>
                <c:pt idx="18">
                  <c:v>1.665</c:v>
                </c:pt>
                <c:pt idx="19">
                  <c:v>94.405000000000001</c:v>
                </c:pt>
                <c:pt idx="20">
                  <c:v>0</c:v>
                </c:pt>
                <c:pt idx="21">
                  <c:v>0.14499999999999999</c:v>
                </c:pt>
                <c:pt idx="22">
                  <c:v>0</c:v>
                </c:pt>
                <c:pt idx="23">
                  <c:v>4.3579999999999997</c:v>
                </c:pt>
                <c:pt idx="24">
                  <c:v>0</c:v>
                </c:pt>
                <c:pt idx="25">
                  <c:v>0</c:v>
                </c:pt>
                <c:pt idx="26">
                  <c:v>0</c:v>
                </c:pt>
                <c:pt idx="27">
                  <c:v>0</c:v>
                </c:pt>
                <c:pt idx="28">
                  <c:v>3.3519999999999999</c:v>
                </c:pt>
                <c:pt idx="29">
                  <c:v>1.121</c:v>
                </c:pt>
                <c:pt idx="30">
                  <c:v>0</c:v>
                </c:pt>
                <c:pt idx="31">
                  <c:v>22.606999999999999</c:v>
                </c:pt>
                <c:pt idx="32">
                  <c:v>1.409</c:v>
                </c:pt>
                <c:pt idx="33">
                  <c:v>1.97</c:v>
                </c:pt>
                <c:pt idx="34">
                  <c:v>0</c:v>
                </c:pt>
                <c:pt idx="35">
                  <c:v>0</c:v>
                </c:pt>
                <c:pt idx="36">
                  <c:v>1.4910000000000001</c:v>
                </c:pt>
                <c:pt idx="37">
                  <c:v>8.6</c:v>
                </c:pt>
                <c:pt idx="38">
                  <c:v>5</c:v>
                </c:pt>
                <c:pt idx="39">
                  <c:v>0.15</c:v>
                </c:pt>
                <c:pt idx="40">
                  <c:v>4.0780000000000003</c:v>
                </c:pt>
              </c:numCache>
            </c:numRef>
          </c:val>
        </c:ser>
        <c:ser>
          <c:idx val="1"/>
          <c:order val="1"/>
          <c:tx>
            <c:strRef>
              <c:f>Value!$BI$7</c:f>
              <c:strCache>
                <c:ptCount val="1"/>
                <c:pt idx="0">
                  <c:v>Warehouses</c:v>
                </c:pt>
              </c:strCache>
            </c:strRef>
          </c:tx>
          <c:spPr>
            <a:solidFill>
              <a:schemeClr val="accent3"/>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Value!$BI$8:$BI$48</c:f>
              <c:numCache>
                <c:formatCode>_-"$"* #,##0_-;\-"$"* #,##0_-;_-"$"* "-"??_-;_-@_-</c:formatCode>
                <c:ptCount val="41"/>
                <c:pt idx="1">
                  <c:v>8.25</c:v>
                </c:pt>
                <c:pt idx="2">
                  <c:v>9.048</c:v>
                </c:pt>
                <c:pt idx="3">
                  <c:v>11.319000000000001</c:v>
                </c:pt>
                <c:pt idx="4">
                  <c:v>0</c:v>
                </c:pt>
                <c:pt idx="5">
                  <c:v>3.24</c:v>
                </c:pt>
                <c:pt idx="6">
                  <c:v>0</c:v>
                </c:pt>
                <c:pt idx="7">
                  <c:v>0</c:v>
                </c:pt>
                <c:pt idx="8">
                  <c:v>11.35</c:v>
                </c:pt>
                <c:pt idx="9">
                  <c:v>36.384999999999998</c:v>
                </c:pt>
                <c:pt idx="10">
                  <c:v>2.75</c:v>
                </c:pt>
                <c:pt idx="11">
                  <c:v>3.5369999999999999</c:v>
                </c:pt>
                <c:pt idx="12">
                  <c:v>40.119999999999997</c:v>
                </c:pt>
                <c:pt idx="13">
                  <c:v>7.4809999999999999</c:v>
                </c:pt>
                <c:pt idx="14">
                  <c:v>4.1500000000000004</c:v>
                </c:pt>
                <c:pt idx="15">
                  <c:v>0</c:v>
                </c:pt>
                <c:pt idx="16">
                  <c:v>0</c:v>
                </c:pt>
                <c:pt idx="17">
                  <c:v>7.4029999999999996</c:v>
                </c:pt>
                <c:pt idx="18">
                  <c:v>9.17</c:v>
                </c:pt>
                <c:pt idx="19">
                  <c:v>99.578000000000003</c:v>
                </c:pt>
                <c:pt idx="20">
                  <c:v>1.083</c:v>
                </c:pt>
                <c:pt idx="21">
                  <c:v>4.3460000000000001</c:v>
                </c:pt>
                <c:pt idx="22">
                  <c:v>0.624</c:v>
                </c:pt>
                <c:pt idx="23">
                  <c:v>61.848999999999997</c:v>
                </c:pt>
                <c:pt idx="24">
                  <c:v>0</c:v>
                </c:pt>
                <c:pt idx="25">
                  <c:v>0</c:v>
                </c:pt>
                <c:pt idx="26">
                  <c:v>10.135</c:v>
                </c:pt>
                <c:pt idx="27">
                  <c:v>16.332000000000001</c:v>
                </c:pt>
                <c:pt idx="28">
                  <c:v>6.944</c:v>
                </c:pt>
                <c:pt idx="29">
                  <c:v>27.821999999999999</c:v>
                </c:pt>
                <c:pt idx="30">
                  <c:v>0.16500000000000001</c:v>
                </c:pt>
                <c:pt idx="31">
                  <c:v>229.21299999999999</c:v>
                </c:pt>
                <c:pt idx="32">
                  <c:v>77.858000000000004</c:v>
                </c:pt>
                <c:pt idx="33">
                  <c:v>16.257999999999999</c:v>
                </c:pt>
                <c:pt idx="34">
                  <c:v>0</c:v>
                </c:pt>
                <c:pt idx="35">
                  <c:v>0</c:v>
                </c:pt>
                <c:pt idx="36">
                  <c:v>64.227000000000004</c:v>
                </c:pt>
                <c:pt idx="37">
                  <c:v>44.280999999999999</c:v>
                </c:pt>
                <c:pt idx="38">
                  <c:v>90.765000000000001</c:v>
                </c:pt>
                <c:pt idx="39">
                  <c:v>2.2410000000000001</c:v>
                </c:pt>
                <c:pt idx="40">
                  <c:v>162.87100000000001</c:v>
                </c:pt>
              </c:numCache>
            </c:numRef>
          </c:val>
        </c:ser>
        <c:ser>
          <c:idx val="2"/>
          <c:order val="2"/>
          <c:tx>
            <c:strRef>
              <c:f>Value!$BJ$7</c:f>
              <c:strCache>
                <c:ptCount val="1"/>
                <c:pt idx="0">
                  <c:v>Agricultural and aquacultural buildings</c:v>
                </c:pt>
              </c:strCache>
            </c:strRef>
          </c:tx>
          <c:spPr>
            <a:solidFill>
              <a:schemeClr val="accent5"/>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Value!$BJ$8:$BJ$48</c:f>
              <c:numCache>
                <c:formatCode>_-"$"* #,##0_-;\-"$"* #,##0_-;_-"$"* "-"??_-;_-@_-</c:formatCode>
                <c:ptCount val="41"/>
                <c:pt idx="1">
                  <c:v>0.48799999999999999</c:v>
                </c:pt>
                <c:pt idx="2">
                  <c:v>0</c:v>
                </c:pt>
                <c:pt idx="3">
                  <c:v>0</c:v>
                </c:pt>
                <c:pt idx="4">
                  <c:v>0</c:v>
                </c:pt>
                <c:pt idx="5">
                  <c:v>0</c:v>
                </c:pt>
                <c:pt idx="6">
                  <c:v>0</c:v>
                </c:pt>
                <c:pt idx="7">
                  <c:v>0</c:v>
                </c:pt>
                <c:pt idx="8">
                  <c:v>0</c:v>
                </c:pt>
                <c:pt idx="9">
                  <c:v>0</c:v>
                </c:pt>
                <c:pt idx="10">
                  <c:v>0.11</c:v>
                </c:pt>
                <c:pt idx="11">
                  <c:v>0</c:v>
                </c:pt>
                <c:pt idx="12">
                  <c:v>0</c:v>
                </c:pt>
                <c:pt idx="13">
                  <c:v>0</c:v>
                </c:pt>
                <c:pt idx="14">
                  <c:v>0.82499999999999996</c:v>
                </c:pt>
                <c:pt idx="15">
                  <c:v>0</c:v>
                </c:pt>
                <c:pt idx="16">
                  <c:v>0</c:v>
                </c:pt>
                <c:pt idx="17">
                  <c:v>0</c:v>
                </c:pt>
                <c:pt idx="18">
                  <c:v>0</c:v>
                </c:pt>
                <c:pt idx="19">
                  <c:v>0.748</c:v>
                </c:pt>
                <c:pt idx="20">
                  <c:v>0.35699999999999998</c:v>
                </c:pt>
                <c:pt idx="21">
                  <c:v>0</c:v>
                </c:pt>
                <c:pt idx="22">
                  <c:v>5.8000000000000003E-2</c:v>
                </c:pt>
                <c:pt idx="23">
                  <c:v>0.51</c:v>
                </c:pt>
                <c:pt idx="24">
                  <c:v>0</c:v>
                </c:pt>
                <c:pt idx="25">
                  <c:v>0</c:v>
                </c:pt>
                <c:pt idx="26">
                  <c:v>0</c:v>
                </c:pt>
                <c:pt idx="27">
                  <c:v>0.95899999999999996</c:v>
                </c:pt>
                <c:pt idx="28">
                  <c:v>0.44</c:v>
                </c:pt>
                <c:pt idx="29">
                  <c:v>8.5</c:v>
                </c:pt>
                <c:pt idx="30">
                  <c:v>0</c:v>
                </c:pt>
                <c:pt idx="31">
                  <c:v>2.3650000000000002</c:v>
                </c:pt>
                <c:pt idx="32">
                  <c:v>0.2</c:v>
                </c:pt>
                <c:pt idx="33">
                  <c:v>3.8879999999999999</c:v>
                </c:pt>
                <c:pt idx="34">
                  <c:v>0</c:v>
                </c:pt>
                <c:pt idx="35">
                  <c:v>0</c:v>
                </c:pt>
                <c:pt idx="36">
                  <c:v>0.374</c:v>
                </c:pt>
                <c:pt idx="37">
                  <c:v>0</c:v>
                </c:pt>
                <c:pt idx="38">
                  <c:v>9.5000000000000001E-2</c:v>
                </c:pt>
                <c:pt idx="39">
                  <c:v>0</c:v>
                </c:pt>
                <c:pt idx="40">
                  <c:v>2.2450000000000001</c:v>
                </c:pt>
              </c:numCache>
            </c:numRef>
          </c:val>
        </c:ser>
        <c:ser>
          <c:idx val="3"/>
          <c:order val="3"/>
          <c:tx>
            <c:strRef>
              <c:f>Value!$BK$7</c:f>
              <c:strCache>
                <c:ptCount val="1"/>
                <c:pt idx="0">
                  <c:v>Other industrial buildings </c:v>
                </c:pt>
              </c:strCache>
            </c:strRef>
          </c:tx>
          <c:spPr>
            <a:solidFill>
              <a:srgbClr val="CC00CC"/>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Value!$BK$8:$BK$48</c:f>
              <c:numCache>
                <c:formatCode>_-"$"* #,##0_-;\-"$"* #,##0_-;_-"$"* "-"??_-;_-@_-</c:formatCode>
                <c:ptCount val="41"/>
                <c:pt idx="1">
                  <c:v>6.0999999999999999E-2</c:v>
                </c:pt>
                <c:pt idx="2">
                  <c:v>0.60799999999999998</c:v>
                </c:pt>
                <c:pt idx="3">
                  <c:v>0</c:v>
                </c:pt>
                <c:pt idx="4">
                  <c:v>1</c:v>
                </c:pt>
                <c:pt idx="5">
                  <c:v>0.17299999999999999</c:v>
                </c:pt>
                <c:pt idx="6">
                  <c:v>0</c:v>
                </c:pt>
                <c:pt idx="7">
                  <c:v>0</c:v>
                </c:pt>
                <c:pt idx="8">
                  <c:v>0.32300000000000001</c:v>
                </c:pt>
                <c:pt idx="9">
                  <c:v>0</c:v>
                </c:pt>
                <c:pt idx="10">
                  <c:v>0.24</c:v>
                </c:pt>
                <c:pt idx="11">
                  <c:v>0.4</c:v>
                </c:pt>
                <c:pt idx="12">
                  <c:v>0</c:v>
                </c:pt>
                <c:pt idx="13">
                  <c:v>0</c:v>
                </c:pt>
                <c:pt idx="14">
                  <c:v>0</c:v>
                </c:pt>
                <c:pt idx="15">
                  <c:v>0</c:v>
                </c:pt>
                <c:pt idx="16">
                  <c:v>0</c:v>
                </c:pt>
                <c:pt idx="17">
                  <c:v>7.6999999999999999E-2</c:v>
                </c:pt>
                <c:pt idx="18">
                  <c:v>0</c:v>
                </c:pt>
                <c:pt idx="19">
                  <c:v>0.93400000000000005</c:v>
                </c:pt>
                <c:pt idx="20">
                  <c:v>0</c:v>
                </c:pt>
                <c:pt idx="21">
                  <c:v>0.15</c:v>
                </c:pt>
                <c:pt idx="22">
                  <c:v>0</c:v>
                </c:pt>
                <c:pt idx="23">
                  <c:v>9</c:v>
                </c:pt>
                <c:pt idx="24">
                  <c:v>0</c:v>
                </c:pt>
                <c:pt idx="25">
                  <c:v>0</c:v>
                </c:pt>
                <c:pt idx="26">
                  <c:v>4.3</c:v>
                </c:pt>
                <c:pt idx="27">
                  <c:v>7.0000000000000007E-2</c:v>
                </c:pt>
                <c:pt idx="28">
                  <c:v>0.1</c:v>
                </c:pt>
                <c:pt idx="29">
                  <c:v>0</c:v>
                </c:pt>
                <c:pt idx="30">
                  <c:v>0.497</c:v>
                </c:pt>
                <c:pt idx="31">
                  <c:v>0</c:v>
                </c:pt>
                <c:pt idx="32">
                  <c:v>1.5820000000000001</c:v>
                </c:pt>
                <c:pt idx="33">
                  <c:v>0.27700000000000002</c:v>
                </c:pt>
                <c:pt idx="34">
                  <c:v>0</c:v>
                </c:pt>
                <c:pt idx="35">
                  <c:v>0</c:v>
                </c:pt>
                <c:pt idx="36">
                  <c:v>3</c:v>
                </c:pt>
                <c:pt idx="37">
                  <c:v>0.5</c:v>
                </c:pt>
                <c:pt idx="38">
                  <c:v>0</c:v>
                </c:pt>
                <c:pt idx="39">
                  <c:v>0</c:v>
                </c:pt>
                <c:pt idx="40">
                  <c:v>0.374</c:v>
                </c:pt>
              </c:numCache>
            </c:numRef>
          </c:val>
        </c:ser>
        <c:dLbls>
          <c:showLegendKey val="0"/>
          <c:showVal val="0"/>
          <c:showCatName val="0"/>
          <c:showSerName val="0"/>
          <c:showPercent val="0"/>
          <c:showBubbleSize val="0"/>
        </c:dLbls>
        <c:gapWidth val="30"/>
        <c:overlap val="100"/>
        <c:axId val="785930768"/>
        <c:axId val="785931328"/>
      </c:barChart>
      <c:catAx>
        <c:axId val="7859307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5931328"/>
        <c:crosses val="autoZero"/>
        <c:auto val="1"/>
        <c:lblAlgn val="ctr"/>
        <c:lblOffset val="100"/>
        <c:noMultiLvlLbl val="0"/>
      </c:catAx>
      <c:valAx>
        <c:axId val="785931328"/>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Value</a:t>
                </a:r>
                <a:r>
                  <a:rPr lang="en-AU" baseline="0"/>
                  <a:t> of Approvals (millions)</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5930768"/>
        <c:crosses val="autoZero"/>
        <c:crossBetween val="between"/>
      </c:valAx>
      <c:spPr>
        <a:noFill/>
        <a:ln>
          <a:noFill/>
        </a:ln>
        <a:effectLst/>
      </c:spPr>
    </c:plotArea>
    <c:legend>
      <c:legendPos val="b"/>
      <c:layout>
        <c:manualLayout>
          <c:xMode val="edge"/>
          <c:yMode val="edge"/>
          <c:x val="0.46478857893692666"/>
          <c:y val="0"/>
          <c:w val="0.53325755284306942"/>
          <c:h val="0.1155183727034120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Value</a:t>
            </a:r>
            <a:r>
              <a:rPr lang="en-AU" baseline="0"/>
              <a:t> of Building Approvals - Industrial </a:t>
            </a:r>
          </a:p>
          <a:p>
            <a:pPr algn="l">
              <a:defRPr/>
            </a:pPr>
            <a:r>
              <a:rPr lang="en-AU" baseline="0"/>
              <a:t>Regional Victoria</a:t>
            </a:r>
          </a:p>
          <a:p>
            <a:pPr algn="l">
              <a:defRPr/>
            </a:pPr>
            <a:r>
              <a:rPr lang="en-AU" baseline="0"/>
              <a:t>2015/16 </a:t>
            </a:r>
          </a:p>
          <a:p>
            <a:pPr algn="l">
              <a:defRPr/>
            </a:pPr>
            <a:r>
              <a:rPr lang="en-AU" sz="1000" baseline="0"/>
              <a:t>Source: ABS Building Approvals</a:t>
            </a:r>
            <a:endParaRPr lang="en-AU" sz="1000"/>
          </a:p>
        </c:rich>
      </c:tx>
      <c:layout>
        <c:manualLayout>
          <c:xMode val="edge"/>
          <c:yMode val="edge"/>
          <c:x val="1.656069141984867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4980116644420761"/>
          <c:y val="0.15714843120841529"/>
          <c:w val="0.71142542793188956"/>
          <c:h val="0.82925749233809054"/>
        </c:manualLayout>
      </c:layout>
      <c:barChart>
        <c:barDir val="bar"/>
        <c:grouping val="stacked"/>
        <c:varyColors val="0"/>
        <c:ser>
          <c:idx val="0"/>
          <c:order val="0"/>
          <c:tx>
            <c:strRef>
              <c:f>Value!$BH$7</c:f>
              <c:strCache>
                <c:ptCount val="1"/>
                <c:pt idx="0">
                  <c:v>Factories and other secondary production buildings</c:v>
                </c:pt>
              </c:strCache>
            </c:strRef>
          </c:tx>
          <c:spPr>
            <a:solidFill>
              <a:srgbClr val="7030A0"/>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Value!$BH$49:$BH$100</c:f>
              <c:numCache>
                <c:formatCode>_-"$"* #,##0_-;\-"$"* #,##0_-;_-"$"* "-"??_-;_-@_-</c:formatCode>
                <c:ptCount val="52"/>
                <c:pt idx="0">
                  <c:v>0</c:v>
                </c:pt>
                <c:pt idx="1">
                  <c:v>1.9279999999999999</c:v>
                </c:pt>
                <c:pt idx="2">
                  <c:v>2.7839999999999998</c:v>
                </c:pt>
                <c:pt idx="3">
                  <c:v>2.3359999999999999</c:v>
                </c:pt>
                <c:pt idx="4">
                  <c:v>3.536</c:v>
                </c:pt>
                <c:pt idx="5">
                  <c:v>0.47</c:v>
                </c:pt>
                <c:pt idx="6">
                  <c:v>1.171</c:v>
                </c:pt>
                <c:pt idx="7">
                  <c:v>0.83399999999999996</c:v>
                </c:pt>
                <c:pt idx="8">
                  <c:v>0.12</c:v>
                </c:pt>
                <c:pt idx="9">
                  <c:v>0.12</c:v>
                </c:pt>
                <c:pt idx="10">
                  <c:v>3.3780000000000001</c:v>
                </c:pt>
                <c:pt idx="11">
                  <c:v>0</c:v>
                </c:pt>
                <c:pt idx="12">
                  <c:v>0</c:v>
                </c:pt>
                <c:pt idx="13">
                  <c:v>0.4</c:v>
                </c:pt>
                <c:pt idx="14">
                  <c:v>3.86</c:v>
                </c:pt>
                <c:pt idx="15">
                  <c:v>0</c:v>
                </c:pt>
                <c:pt idx="16">
                  <c:v>0</c:v>
                </c:pt>
                <c:pt idx="17">
                  <c:v>0</c:v>
                </c:pt>
                <c:pt idx="18">
                  <c:v>0.06</c:v>
                </c:pt>
                <c:pt idx="19">
                  <c:v>0</c:v>
                </c:pt>
                <c:pt idx="20">
                  <c:v>1.298</c:v>
                </c:pt>
                <c:pt idx="21">
                  <c:v>4.085</c:v>
                </c:pt>
                <c:pt idx="22">
                  <c:v>0</c:v>
                </c:pt>
                <c:pt idx="23">
                  <c:v>0</c:v>
                </c:pt>
                <c:pt idx="24">
                  <c:v>0</c:v>
                </c:pt>
                <c:pt idx="25">
                  <c:v>0.34499999999999997</c:v>
                </c:pt>
                <c:pt idx="26">
                  <c:v>8.8999999999999996E-2</c:v>
                </c:pt>
                <c:pt idx="27">
                  <c:v>0</c:v>
                </c:pt>
                <c:pt idx="28">
                  <c:v>19.887</c:v>
                </c:pt>
                <c:pt idx="29">
                  <c:v>0.67900000000000005</c:v>
                </c:pt>
                <c:pt idx="30">
                  <c:v>1.452</c:v>
                </c:pt>
                <c:pt idx="31">
                  <c:v>0.35</c:v>
                </c:pt>
                <c:pt idx="32">
                  <c:v>0.4</c:v>
                </c:pt>
                <c:pt idx="33">
                  <c:v>0</c:v>
                </c:pt>
                <c:pt idx="34">
                  <c:v>0</c:v>
                </c:pt>
                <c:pt idx="35">
                  <c:v>0</c:v>
                </c:pt>
                <c:pt idx="36">
                  <c:v>0</c:v>
                </c:pt>
                <c:pt idx="37">
                  <c:v>0.85</c:v>
                </c:pt>
                <c:pt idx="38">
                  <c:v>6.15</c:v>
                </c:pt>
                <c:pt idx="39">
                  <c:v>0</c:v>
                </c:pt>
                <c:pt idx="40">
                  <c:v>3.6429999999999998</c:v>
                </c:pt>
                <c:pt idx="41">
                  <c:v>0</c:v>
                </c:pt>
                <c:pt idx="42">
                  <c:v>1.728</c:v>
                </c:pt>
                <c:pt idx="43">
                  <c:v>1.738</c:v>
                </c:pt>
                <c:pt idx="44">
                  <c:v>0</c:v>
                </c:pt>
                <c:pt idx="45">
                  <c:v>0</c:v>
                </c:pt>
                <c:pt idx="46">
                  <c:v>0.15</c:v>
                </c:pt>
                <c:pt idx="47">
                  <c:v>0.43</c:v>
                </c:pt>
                <c:pt idx="48">
                  <c:v>0</c:v>
                </c:pt>
                <c:pt idx="49">
                  <c:v>0.59</c:v>
                </c:pt>
                <c:pt idx="50">
                  <c:v>0</c:v>
                </c:pt>
                <c:pt idx="51">
                  <c:v>0</c:v>
                </c:pt>
              </c:numCache>
            </c:numRef>
          </c:val>
        </c:ser>
        <c:ser>
          <c:idx val="1"/>
          <c:order val="1"/>
          <c:tx>
            <c:strRef>
              <c:f>Value!$BI$7</c:f>
              <c:strCache>
                <c:ptCount val="1"/>
                <c:pt idx="0">
                  <c:v>Warehouses</c:v>
                </c:pt>
              </c:strCache>
            </c:strRef>
          </c:tx>
          <c:spPr>
            <a:solidFill>
              <a:schemeClr val="accent3"/>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Value!$BI$49:$BI$100</c:f>
              <c:numCache>
                <c:formatCode>_-"$"* #,##0_-;\-"$"* #,##0_-;_-"$"* "-"??_-;_-@_-</c:formatCode>
                <c:ptCount val="52"/>
                <c:pt idx="0">
                  <c:v>0</c:v>
                </c:pt>
                <c:pt idx="1">
                  <c:v>10.398999999999999</c:v>
                </c:pt>
                <c:pt idx="2">
                  <c:v>4.1269999999999998</c:v>
                </c:pt>
                <c:pt idx="3">
                  <c:v>20.155000000000001</c:v>
                </c:pt>
                <c:pt idx="4">
                  <c:v>5.2619999999999996</c:v>
                </c:pt>
                <c:pt idx="5">
                  <c:v>0.625</c:v>
                </c:pt>
                <c:pt idx="6">
                  <c:v>3.8090000000000002</c:v>
                </c:pt>
                <c:pt idx="7">
                  <c:v>3.2509999999999999</c:v>
                </c:pt>
                <c:pt idx="8">
                  <c:v>0.34</c:v>
                </c:pt>
                <c:pt idx="9">
                  <c:v>0.875</c:v>
                </c:pt>
                <c:pt idx="10">
                  <c:v>0.69199999999999995</c:v>
                </c:pt>
                <c:pt idx="11">
                  <c:v>0</c:v>
                </c:pt>
                <c:pt idx="12">
                  <c:v>0</c:v>
                </c:pt>
                <c:pt idx="13">
                  <c:v>0.36699999999999999</c:v>
                </c:pt>
                <c:pt idx="14">
                  <c:v>0.82499999999999996</c:v>
                </c:pt>
                <c:pt idx="15">
                  <c:v>0.20300000000000001</c:v>
                </c:pt>
                <c:pt idx="16">
                  <c:v>3.468</c:v>
                </c:pt>
                <c:pt idx="17">
                  <c:v>0.93700000000000006</c:v>
                </c:pt>
                <c:pt idx="18">
                  <c:v>0.23</c:v>
                </c:pt>
                <c:pt idx="19">
                  <c:v>0</c:v>
                </c:pt>
                <c:pt idx="20">
                  <c:v>1.6759999999999999</c:v>
                </c:pt>
                <c:pt idx="21">
                  <c:v>4.2309999999999999</c:v>
                </c:pt>
                <c:pt idx="22">
                  <c:v>0</c:v>
                </c:pt>
                <c:pt idx="23">
                  <c:v>0</c:v>
                </c:pt>
                <c:pt idx="24">
                  <c:v>0.84499999999999997</c:v>
                </c:pt>
                <c:pt idx="25">
                  <c:v>7.0000000000000007E-2</c:v>
                </c:pt>
                <c:pt idx="26">
                  <c:v>0.27</c:v>
                </c:pt>
                <c:pt idx="27">
                  <c:v>0.13100000000000001</c:v>
                </c:pt>
                <c:pt idx="28">
                  <c:v>1.532</c:v>
                </c:pt>
                <c:pt idx="29">
                  <c:v>0</c:v>
                </c:pt>
                <c:pt idx="30">
                  <c:v>0.83199999999999996</c:v>
                </c:pt>
                <c:pt idx="31">
                  <c:v>0.312</c:v>
                </c:pt>
                <c:pt idx="32">
                  <c:v>0.8</c:v>
                </c:pt>
                <c:pt idx="33">
                  <c:v>7.0000000000000007E-2</c:v>
                </c:pt>
                <c:pt idx="34">
                  <c:v>0.375</c:v>
                </c:pt>
                <c:pt idx="35">
                  <c:v>0.72499999999999998</c:v>
                </c:pt>
                <c:pt idx="36">
                  <c:v>0</c:v>
                </c:pt>
                <c:pt idx="37">
                  <c:v>0.93</c:v>
                </c:pt>
                <c:pt idx="38">
                  <c:v>0</c:v>
                </c:pt>
                <c:pt idx="39">
                  <c:v>0.67</c:v>
                </c:pt>
                <c:pt idx="40">
                  <c:v>1.427</c:v>
                </c:pt>
                <c:pt idx="41">
                  <c:v>0.49199999999999999</c:v>
                </c:pt>
                <c:pt idx="42">
                  <c:v>0.97099999999999997</c:v>
                </c:pt>
                <c:pt idx="43">
                  <c:v>0</c:v>
                </c:pt>
                <c:pt idx="44">
                  <c:v>9.5000000000000001E-2</c:v>
                </c:pt>
                <c:pt idx="45">
                  <c:v>1.5760000000000001</c:v>
                </c:pt>
                <c:pt idx="46">
                  <c:v>0.15</c:v>
                </c:pt>
                <c:pt idx="47">
                  <c:v>3.54</c:v>
                </c:pt>
                <c:pt idx="48">
                  <c:v>6.6000000000000003E-2</c:v>
                </c:pt>
                <c:pt idx="49">
                  <c:v>1.3149999999999999</c:v>
                </c:pt>
                <c:pt idx="50">
                  <c:v>0.123</c:v>
                </c:pt>
                <c:pt idx="51">
                  <c:v>0.35599999999999998</c:v>
                </c:pt>
              </c:numCache>
            </c:numRef>
          </c:val>
        </c:ser>
        <c:ser>
          <c:idx val="2"/>
          <c:order val="2"/>
          <c:tx>
            <c:strRef>
              <c:f>Value!$BJ$7</c:f>
              <c:strCache>
                <c:ptCount val="1"/>
                <c:pt idx="0">
                  <c:v>Agricultural and aquacultural buildings</c:v>
                </c:pt>
              </c:strCache>
            </c:strRef>
          </c:tx>
          <c:spPr>
            <a:solidFill>
              <a:schemeClr val="accent5"/>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Value!$BJ$49:$BJ$100</c:f>
              <c:numCache>
                <c:formatCode>_-"$"* #,##0_-;\-"$"* #,##0_-;_-"$"* "-"??_-;_-@_-</c:formatCode>
                <c:ptCount val="52"/>
                <c:pt idx="0">
                  <c:v>0</c:v>
                </c:pt>
                <c:pt idx="1">
                  <c:v>1.8089999999999999</c:v>
                </c:pt>
                <c:pt idx="2">
                  <c:v>3.6219999999999999</c:v>
                </c:pt>
                <c:pt idx="3">
                  <c:v>2.6</c:v>
                </c:pt>
                <c:pt idx="4">
                  <c:v>4.9249999999999998</c:v>
                </c:pt>
                <c:pt idx="5">
                  <c:v>0.441</c:v>
                </c:pt>
                <c:pt idx="6">
                  <c:v>0</c:v>
                </c:pt>
                <c:pt idx="7">
                  <c:v>2.1440000000000001</c:v>
                </c:pt>
                <c:pt idx="8">
                  <c:v>0.312</c:v>
                </c:pt>
                <c:pt idx="9">
                  <c:v>0.2</c:v>
                </c:pt>
                <c:pt idx="10">
                  <c:v>0</c:v>
                </c:pt>
                <c:pt idx="11">
                  <c:v>0</c:v>
                </c:pt>
                <c:pt idx="12">
                  <c:v>0</c:v>
                </c:pt>
                <c:pt idx="13">
                  <c:v>6.0999999999999999E-2</c:v>
                </c:pt>
                <c:pt idx="14">
                  <c:v>1.0469999999999999</c:v>
                </c:pt>
                <c:pt idx="15">
                  <c:v>6.2759999999999998</c:v>
                </c:pt>
                <c:pt idx="16">
                  <c:v>1.101</c:v>
                </c:pt>
                <c:pt idx="17">
                  <c:v>0.56499999999999995</c:v>
                </c:pt>
                <c:pt idx="18">
                  <c:v>0.68799999999999994</c:v>
                </c:pt>
                <c:pt idx="19">
                  <c:v>0</c:v>
                </c:pt>
                <c:pt idx="20">
                  <c:v>2.2440000000000002</c:v>
                </c:pt>
                <c:pt idx="21">
                  <c:v>1.3180000000000001</c:v>
                </c:pt>
                <c:pt idx="22">
                  <c:v>0</c:v>
                </c:pt>
                <c:pt idx="23">
                  <c:v>0</c:v>
                </c:pt>
                <c:pt idx="24">
                  <c:v>0.126</c:v>
                </c:pt>
                <c:pt idx="25">
                  <c:v>0.19700000000000001</c:v>
                </c:pt>
                <c:pt idx="26">
                  <c:v>0.06</c:v>
                </c:pt>
                <c:pt idx="27">
                  <c:v>5.7869999999999999</c:v>
                </c:pt>
                <c:pt idx="28">
                  <c:v>1.825</c:v>
                </c:pt>
                <c:pt idx="29">
                  <c:v>0.27300000000000002</c:v>
                </c:pt>
                <c:pt idx="30">
                  <c:v>1.4570000000000001</c:v>
                </c:pt>
                <c:pt idx="31">
                  <c:v>1.3979999999999999</c:v>
                </c:pt>
                <c:pt idx="32">
                  <c:v>0.504</c:v>
                </c:pt>
                <c:pt idx="33">
                  <c:v>0.88300000000000001</c:v>
                </c:pt>
                <c:pt idx="34">
                  <c:v>0.64700000000000002</c:v>
                </c:pt>
                <c:pt idx="35">
                  <c:v>0.55100000000000005</c:v>
                </c:pt>
                <c:pt idx="36">
                  <c:v>0.98299999999999998</c:v>
                </c:pt>
                <c:pt idx="37">
                  <c:v>0</c:v>
                </c:pt>
                <c:pt idx="38">
                  <c:v>2.8319999999999999</c:v>
                </c:pt>
                <c:pt idx="39">
                  <c:v>0.35899999999999999</c:v>
                </c:pt>
                <c:pt idx="40">
                  <c:v>0.56499999999999995</c:v>
                </c:pt>
                <c:pt idx="41">
                  <c:v>0.38</c:v>
                </c:pt>
                <c:pt idx="42">
                  <c:v>1.5129999999999999</c:v>
                </c:pt>
                <c:pt idx="43">
                  <c:v>0.15</c:v>
                </c:pt>
                <c:pt idx="44">
                  <c:v>0.12</c:v>
                </c:pt>
                <c:pt idx="45">
                  <c:v>0.37</c:v>
                </c:pt>
                <c:pt idx="46">
                  <c:v>4.22</c:v>
                </c:pt>
                <c:pt idx="47">
                  <c:v>0.88300000000000001</c:v>
                </c:pt>
                <c:pt idx="48">
                  <c:v>0</c:v>
                </c:pt>
                <c:pt idx="49">
                  <c:v>1.55</c:v>
                </c:pt>
                <c:pt idx="50">
                  <c:v>0</c:v>
                </c:pt>
                <c:pt idx="51">
                  <c:v>6.8000000000000005E-2</c:v>
                </c:pt>
              </c:numCache>
            </c:numRef>
          </c:val>
        </c:ser>
        <c:ser>
          <c:idx val="3"/>
          <c:order val="3"/>
          <c:tx>
            <c:strRef>
              <c:f>Value!$BK$7</c:f>
              <c:strCache>
                <c:ptCount val="1"/>
                <c:pt idx="0">
                  <c:v>Other industrial buildings </c:v>
                </c:pt>
              </c:strCache>
            </c:strRef>
          </c:tx>
          <c:spPr>
            <a:solidFill>
              <a:srgbClr val="CC00CC"/>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Value!$BK$49:$BK$100</c:f>
              <c:numCache>
                <c:formatCode>_-"$"* #,##0_-;\-"$"* #,##0_-;_-"$"* "-"??_-;_-@_-</c:formatCode>
                <c:ptCount val="52"/>
                <c:pt idx="0">
                  <c:v>0</c:v>
                </c:pt>
                <c:pt idx="1">
                  <c:v>0.68600000000000005</c:v>
                </c:pt>
                <c:pt idx="2">
                  <c:v>0.5</c:v>
                </c:pt>
                <c:pt idx="3">
                  <c:v>7.3920000000000003</c:v>
                </c:pt>
                <c:pt idx="4">
                  <c:v>0.85399999999999998</c:v>
                </c:pt>
                <c:pt idx="5">
                  <c:v>0.13</c:v>
                </c:pt>
                <c:pt idx="6">
                  <c:v>1.232</c:v>
                </c:pt>
                <c:pt idx="7">
                  <c:v>1.05</c:v>
                </c:pt>
                <c:pt idx="8">
                  <c:v>5.6000000000000001E-2</c:v>
                </c:pt>
                <c:pt idx="9">
                  <c:v>0</c:v>
                </c:pt>
                <c:pt idx="10">
                  <c:v>0.80100000000000005</c:v>
                </c:pt>
                <c:pt idx="11">
                  <c:v>0</c:v>
                </c:pt>
                <c:pt idx="12">
                  <c:v>0</c:v>
                </c:pt>
                <c:pt idx="13">
                  <c:v>0</c:v>
                </c:pt>
                <c:pt idx="14">
                  <c:v>0.1</c:v>
                </c:pt>
                <c:pt idx="15">
                  <c:v>8.1000000000000003E-2</c:v>
                </c:pt>
                <c:pt idx="16">
                  <c:v>0.13</c:v>
                </c:pt>
                <c:pt idx="17">
                  <c:v>0</c:v>
                </c:pt>
                <c:pt idx="18">
                  <c:v>1.101</c:v>
                </c:pt>
                <c:pt idx="19">
                  <c:v>0</c:v>
                </c:pt>
                <c:pt idx="20">
                  <c:v>0.17</c:v>
                </c:pt>
                <c:pt idx="21">
                  <c:v>0</c:v>
                </c:pt>
                <c:pt idx="22">
                  <c:v>0</c:v>
                </c:pt>
                <c:pt idx="23">
                  <c:v>0</c:v>
                </c:pt>
                <c:pt idx="24">
                  <c:v>0.09</c:v>
                </c:pt>
                <c:pt idx="25">
                  <c:v>0.81799999999999995</c:v>
                </c:pt>
                <c:pt idx="26">
                  <c:v>0</c:v>
                </c:pt>
                <c:pt idx="27">
                  <c:v>0</c:v>
                </c:pt>
                <c:pt idx="28">
                  <c:v>0</c:v>
                </c:pt>
                <c:pt idx="29">
                  <c:v>0.154</c:v>
                </c:pt>
                <c:pt idx="30">
                  <c:v>0.44900000000000001</c:v>
                </c:pt>
                <c:pt idx="31">
                  <c:v>0.25</c:v>
                </c:pt>
                <c:pt idx="32">
                  <c:v>5.1999999999999998E-2</c:v>
                </c:pt>
                <c:pt idx="33">
                  <c:v>6.2E-2</c:v>
                </c:pt>
                <c:pt idx="34">
                  <c:v>7.4999999999999997E-2</c:v>
                </c:pt>
                <c:pt idx="35">
                  <c:v>0</c:v>
                </c:pt>
                <c:pt idx="36">
                  <c:v>0.13100000000000001</c:v>
                </c:pt>
                <c:pt idx="37">
                  <c:v>0.23</c:v>
                </c:pt>
                <c:pt idx="38">
                  <c:v>1.1240000000000001</c:v>
                </c:pt>
                <c:pt idx="39">
                  <c:v>0</c:v>
                </c:pt>
                <c:pt idx="40">
                  <c:v>0</c:v>
                </c:pt>
                <c:pt idx="41">
                  <c:v>0</c:v>
                </c:pt>
                <c:pt idx="42">
                  <c:v>0.184</c:v>
                </c:pt>
                <c:pt idx="43">
                  <c:v>0</c:v>
                </c:pt>
                <c:pt idx="44">
                  <c:v>0.152</c:v>
                </c:pt>
                <c:pt idx="45">
                  <c:v>0</c:v>
                </c:pt>
                <c:pt idx="46">
                  <c:v>0.06</c:v>
                </c:pt>
                <c:pt idx="47">
                  <c:v>0.625</c:v>
                </c:pt>
                <c:pt idx="48">
                  <c:v>0</c:v>
                </c:pt>
                <c:pt idx="49">
                  <c:v>1.3220000000000001</c:v>
                </c:pt>
                <c:pt idx="50">
                  <c:v>0</c:v>
                </c:pt>
                <c:pt idx="51">
                  <c:v>6.8000000000000005E-2</c:v>
                </c:pt>
              </c:numCache>
            </c:numRef>
          </c:val>
        </c:ser>
        <c:dLbls>
          <c:showLegendKey val="0"/>
          <c:showVal val="0"/>
          <c:showCatName val="0"/>
          <c:showSerName val="0"/>
          <c:showPercent val="0"/>
          <c:showBubbleSize val="0"/>
        </c:dLbls>
        <c:gapWidth val="30"/>
        <c:overlap val="100"/>
        <c:axId val="509800576"/>
        <c:axId val="509801136"/>
      </c:barChart>
      <c:catAx>
        <c:axId val="5098005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9801136"/>
        <c:crosses val="autoZero"/>
        <c:auto val="1"/>
        <c:lblAlgn val="ctr"/>
        <c:lblOffset val="100"/>
        <c:noMultiLvlLbl val="0"/>
      </c:catAx>
      <c:valAx>
        <c:axId val="509801136"/>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Value</a:t>
                </a:r>
                <a:r>
                  <a:rPr lang="en-AU" baseline="0"/>
                  <a:t> of Approvals (millions)</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9800576"/>
        <c:crosses val="autoZero"/>
        <c:crossBetween val="between"/>
      </c:valAx>
      <c:spPr>
        <a:noFill/>
        <a:ln>
          <a:noFill/>
        </a:ln>
        <a:effectLst/>
      </c:spPr>
    </c:plotArea>
    <c:legend>
      <c:legendPos val="b"/>
      <c:layout>
        <c:manualLayout>
          <c:xMode val="edge"/>
          <c:yMode val="edge"/>
          <c:x val="0.46478857893692666"/>
          <c:y val="0"/>
          <c:w val="0.53325755284306942"/>
          <c:h val="9.740243067442656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Value</a:t>
            </a:r>
            <a:r>
              <a:rPr lang="en-AU" baseline="0"/>
              <a:t> of Building Approvals - </a:t>
            </a:r>
          </a:p>
          <a:p>
            <a:pPr algn="l">
              <a:defRPr/>
            </a:pPr>
            <a:r>
              <a:rPr lang="en-AU" baseline="0"/>
              <a:t>Other building types </a:t>
            </a:r>
          </a:p>
          <a:p>
            <a:pPr algn="l">
              <a:defRPr/>
            </a:pPr>
            <a:r>
              <a:rPr lang="en-AU" baseline="0"/>
              <a:t>Metropolitan Melbourne </a:t>
            </a:r>
          </a:p>
          <a:p>
            <a:pPr algn="l">
              <a:defRPr/>
            </a:pPr>
            <a:r>
              <a:rPr lang="en-AU" baseline="0"/>
              <a:t>2015/16</a:t>
            </a:r>
          </a:p>
          <a:p>
            <a:pPr algn="l">
              <a:defRPr/>
            </a:pPr>
            <a:r>
              <a:rPr lang="en-AU" sz="1000" baseline="0"/>
              <a:t>Source: ABS Building Approvals</a:t>
            </a:r>
            <a:endParaRPr lang="en-AU" sz="1000"/>
          </a:p>
        </c:rich>
      </c:tx>
      <c:layout>
        <c:manualLayout>
          <c:xMode val="edge"/>
          <c:yMode val="edge"/>
          <c:x val="1.656069141984867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31392101091966"/>
          <c:y val="0.1946016163043722"/>
          <c:w val="0.73539170574389501"/>
          <c:h val="0.79180434977679071"/>
        </c:manualLayout>
      </c:layout>
      <c:barChart>
        <c:barDir val="bar"/>
        <c:grouping val="stacked"/>
        <c:varyColors val="0"/>
        <c:ser>
          <c:idx val="0"/>
          <c:order val="0"/>
          <c:tx>
            <c:strRef>
              <c:f>Value!$BX$7</c:f>
              <c:strCache>
                <c:ptCount val="1"/>
                <c:pt idx="0">
                  <c:v>Education buildings</c:v>
                </c:pt>
              </c:strCache>
            </c:strRef>
          </c:tx>
          <c:spPr>
            <a:solidFill>
              <a:schemeClr val="accent6"/>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Value!$BX$8:$BX$48</c:f>
              <c:numCache>
                <c:formatCode>_-"$"* #,##0_-;\-"$"* #,##0_-;_-"$"* "-"??_-;_-@_-</c:formatCode>
                <c:ptCount val="41"/>
                <c:pt idx="1">
                  <c:v>3.726</c:v>
                </c:pt>
                <c:pt idx="2">
                  <c:v>429.267</c:v>
                </c:pt>
                <c:pt idx="3">
                  <c:v>7.47</c:v>
                </c:pt>
                <c:pt idx="4">
                  <c:v>12.064</c:v>
                </c:pt>
                <c:pt idx="5">
                  <c:v>7.0789999999999997</c:v>
                </c:pt>
                <c:pt idx="6">
                  <c:v>0</c:v>
                </c:pt>
                <c:pt idx="7">
                  <c:v>0</c:v>
                </c:pt>
                <c:pt idx="8">
                  <c:v>41.594000000000001</c:v>
                </c:pt>
                <c:pt idx="9">
                  <c:v>2.161</c:v>
                </c:pt>
                <c:pt idx="10">
                  <c:v>24.364000000000001</c:v>
                </c:pt>
                <c:pt idx="11">
                  <c:v>1.248</c:v>
                </c:pt>
                <c:pt idx="12">
                  <c:v>158.75700000000001</c:v>
                </c:pt>
                <c:pt idx="13">
                  <c:v>76.438000000000002</c:v>
                </c:pt>
                <c:pt idx="14">
                  <c:v>5.5149999999999997</c:v>
                </c:pt>
                <c:pt idx="15">
                  <c:v>0</c:v>
                </c:pt>
                <c:pt idx="16">
                  <c:v>0</c:v>
                </c:pt>
                <c:pt idx="17">
                  <c:v>23.571999999999999</c:v>
                </c:pt>
                <c:pt idx="18">
                  <c:v>52.838000000000001</c:v>
                </c:pt>
                <c:pt idx="19">
                  <c:v>28.047000000000001</c:v>
                </c:pt>
                <c:pt idx="20">
                  <c:v>4.718</c:v>
                </c:pt>
                <c:pt idx="21">
                  <c:v>3.23</c:v>
                </c:pt>
                <c:pt idx="22">
                  <c:v>2.7440000000000002</c:v>
                </c:pt>
                <c:pt idx="23">
                  <c:v>111.80800000000001</c:v>
                </c:pt>
                <c:pt idx="24">
                  <c:v>0</c:v>
                </c:pt>
                <c:pt idx="25">
                  <c:v>0</c:v>
                </c:pt>
                <c:pt idx="26">
                  <c:v>12.686999999999999</c:v>
                </c:pt>
                <c:pt idx="27">
                  <c:v>35.521000000000001</c:v>
                </c:pt>
                <c:pt idx="28">
                  <c:v>85.26</c:v>
                </c:pt>
                <c:pt idx="29">
                  <c:v>57.43</c:v>
                </c:pt>
                <c:pt idx="30">
                  <c:v>50.835000000000001</c:v>
                </c:pt>
                <c:pt idx="31">
                  <c:v>10.368</c:v>
                </c:pt>
                <c:pt idx="32">
                  <c:v>33.78</c:v>
                </c:pt>
                <c:pt idx="33">
                  <c:v>7.1689999999999996</c:v>
                </c:pt>
                <c:pt idx="34">
                  <c:v>0</c:v>
                </c:pt>
                <c:pt idx="35">
                  <c:v>0</c:v>
                </c:pt>
                <c:pt idx="36">
                  <c:v>3.2370000000000001</c:v>
                </c:pt>
                <c:pt idx="37">
                  <c:v>1.7589999999999999</c:v>
                </c:pt>
                <c:pt idx="38">
                  <c:v>2.573</c:v>
                </c:pt>
                <c:pt idx="39">
                  <c:v>11.302</c:v>
                </c:pt>
                <c:pt idx="40">
                  <c:v>54.44</c:v>
                </c:pt>
              </c:numCache>
            </c:numRef>
          </c:val>
        </c:ser>
        <c:ser>
          <c:idx val="1"/>
          <c:order val="1"/>
          <c:tx>
            <c:strRef>
              <c:f>Value!$BY$7</c:f>
              <c:strCache>
                <c:ptCount val="1"/>
                <c:pt idx="0">
                  <c:v>Religion buildings</c:v>
                </c:pt>
              </c:strCache>
            </c:strRef>
          </c:tx>
          <c:spPr>
            <a:solidFill>
              <a:schemeClr val="accent5"/>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Value!$BY$8:$BY$48</c:f>
              <c:numCache>
                <c:formatCode>_-"$"* #,##0_-;\-"$"* #,##0_-;_-"$"* "-"??_-;_-@_-</c:formatCode>
                <c:ptCount val="41"/>
                <c:pt idx="1">
                  <c:v>0.22</c:v>
                </c:pt>
                <c:pt idx="2">
                  <c:v>0.16200000000000001</c:v>
                </c:pt>
                <c:pt idx="3">
                  <c:v>1.63</c:v>
                </c:pt>
                <c:pt idx="4">
                  <c:v>2.415</c:v>
                </c:pt>
                <c:pt idx="5">
                  <c:v>4.1349999999999998</c:v>
                </c:pt>
                <c:pt idx="6">
                  <c:v>0</c:v>
                </c:pt>
                <c:pt idx="7">
                  <c:v>0</c:v>
                </c:pt>
                <c:pt idx="8">
                  <c:v>0.67200000000000004</c:v>
                </c:pt>
                <c:pt idx="9">
                  <c:v>0.4</c:v>
                </c:pt>
                <c:pt idx="10">
                  <c:v>0</c:v>
                </c:pt>
                <c:pt idx="11">
                  <c:v>2.5</c:v>
                </c:pt>
                <c:pt idx="12">
                  <c:v>2.0990000000000002</c:v>
                </c:pt>
                <c:pt idx="13">
                  <c:v>4.7050000000000001</c:v>
                </c:pt>
                <c:pt idx="14">
                  <c:v>0.2</c:v>
                </c:pt>
                <c:pt idx="15">
                  <c:v>0</c:v>
                </c:pt>
                <c:pt idx="16">
                  <c:v>0</c:v>
                </c:pt>
                <c:pt idx="17">
                  <c:v>0</c:v>
                </c:pt>
                <c:pt idx="18">
                  <c:v>0.53</c:v>
                </c:pt>
                <c:pt idx="19">
                  <c:v>0.55300000000000005</c:v>
                </c:pt>
                <c:pt idx="20">
                  <c:v>0</c:v>
                </c:pt>
                <c:pt idx="21">
                  <c:v>0</c:v>
                </c:pt>
                <c:pt idx="22">
                  <c:v>0</c:v>
                </c:pt>
                <c:pt idx="23">
                  <c:v>1.3340000000000001</c:v>
                </c:pt>
                <c:pt idx="24">
                  <c:v>0</c:v>
                </c:pt>
                <c:pt idx="25">
                  <c:v>0</c:v>
                </c:pt>
                <c:pt idx="26">
                  <c:v>0.39400000000000002</c:v>
                </c:pt>
                <c:pt idx="27">
                  <c:v>2.0470000000000002</c:v>
                </c:pt>
                <c:pt idx="28">
                  <c:v>1.1140000000000001</c:v>
                </c:pt>
                <c:pt idx="29">
                  <c:v>0</c:v>
                </c:pt>
                <c:pt idx="30">
                  <c:v>4.91</c:v>
                </c:pt>
                <c:pt idx="31">
                  <c:v>9.141</c:v>
                </c:pt>
                <c:pt idx="32">
                  <c:v>0.20100000000000001</c:v>
                </c:pt>
                <c:pt idx="33">
                  <c:v>0.57699999999999996</c:v>
                </c:pt>
                <c:pt idx="34">
                  <c:v>0</c:v>
                </c:pt>
                <c:pt idx="35">
                  <c:v>0</c:v>
                </c:pt>
                <c:pt idx="36">
                  <c:v>1.3160000000000001</c:v>
                </c:pt>
                <c:pt idx="37">
                  <c:v>1.75</c:v>
                </c:pt>
                <c:pt idx="38">
                  <c:v>5.4039999999999999</c:v>
                </c:pt>
                <c:pt idx="39">
                  <c:v>0.27800000000000002</c:v>
                </c:pt>
                <c:pt idx="40">
                  <c:v>0.15</c:v>
                </c:pt>
              </c:numCache>
            </c:numRef>
          </c:val>
        </c:ser>
        <c:ser>
          <c:idx val="2"/>
          <c:order val="2"/>
          <c:tx>
            <c:strRef>
              <c:f>Value!$BZ$7</c:f>
              <c:strCache>
                <c:ptCount val="1"/>
                <c:pt idx="0">
                  <c:v>Aged care facilities</c:v>
                </c:pt>
              </c:strCache>
            </c:strRef>
          </c:tx>
          <c:spPr>
            <a:solidFill>
              <a:schemeClr val="accent4"/>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Value!$BZ$8:$BZ$48</c:f>
              <c:numCache>
                <c:formatCode>_-"$"* #,##0_-;\-"$"* #,##0_-;_-"$"* "-"??_-;_-@_-</c:formatCode>
                <c:ptCount val="41"/>
                <c:pt idx="1">
                  <c:v>0.3</c:v>
                </c:pt>
                <c:pt idx="2">
                  <c:v>0.55000000000000004</c:v>
                </c:pt>
                <c:pt idx="3">
                  <c:v>0.251</c:v>
                </c:pt>
                <c:pt idx="4">
                  <c:v>112.75</c:v>
                </c:pt>
                <c:pt idx="5">
                  <c:v>0</c:v>
                </c:pt>
                <c:pt idx="6">
                  <c:v>0</c:v>
                </c:pt>
                <c:pt idx="7">
                  <c:v>0</c:v>
                </c:pt>
                <c:pt idx="8">
                  <c:v>2.7410000000000001</c:v>
                </c:pt>
                <c:pt idx="9">
                  <c:v>8.6340000000000003</c:v>
                </c:pt>
                <c:pt idx="10">
                  <c:v>35.962000000000003</c:v>
                </c:pt>
                <c:pt idx="11">
                  <c:v>5.5730000000000004</c:v>
                </c:pt>
                <c:pt idx="12">
                  <c:v>30.83</c:v>
                </c:pt>
                <c:pt idx="13">
                  <c:v>30.38</c:v>
                </c:pt>
                <c:pt idx="14">
                  <c:v>0</c:v>
                </c:pt>
                <c:pt idx="15">
                  <c:v>0</c:v>
                </c:pt>
                <c:pt idx="16">
                  <c:v>0</c:v>
                </c:pt>
                <c:pt idx="17">
                  <c:v>1.1970000000000001</c:v>
                </c:pt>
                <c:pt idx="18">
                  <c:v>3.5179999999999998</c:v>
                </c:pt>
                <c:pt idx="19">
                  <c:v>17.628</c:v>
                </c:pt>
                <c:pt idx="20">
                  <c:v>0</c:v>
                </c:pt>
                <c:pt idx="21">
                  <c:v>13.401999999999999</c:v>
                </c:pt>
                <c:pt idx="22">
                  <c:v>5.5</c:v>
                </c:pt>
                <c:pt idx="23">
                  <c:v>11.054</c:v>
                </c:pt>
                <c:pt idx="24">
                  <c:v>0</c:v>
                </c:pt>
                <c:pt idx="25">
                  <c:v>0</c:v>
                </c:pt>
                <c:pt idx="26">
                  <c:v>0.88</c:v>
                </c:pt>
                <c:pt idx="27">
                  <c:v>0.42</c:v>
                </c:pt>
                <c:pt idx="28">
                  <c:v>8.3439999999999994</c:v>
                </c:pt>
                <c:pt idx="29">
                  <c:v>0.59</c:v>
                </c:pt>
                <c:pt idx="30">
                  <c:v>2.0630000000000002</c:v>
                </c:pt>
                <c:pt idx="31">
                  <c:v>0.16</c:v>
                </c:pt>
                <c:pt idx="32">
                  <c:v>3.0649999999999999</c:v>
                </c:pt>
                <c:pt idx="33">
                  <c:v>21.440999999999999</c:v>
                </c:pt>
                <c:pt idx="34">
                  <c:v>0</c:v>
                </c:pt>
                <c:pt idx="35">
                  <c:v>0</c:v>
                </c:pt>
                <c:pt idx="36">
                  <c:v>0</c:v>
                </c:pt>
                <c:pt idx="37">
                  <c:v>1.7829999999999999</c:v>
                </c:pt>
                <c:pt idx="38">
                  <c:v>0.27200000000000002</c:v>
                </c:pt>
                <c:pt idx="39">
                  <c:v>37.841999999999999</c:v>
                </c:pt>
                <c:pt idx="40">
                  <c:v>6.9249999999999998</c:v>
                </c:pt>
              </c:numCache>
            </c:numRef>
          </c:val>
        </c:ser>
        <c:ser>
          <c:idx val="3"/>
          <c:order val="3"/>
          <c:tx>
            <c:strRef>
              <c:f>Value!$CA$7</c:f>
              <c:strCache>
                <c:ptCount val="1"/>
                <c:pt idx="0">
                  <c:v>Health buildings</c:v>
                </c:pt>
              </c:strCache>
            </c:strRef>
          </c:tx>
          <c:spPr>
            <a:solidFill>
              <a:schemeClr val="accent6">
                <a:lumMod val="60000"/>
              </a:schemeClr>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Value!$CA$8:$CA$48</c:f>
              <c:numCache>
                <c:formatCode>_-"$"* #,##0_-;\-"$"* #,##0_-;_-"$"* "-"??_-;_-@_-</c:formatCode>
                <c:ptCount val="41"/>
                <c:pt idx="1">
                  <c:v>11.804</c:v>
                </c:pt>
                <c:pt idx="2">
                  <c:v>13.54</c:v>
                </c:pt>
                <c:pt idx="3">
                  <c:v>0.28199999999999997</c:v>
                </c:pt>
                <c:pt idx="4">
                  <c:v>14.927</c:v>
                </c:pt>
                <c:pt idx="5">
                  <c:v>114.499</c:v>
                </c:pt>
                <c:pt idx="6">
                  <c:v>0</c:v>
                </c:pt>
                <c:pt idx="7">
                  <c:v>0</c:v>
                </c:pt>
                <c:pt idx="8">
                  <c:v>2.782</c:v>
                </c:pt>
                <c:pt idx="9">
                  <c:v>11.055999999999999</c:v>
                </c:pt>
                <c:pt idx="10">
                  <c:v>0.443</c:v>
                </c:pt>
                <c:pt idx="11">
                  <c:v>3.3239999999999998</c:v>
                </c:pt>
                <c:pt idx="12">
                  <c:v>28.041</c:v>
                </c:pt>
                <c:pt idx="13">
                  <c:v>13.805999999999999</c:v>
                </c:pt>
                <c:pt idx="14">
                  <c:v>8.1859999999999999</c:v>
                </c:pt>
                <c:pt idx="15">
                  <c:v>0</c:v>
                </c:pt>
                <c:pt idx="16">
                  <c:v>0</c:v>
                </c:pt>
                <c:pt idx="17">
                  <c:v>11.054</c:v>
                </c:pt>
                <c:pt idx="18">
                  <c:v>0.57999999999999996</c:v>
                </c:pt>
                <c:pt idx="19">
                  <c:v>4.3150000000000004</c:v>
                </c:pt>
                <c:pt idx="20">
                  <c:v>9.8000000000000004E-2</c:v>
                </c:pt>
                <c:pt idx="21">
                  <c:v>1.954</c:v>
                </c:pt>
                <c:pt idx="22">
                  <c:v>0.55900000000000005</c:v>
                </c:pt>
                <c:pt idx="23">
                  <c:v>6.6449999999999996</c:v>
                </c:pt>
                <c:pt idx="24">
                  <c:v>0</c:v>
                </c:pt>
                <c:pt idx="25">
                  <c:v>0</c:v>
                </c:pt>
                <c:pt idx="26">
                  <c:v>1.401</c:v>
                </c:pt>
                <c:pt idx="27">
                  <c:v>1.903</c:v>
                </c:pt>
                <c:pt idx="28">
                  <c:v>66.25</c:v>
                </c:pt>
                <c:pt idx="29">
                  <c:v>48.116</c:v>
                </c:pt>
                <c:pt idx="30">
                  <c:v>0.874</c:v>
                </c:pt>
                <c:pt idx="31">
                  <c:v>13.59</c:v>
                </c:pt>
                <c:pt idx="32">
                  <c:v>54.021999999999998</c:v>
                </c:pt>
                <c:pt idx="33">
                  <c:v>8.5879999999999992</c:v>
                </c:pt>
                <c:pt idx="34">
                  <c:v>0</c:v>
                </c:pt>
                <c:pt idx="35">
                  <c:v>0</c:v>
                </c:pt>
                <c:pt idx="36">
                  <c:v>3.4079999999999999</c:v>
                </c:pt>
                <c:pt idx="37">
                  <c:v>1.5209999999999999</c:v>
                </c:pt>
                <c:pt idx="38">
                  <c:v>1.0349999999999999</c:v>
                </c:pt>
                <c:pt idx="39">
                  <c:v>0.996</c:v>
                </c:pt>
                <c:pt idx="40">
                  <c:v>80.602999999999994</c:v>
                </c:pt>
              </c:numCache>
            </c:numRef>
          </c:val>
        </c:ser>
        <c:ser>
          <c:idx val="4"/>
          <c:order val="4"/>
          <c:tx>
            <c:strRef>
              <c:f>Value!$CB$7</c:f>
              <c:strCache>
                <c:ptCount val="1"/>
                <c:pt idx="0">
                  <c:v>Entertainment and recreation buildings</c:v>
                </c:pt>
              </c:strCache>
            </c:strRef>
          </c:tx>
          <c:spPr>
            <a:solidFill>
              <a:srgbClr val="FF0000"/>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Value!$CB$8:$CB$48</c:f>
              <c:numCache>
                <c:formatCode>_-"$"* #,##0_-;\-"$"* #,##0_-;_-"$"* "-"??_-;_-@_-</c:formatCode>
                <c:ptCount val="41"/>
                <c:pt idx="1">
                  <c:v>2.6720000000000002</c:v>
                </c:pt>
                <c:pt idx="2">
                  <c:v>210.892</c:v>
                </c:pt>
                <c:pt idx="3">
                  <c:v>12.923</c:v>
                </c:pt>
                <c:pt idx="4">
                  <c:v>2.0299999999999998</c:v>
                </c:pt>
                <c:pt idx="5">
                  <c:v>15.053000000000001</c:v>
                </c:pt>
                <c:pt idx="6">
                  <c:v>0</c:v>
                </c:pt>
                <c:pt idx="7">
                  <c:v>0</c:v>
                </c:pt>
                <c:pt idx="8">
                  <c:v>8.6150000000000002</c:v>
                </c:pt>
                <c:pt idx="9">
                  <c:v>2.609</c:v>
                </c:pt>
                <c:pt idx="10">
                  <c:v>0.97499999999999998</c:v>
                </c:pt>
                <c:pt idx="11">
                  <c:v>4.24</c:v>
                </c:pt>
                <c:pt idx="12">
                  <c:v>7.57</c:v>
                </c:pt>
                <c:pt idx="13">
                  <c:v>2.8319999999999999</c:v>
                </c:pt>
                <c:pt idx="14">
                  <c:v>5.5039999999999996</c:v>
                </c:pt>
                <c:pt idx="15">
                  <c:v>0</c:v>
                </c:pt>
                <c:pt idx="16">
                  <c:v>0</c:v>
                </c:pt>
                <c:pt idx="17">
                  <c:v>4.7880000000000003</c:v>
                </c:pt>
                <c:pt idx="18">
                  <c:v>4.2839999999999998</c:v>
                </c:pt>
                <c:pt idx="19">
                  <c:v>50.662999999999997</c:v>
                </c:pt>
                <c:pt idx="20">
                  <c:v>1.1439999999999999</c:v>
                </c:pt>
                <c:pt idx="21">
                  <c:v>3.5179999999999998</c:v>
                </c:pt>
                <c:pt idx="22">
                  <c:v>2.8730000000000002</c:v>
                </c:pt>
                <c:pt idx="23">
                  <c:v>9.7929999999999993</c:v>
                </c:pt>
                <c:pt idx="24">
                  <c:v>0</c:v>
                </c:pt>
                <c:pt idx="25">
                  <c:v>0</c:v>
                </c:pt>
                <c:pt idx="26">
                  <c:v>3.3809999999999998</c:v>
                </c:pt>
                <c:pt idx="27">
                  <c:v>20.873999999999999</c:v>
                </c:pt>
                <c:pt idx="28">
                  <c:v>150.02799999999999</c:v>
                </c:pt>
                <c:pt idx="29">
                  <c:v>7.9980000000000002</c:v>
                </c:pt>
                <c:pt idx="30">
                  <c:v>1.25</c:v>
                </c:pt>
                <c:pt idx="31">
                  <c:v>7.891</c:v>
                </c:pt>
                <c:pt idx="32">
                  <c:v>21.800999999999998</c:v>
                </c:pt>
                <c:pt idx="33">
                  <c:v>16.867999999999999</c:v>
                </c:pt>
                <c:pt idx="34">
                  <c:v>0</c:v>
                </c:pt>
                <c:pt idx="35">
                  <c:v>0</c:v>
                </c:pt>
                <c:pt idx="36">
                  <c:v>3.7909999999999999</c:v>
                </c:pt>
                <c:pt idx="37">
                  <c:v>1.3169999999999999</c:v>
                </c:pt>
                <c:pt idx="38">
                  <c:v>8.3360000000000003</c:v>
                </c:pt>
                <c:pt idx="39">
                  <c:v>1.095</c:v>
                </c:pt>
                <c:pt idx="40">
                  <c:v>11.786</c:v>
                </c:pt>
              </c:numCache>
            </c:numRef>
          </c:val>
        </c:ser>
        <c:ser>
          <c:idx val="5"/>
          <c:order val="5"/>
          <c:tx>
            <c:strRef>
              <c:f>Value!$CC$7</c:f>
              <c:strCache>
                <c:ptCount val="1"/>
                <c:pt idx="0">
                  <c:v>Short term accommodation buildings</c:v>
                </c:pt>
              </c:strCache>
            </c:strRef>
          </c:tx>
          <c:spPr>
            <a:solidFill>
              <a:schemeClr val="accent4">
                <a:lumMod val="60000"/>
              </a:schemeClr>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Value!$CC$8:$CC$48</c:f>
              <c:numCache>
                <c:formatCode>_-"$"* #,##0_-;\-"$"* #,##0_-;_-"$"* "-"??_-;_-@_-</c:formatCode>
                <c:ptCount val="41"/>
                <c:pt idx="1">
                  <c:v>0</c:v>
                </c:pt>
                <c:pt idx="2">
                  <c:v>247.233</c:v>
                </c:pt>
                <c:pt idx="3">
                  <c:v>25.381</c:v>
                </c:pt>
                <c:pt idx="4">
                  <c:v>0</c:v>
                </c:pt>
                <c:pt idx="5">
                  <c:v>0.72099999999999997</c:v>
                </c:pt>
                <c:pt idx="6">
                  <c:v>0</c:v>
                </c:pt>
                <c:pt idx="7">
                  <c:v>0</c:v>
                </c:pt>
                <c:pt idx="8">
                  <c:v>0</c:v>
                </c:pt>
                <c:pt idx="9">
                  <c:v>0</c:v>
                </c:pt>
                <c:pt idx="10">
                  <c:v>0</c:v>
                </c:pt>
                <c:pt idx="11">
                  <c:v>0.33700000000000002</c:v>
                </c:pt>
                <c:pt idx="12">
                  <c:v>5.5780000000000003</c:v>
                </c:pt>
                <c:pt idx="13">
                  <c:v>57.18</c:v>
                </c:pt>
                <c:pt idx="14">
                  <c:v>1.302</c:v>
                </c:pt>
                <c:pt idx="15">
                  <c:v>0</c:v>
                </c:pt>
                <c:pt idx="16">
                  <c:v>0</c:v>
                </c:pt>
                <c:pt idx="17">
                  <c:v>0</c:v>
                </c:pt>
                <c:pt idx="18">
                  <c:v>0</c:v>
                </c:pt>
                <c:pt idx="19">
                  <c:v>0</c:v>
                </c:pt>
                <c:pt idx="20">
                  <c:v>1.097</c:v>
                </c:pt>
                <c:pt idx="21">
                  <c:v>0.31</c:v>
                </c:pt>
                <c:pt idx="22">
                  <c:v>0</c:v>
                </c:pt>
                <c:pt idx="23">
                  <c:v>0.11</c:v>
                </c:pt>
                <c:pt idx="24">
                  <c:v>0</c:v>
                </c:pt>
                <c:pt idx="25">
                  <c:v>0</c:v>
                </c:pt>
                <c:pt idx="26">
                  <c:v>0</c:v>
                </c:pt>
                <c:pt idx="27">
                  <c:v>0.26500000000000001</c:v>
                </c:pt>
                <c:pt idx="28">
                  <c:v>0.06</c:v>
                </c:pt>
                <c:pt idx="29">
                  <c:v>2.8679999999999999</c:v>
                </c:pt>
                <c:pt idx="30">
                  <c:v>0.44</c:v>
                </c:pt>
                <c:pt idx="31">
                  <c:v>15.28</c:v>
                </c:pt>
                <c:pt idx="32">
                  <c:v>2.85</c:v>
                </c:pt>
                <c:pt idx="33">
                  <c:v>135.71</c:v>
                </c:pt>
                <c:pt idx="34">
                  <c:v>0</c:v>
                </c:pt>
                <c:pt idx="35">
                  <c:v>0</c:v>
                </c:pt>
                <c:pt idx="36">
                  <c:v>0</c:v>
                </c:pt>
                <c:pt idx="37">
                  <c:v>0</c:v>
                </c:pt>
                <c:pt idx="38">
                  <c:v>0</c:v>
                </c:pt>
                <c:pt idx="39">
                  <c:v>50</c:v>
                </c:pt>
                <c:pt idx="40">
                  <c:v>0</c:v>
                </c:pt>
              </c:numCache>
            </c:numRef>
          </c:val>
        </c:ser>
        <c:ser>
          <c:idx val="6"/>
          <c:order val="6"/>
          <c:tx>
            <c:strRef>
              <c:f>Value!$CD$7</c:f>
              <c:strCache>
                <c:ptCount val="1"/>
                <c:pt idx="0">
                  <c:v>Other non-residential</c:v>
                </c:pt>
              </c:strCache>
            </c:strRef>
          </c:tx>
          <c:spPr>
            <a:solidFill>
              <a:srgbClr val="00B0F0"/>
            </a:solidFill>
            <a:ln>
              <a:solidFill>
                <a:schemeClr val="tx1"/>
              </a:solidFill>
            </a:ln>
            <a:effectLst/>
          </c:spPr>
          <c:invertIfNegative val="0"/>
          <c:cat>
            <c:strRef>
              <c:f>Value!$AC$8:$AC$48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Value!$CD$8:$CD$48</c:f>
              <c:numCache>
                <c:formatCode>_-"$"* #,##0_-;\-"$"* #,##0_-;_-"$"* "-"??_-;_-@_-</c:formatCode>
                <c:ptCount val="41"/>
                <c:pt idx="1">
                  <c:v>2.5760000000000001</c:v>
                </c:pt>
                <c:pt idx="2">
                  <c:v>16.329000000000001</c:v>
                </c:pt>
                <c:pt idx="3">
                  <c:v>4.8899999999999997</c:v>
                </c:pt>
                <c:pt idx="4">
                  <c:v>10.307</c:v>
                </c:pt>
                <c:pt idx="5">
                  <c:v>10.063000000000001</c:v>
                </c:pt>
                <c:pt idx="6">
                  <c:v>0</c:v>
                </c:pt>
                <c:pt idx="7">
                  <c:v>0</c:v>
                </c:pt>
                <c:pt idx="8">
                  <c:v>4.6449999999999996</c:v>
                </c:pt>
                <c:pt idx="9">
                  <c:v>3.915</c:v>
                </c:pt>
                <c:pt idx="10">
                  <c:v>0.27800000000000002</c:v>
                </c:pt>
                <c:pt idx="11">
                  <c:v>5.08</c:v>
                </c:pt>
                <c:pt idx="12">
                  <c:v>6.74</c:v>
                </c:pt>
                <c:pt idx="13">
                  <c:v>7.3280000000000003</c:v>
                </c:pt>
                <c:pt idx="14">
                  <c:v>0.746</c:v>
                </c:pt>
                <c:pt idx="15">
                  <c:v>0</c:v>
                </c:pt>
                <c:pt idx="16">
                  <c:v>0</c:v>
                </c:pt>
                <c:pt idx="17">
                  <c:v>5.9409999999999998</c:v>
                </c:pt>
                <c:pt idx="18">
                  <c:v>5.9340000000000002</c:v>
                </c:pt>
                <c:pt idx="19">
                  <c:v>6.9729999999999999</c:v>
                </c:pt>
                <c:pt idx="20">
                  <c:v>30.356000000000002</c:v>
                </c:pt>
                <c:pt idx="21">
                  <c:v>15.475</c:v>
                </c:pt>
                <c:pt idx="22">
                  <c:v>0.185</c:v>
                </c:pt>
                <c:pt idx="23">
                  <c:v>2.383</c:v>
                </c:pt>
                <c:pt idx="24">
                  <c:v>0</c:v>
                </c:pt>
                <c:pt idx="25">
                  <c:v>0</c:v>
                </c:pt>
                <c:pt idx="26">
                  <c:v>14.773999999999999</c:v>
                </c:pt>
                <c:pt idx="27">
                  <c:v>6.6550000000000002</c:v>
                </c:pt>
                <c:pt idx="28">
                  <c:v>9.7750000000000004</c:v>
                </c:pt>
                <c:pt idx="29">
                  <c:v>2.2919999999999998</c:v>
                </c:pt>
                <c:pt idx="30">
                  <c:v>13.077</c:v>
                </c:pt>
                <c:pt idx="31">
                  <c:v>4.9749999999999996</c:v>
                </c:pt>
                <c:pt idx="32">
                  <c:v>3.3940000000000001</c:v>
                </c:pt>
                <c:pt idx="33">
                  <c:v>4.9660000000000002</c:v>
                </c:pt>
                <c:pt idx="34">
                  <c:v>0</c:v>
                </c:pt>
                <c:pt idx="35">
                  <c:v>0</c:v>
                </c:pt>
                <c:pt idx="36">
                  <c:v>3.754</c:v>
                </c:pt>
                <c:pt idx="37">
                  <c:v>2.7290000000000001</c:v>
                </c:pt>
                <c:pt idx="38">
                  <c:v>22.513999999999999</c:v>
                </c:pt>
                <c:pt idx="39">
                  <c:v>4.6390000000000002</c:v>
                </c:pt>
                <c:pt idx="40">
                  <c:v>15.638</c:v>
                </c:pt>
              </c:numCache>
            </c:numRef>
          </c:val>
        </c:ser>
        <c:dLbls>
          <c:showLegendKey val="0"/>
          <c:showVal val="0"/>
          <c:showCatName val="0"/>
          <c:showSerName val="0"/>
          <c:showPercent val="0"/>
          <c:showBubbleSize val="0"/>
        </c:dLbls>
        <c:gapWidth val="30"/>
        <c:overlap val="100"/>
        <c:axId val="643347200"/>
        <c:axId val="643347760"/>
      </c:barChart>
      <c:catAx>
        <c:axId val="6433472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3347760"/>
        <c:crosses val="autoZero"/>
        <c:auto val="1"/>
        <c:lblAlgn val="ctr"/>
        <c:lblOffset val="100"/>
        <c:noMultiLvlLbl val="0"/>
      </c:catAx>
      <c:valAx>
        <c:axId val="643347760"/>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Value</a:t>
                </a:r>
                <a:r>
                  <a:rPr lang="en-AU" baseline="0"/>
                  <a:t> of Approvals (millions)</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3347200"/>
        <c:crosses val="autoZero"/>
        <c:crossBetween val="between"/>
      </c:valAx>
      <c:spPr>
        <a:noFill/>
        <a:ln>
          <a:noFill/>
        </a:ln>
        <a:effectLst/>
      </c:spPr>
    </c:plotArea>
    <c:legend>
      <c:legendPos val="b"/>
      <c:layout>
        <c:manualLayout>
          <c:xMode val="edge"/>
          <c:yMode val="edge"/>
          <c:x val="0.4957674921277796"/>
          <c:y val="1.5693659761456371E-3"/>
          <c:w val="0.50423248673841425"/>
          <c:h val="0.1380783152618217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Value</a:t>
            </a:r>
            <a:r>
              <a:rPr lang="en-AU" baseline="0"/>
              <a:t> of Building Approvals - </a:t>
            </a:r>
          </a:p>
          <a:p>
            <a:pPr algn="l">
              <a:defRPr/>
            </a:pPr>
            <a:r>
              <a:rPr lang="en-AU" baseline="0"/>
              <a:t>Other building types </a:t>
            </a:r>
          </a:p>
          <a:p>
            <a:pPr algn="l">
              <a:defRPr/>
            </a:pPr>
            <a:r>
              <a:rPr lang="en-AU" baseline="0"/>
              <a:t>Regional Victoria</a:t>
            </a:r>
          </a:p>
          <a:p>
            <a:pPr algn="l">
              <a:defRPr/>
            </a:pPr>
            <a:r>
              <a:rPr lang="en-AU" baseline="0"/>
              <a:t>2015/16</a:t>
            </a:r>
          </a:p>
          <a:p>
            <a:pPr algn="l">
              <a:defRPr/>
            </a:pPr>
            <a:r>
              <a:rPr lang="en-AU" sz="1000" baseline="0"/>
              <a:t>Source: ABS Building Approvals</a:t>
            </a:r>
            <a:endParaRPr lang="en-AU" sz="1000"/>
          </a:p>
        </c:rich>
      </c:tx>
      <c:layout>
        <c:manualLayout>
          <c:xMode val="edge"/>
          <c:yMode val="edge"/>
          <c:x val="1.6561109209174941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7767853867715464"/>
          <c:y val="0.17350457775056599"/>
          <c:w val="0.68085248007787236"/>
          <c:h val="0.812901354102889"/>
        </c:manualLayout>
      </c:layout>
      <c:barChart>
        <c:barDir val="bar"/>
        <c:grouping val="stacked"/>
        <c:varyColors val="0"/>
        <c:ser>
          <c:idx val="0"/>
          <c:order val="0"/>
          <c:tx>
            <c:strRef>
              <c:f>Value!$BX$7</c:f>
              <c:strCache>
                <c:ptCount val="1"/>
                <c:pt idx="0">
                  <c:v>Education buildings</c:v>
                </c:pt>
              </c:strCache>
            </c:strRef>
          </c:tx>
          <c:spPr>
            <a:solidFill>
              <a:schemeClr val="accent6"/>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Value!$BX$49:$BX$100</c:f>
              <c:numCache>
                <c:formatCode>_-"$"* #,##0_-;\-"$"* #,##0_-;_-"$"* "-"??_-;_-@_-</c:formatCode>
                <c:ptCount val="52"/>
                <c:pt idx="0">
                  <c:v>0</c:v>
                </c:pt>
                <c:pt idx="1">
                  <c:v>25.661000000000001</c:v>
                </c:pt>
                <c:pt idx="2">
                  <c:v>21.91</c:v>
                </c:pt>
                <c:pt idx="3">
                  <c:v>31.042000000000002</c:v>
                </c:pt>
                <c:pt idx="4">
                  <c:v>2.4910000000000001</c:v>
                </c:pt>
                <c:pt idx="5">
                  <c:v>7.968</c:v>
                </c:pt>
                <c:pt idx="6">
                  <c:v>11.346</c:v>
                </c:pt>
                <c:pt idx="7">
                  <c:v>5.15</c:v>
                </c:pt>
                <c:pt idx="8">
                  <c:v>7.0069999999999997</c:v>
                </c:pt>
                <c:pt idx="9">
                  <c:v>0.44500000000000001</c:v>
                </c:pt>
                <c:pt idx="10">
                  <c:v>4.1379999999999999</c:v>
                </c:pt>
                <c:pt idx="11">
                  <c:v>0</c:v>
                </c:pt>
                <c:pt idx="12">
                  <c:v>0</c:v>
                </c:pt>
                <c:pt idx="13">
                  <c:v>0.35</c:v>
                </c:pt>
                <c:pt idx="14">
                  <c:v>0.32600000000000001</c:v>
                </c:pt>
                <c:pt idx="15">
                  <c:v>0.29599999999999999</c:v>
                </c:pt>
                <c:pt idx="16">
                  <c:v>2.903</c:v>
                </c:pt>
                <c:pt idx="17">
                  <c:v>1.034</c:v>
                </c:pt>
                <c:pt idx="18">
                  <c:v>1.05</c:v>
                </c:pt>
                <c:pt idx="19">
                  <c:v>0</c:v>
                </c:pt>
                <c:pt idx="20">
                  <c:v>1.0920000000000001</c:v>
                </c:pt>
                <c:pt idx="21">
                  <c:v>16.459</c:v>
                </c:pt>
                <c:pt idx="22">
                  <c:v>0</c:v>
                </c:pt>
                <c:pt idx="23">
                  <c:v>0</c:v>
                </c:pt>
                <c:pt idx="24">
                  <c:v>1.012</c:v>
                </c:pt>
                <c:pt idx="25">
                  <c:v>0</c:v>
                </c:pt>
                <c:pt idx="26">
                  <c:v>0</c:v>
                </c:pt>
                <c:pt idx="27">
                  <c:v>0.34599999999999997</c:v>
                </c:pt>
                <c:pt idx="28">
                  <c:v>0.44700000000000001</c:v>
                </c:pt>
                <c:pt idx="29">
                  <c:v>0.60099999999999998</c:v>
                </c:pt>
                <c:pt idx="30">
                  <c:v>1.4019999999999999</c:v>
                </c:pt>
                <c:pt idx="31">
                  <c:v>3.585</c:v>
                </c:pt>
                <c:pt idx="32">
                  <c:v>2.367</c:v>
                </c:pt>
                <c:pt idx="33">
                  <c:v>0.435</c:v>
                </c:pt>
                <c:pt idx="34">
                  <c:v>0</c:v>
                </c:pt>
                <c:pt idx="35">
                  <c:v>0.35</c:v>
                </c:pt>
                <c:pt idx="36">
                  <c:v>2.0710000000000002</c:v>
                </c:pt>
                <c:pt idx="37">
                  <c:v>0.06</c:v>
                </c:pt>
                <c:pt idx="38">
                  <c:v>0</c:v>
                </c:pt>
                <c:pt idx="39">
                  <c:v>0</c:v>
                </c:pt>
                <c:pt idx="40">
                  <c:v>0</c:v>
                </c:pt>
                <c:pt idx="41">
                  <c:v>4.9409999999999998</c:v>
                </c:pt>
                <c:pt idx="42">
                  <c:v>0</c:v>
                </c:pt>
                <c:pt idx="43">
                  <c:v>1.111</c:v>
                </c:pt>
                <c:pt idx="44">
                  <c:v>0</c:v>
                </c:pt>
                <c:pt idx="45">
                  <c:v>0.34499999999999997</c:v>
                </c:pt>
                <c:pt idx="46">
                  <c:v>6.0999999999999999E-2</c:v>
                </c:pt>
                <c:pt idx="47">
                  <c:v>0</c:v>
                </c:pt>
                <c:pt idx="48">
                  <c:v>0.159</c:v>
                </c:pt>
                <c:pt idx="49">
                  <c:v>0</c:v>
                </c:pt>
                <c:pt idx="50">
                  <c:v>0</c:v>
                </c:pt>
                <c:pt idx="51">
                  <c:v>0.56100000000000005</c:v>
                </c:pt>
              </c:numCache>
            </c:numRef>
          </c:val>
        </c:ser>
        <c:ser>
          <c:idx val="1"/>
          <c:order val="1"/>
          <c:tx>
            <c:strRef>
              <c:f>Value!$BY$7</c:f>
              <c:strCache>
                <c:ptCount val="1"/>
                <c:pt idx="0">
                  <c:v>Religion buildings</c:v>
                </c:pt>
              </c:strCache>
            </c:strRef>
          </c:tx>
          <c:spPr>
            <a:solidFill>
              <a:schemeClr val="accent5"/>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Value!$BY$49:$BY$100</c:f>
              <c:numCache>
                <c:formatCode>_-"$"* #,##0_-;\-"$"* #,##0_-;_-"$"* "-"??_-;_-@_-</c:formatCode>
                <c:ptCount val="52"/>
                <c:pt idx="0">
                  <c:v>0</c:v>
                </c:pt>
                <c:pt idx="1">
                  <c:v>0.2</c:v>
                </c:pt>
                <c:pt idx="2">
                  <c:v>0.627</c:v>
                </c:pt>
                <c:pt idx="3">
                  <c:v>0.88600000000000001</c:v>
                </c:pt>
                <c:pt idx="4">
                  <c:v>0.24199999999999999</c:v>
                </c:pt>
                <c:pt idx="5">
                  <c:v>0.15</c:v>
                </c:pt>
                <c:pt idx="6">
                  <c:v>0</c:v>
                </c:pt>
                <c:pt idx="7">
                  <c:v>0.28000000000000003</c:v>
                </c:pt>
                <c:pt idx="8">
                  <c:v>0</c:v>
                </c:pt>
                <c:pt idx="9">
                  <c:v>0</c:v>
                </c:pt>
                <c:pt idx="10">
                  <c:v>0</c:v>
                </c:pt>
                <c:pt idx="11">
                  <c:v>0</c:v>
                </c:pt>
                <c:pt idx="12">
                  <c:v>0</c:v>
                </c:pt>
                <c:pt idx="13">
                  <c:v>0.7</c:v>
                </c:pt>
                <c:pt idx="14">
                  <c:v>0.29699999999999999</c:v>
                </c:pt>
                <c:pt idx="15">
                  <c:v>0</c:v>
                </c:pt>
                <c:pt idx="16">
                  <c:v>6.2E-2</c:v>
                </c:pt>
                <c:pt idx="17">
                  <c:v>0</c:v>
                </c:pt>
                <c:pt idx="18">
                  <c:v>0</c:v>
                </c:pt>
                <c:pt idx="19">
                  <c:v>0</c:v>
                </c:pt>
                <c:pt idx="20">
                  <c:v>0.35899999999999999</c:v>
                </c:pt>
                <c:pt idx="21">
                  <c:v>0</c:v>
                </c:pt>
                <c:pt idx="22">
                  <c:v>0</c:v>
                </c:pt>
                <c:pt idx="23">
                  <c:v>0</c:v>
                </c:pt>
                <c:pt idx="24">
                  <c:v>0</c:v>
                </c:pt>
                <c:pt idx="25">
                  <c:v>0</c:v>
                </c:pt>
                <c:pt idx="26">
                  <c:v>0</c:v>
                </c:pt>
                <c:pt idx="27">
                  <c:v>0</c:v>
                </c:pt>
                <c:pt idx="28">
                  <c:v>0</c:v>
                </c:pt>
                <c:pt idx="29">
                  <c:v>0</c:v>
                </c:pt>
                <c:pt idx="30">
                  <c:v>0.98299999999999998</c:v>
                </c:pt>
                <c:pt idx="31">
                  <c:v>0</c:v>
                </c:pt>
                <c:pt idx="32">
                  <c:v>0</c:v>
                </c:pt>
                <c:pt idx="33">
                  <c:v>0</c:v>
                </c:pt>
                <c:pt idx="34">
                  <c:v>0</c:v>
                </c:pt>
                <c:pt idx="35">
                  <c:v>0</c:v>
                </c:pt>
                <c:pt idx="36">
                  <c:v>0</c:v>
                </c:pt>
                <c:pt idx="37">
                  <c:v>0</c:v>
                </c:pt>
                <c:pt idx="38">
                  <c:v>0</c:v>
                </c:pt>
                <c:pt idx="39">
                  <c:v>0</c:v>
                </c:pt>
                <c:pt idx="40">
                  <c:v>0.51800000000000002</c:v>
                </c:pt>
                <c:pt idx="41">
                  <c:v>0.11</c:v>
                </c:pt>
                <c:pt idx="42">
                  <c:v>0</c:v>
                </c:pt>
                <c:pt idx="43">
                  <c:v>0</c:v>
                </c:pt>
                <c:pt idx="44">
                  <c:v>0</c:v>
                </c:pt>
                <c:pt idx="45">
                  <c:v>0</c:v>
                </c:pt>
                <c:pt idx="46">
                  <c:v>0</c:v>
                </c:pt>
                <c:pt idx="47">
                  <c:v>0</c:v>
                </c:pt>
                <c:pt idx="48">
                  <c:v>0</c:v>
                </c:pt>
                <c:pt idx="49">
                  <c:v>0</c:v>
                </c:pt>
                <c:pt idx="50">
                  <c:v>0</c:v>
                </c:pt>
                <c:pt idx="51">
                  <c:v>0</c:v>
                </c:pt>
              </c:numCache>
            </c:numRef>
          </c:val>
        </c:ser>
        <c:ser>
          <c:idx val="2"/>
          <c:order val="2"/>
          <c:tx>
            <c:strRef>
              <c:f>Value!$BZ$7</c:f>
              <c:strCache>
                <c:ptCount val="1"/>
                <c:pt idx="0">
                  <c:v>Aged care facilities</c:v>
                </c:pt>
              </c:strCache>
            </c:strRef>
          </c:tx>
          <c:spPr>
            <a:solidFill>
              <a:schemeClr val="accent4"/>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Value!$BZ$49:$BZ$100</c:f>
              <c:numCache>
                <c:formatCode>_-"$"* #,##0_-;\-"$"* #,##0_-;_-"$"* "-"??_-;_-@_-</c:formatCode>
                <c:ptCount val="52"/>
                <c:pt idx="0">
                  <c:v>0</c:v>
                </c:pt>
                <c:pt idx="1">
                  <c:v>6.859</c:v>
                </c:pt>
                <c:pt idx="2">
                  <c:v>10.052</c:v>
                </c:pt>
                <c:pt idx="3">
                  <c:v>23.074999999999999</c:v>
                </c:pt>
                <c:pt idx="4">
                  <c:v>0.9</c:v>
                </c:pt>
                <c:pt idx="5">
                  <c:v>0</c:v>
                </c:pt>
                <c:pt idx="6">
                  <c:v>5.6449999999999996</c:v>
                </c:pt>
                <c:pt idx="7">
                  <c:v>1.8540000000000001</c:v>
                </c:pt>
                <c:pt idx="8">
                  <c:v>0</c:v>
                </c:pt>
                <c:pt idx="9">
                  <c:v>0.18</c:v>
                </c:pt>
                <c:pt idx="10">
                  <c:v>0</c:v>
                </c:pt>
                <c:pt idx="11">
                  <c:v>0</c:v>
                </c:pt>
                <c:pt idx="12">
                  <c:v>0</c:v>
                </c:pt>
                <c:pt idx="13">
                  <c:v>0</c:v>
                </c:pt>
                <c:pt idx="14">
                  <c:v>0.36299999999999999</c:v>
                </c:pt>
                <c:pt idx="15">
                  <c:v>0</c:v>
                </c:pt>
                <c:pt idx="16">
                  <c:v>0.08</c:v>
                </c:pt>
                <c:pt idx="17">
                  <c:v>0</c:v>
                </c:pt>
                <c:pt idx="18">
                  <c:v>0</c:v>
                </c:pt>
                <c:pt idx="19">
                  <c:v>0</c:v>
                </c:pt>
                <c:pt idx="20">
                  <c:v>0</c:v>
                </c:pt>
                <c:pt idx="21">
                  <c:v>45.421999999999997</c:v>
                </c:pt>
                <c:pt idx="22">
                  <c:v>0</c:v>
                </c:pt>
                <c:pt idx="23">
                  <c:v>0</c:v>
                </c:pt>
                <c:pt idx="24">
                  <c:v>0</c:v>
                </c:pt>
                <c:pt idx="25">
                  <c:v>0</c:v>
                </c:pt>
                <c:pt idx="26">
                  <c:v>0</c:v>
                </c:pt>
                <c:pt idx="27">
                  <c:v>0</c:v>
                </c:pt>
                <c:pt idx="28">
                  <c:v>1.159</c:v>
                </c:pt>
                <c:pt idx="29">
                  <c:v>2.5</c:v>
                </c:pt>
                <c:pt idx="30">
                  <c:v>0</c:v>
                </c:pt>
                <c:pt idx="31">
                  <c:v>0</c:v>
                </c:pt>
                <c:pt idx="32">
                  <c:v>0</c:v>
                </c:pt>
                <c:pt idx="33">
                  <c:v>0</c:v>
                </c:pt>
                <c:pt idx="34">
                  <c:v>0</c:v>
                </c:pt>
                <c:pt idx="35">
                  <c:v>0</c:v>
                </c:pt>
                <c:pt idx="36">
                  <c:v>0</c:v>
                </c:pt>
                <c:pt idx="37">
                  <c:v>0</c:v>
                </c:pt>
                <c:pt idx="38">
                  <c:v>0</c:v>
                </c:pt>
                <c:pt idx="39">
                  <c:v>0</c:v>
                </c:pt>
                <c:pt idx="40">
                  <c:v>0.59499999999999997</c:v>
                </c:pt>
                <c:pt idx="41">
                  <c:v>0</c:v>
                </c:pt>
                <c:pt idx="42">
                  <c:v>0</c:v>
                </c:pt>
                <c:pt idx="43">
                  <c:v>0</c:v>
                </c:pt>
                <c:pt idx="44">
                  <c:v>0</c:v>
                </c:pt>
                <c:pt idx="45">
                  <c:v>0</c:v>
                </c:pt>
                <c:pt idx="46">
                  <c:v>12.2</c:v>
                </c:pt>
                <c:pt idx="47">
                  <c:v>0.2</c:v>
                </c:pt>
                <c:pt idx="48">
                  <c:v>0</c:v>
                </c:pt>
                <c:pt idx="49">
                  <c:v>25.74</c:v>
                </c:pt>
                <c:pt idx="50">
                  <c:v>0</c:v>
                </c:pt>
                <c:pt idx="51">
                  <c:v>0</c:v>
                </c:pt>
              </c:numCache>
            </c:numRef>
          </c:val>
        </c:ser>
        <c:ser>
          <c:idx val="3"/>
          <c:order val="3"/>
          <c:tx>
            <c:strRef>
              <c:f>Value!$CA$7</c:f>
              <c:strCache>
                <c:ptCount val="1"/>
                <c:pt idx="0">
                  <c:v>Health buildings</c:v>
                </c:pt>
              </c:strCache>
            </c:strRef>
          </c:tx>
          <c:spPr>
            <a:solidFill>
              <a:schemeClr val="accent6">
                <a:lumMod val="60000"/>
              </a:schemeClr>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Value!$CA$49:$CA$100</c:f>
              <c:numCache>
                <c:formatCode>_-"$"* #,##0_-;\-"$"* #,##0_-;_-"$"* "-"??_-;_-@_-</c:formatCode>
                <c:ptCount val="52"/>
                <c:pt idx="0">
                  <c:v>0</c:v>
                </c:pt>
                <c:pt idx="1">
                  <c:v>4.12</c:v>
                </c:pt>
                <c:pt idx="2">
                  <c:v>9.7360000000000007</c:v>
                </c:pt>
                <c:pt idx="3">
                  <c:v>20.777000000000001</c:v>
                </c:pt>
                <c:pt idx="4">
                  <c:v>10.365</c:v>
                </c:pt>
                <c:pt idx="5">
                  <c:v>0</c:v>
                </c:pt>
                <c:pt idx="6">
                  <c:v>68.031999999999996</c:v>
                </c:pt>
                <c:pt idx="7">
                  <c:v>0.24</c:v>
                </c:pt>
                <c:pt idx="8">
                  <c:v>4.875</c:v>
                </c:pt>
                <c:pt idx="9">
                  <c:v>1.917</c:v>
                </c:pt>
                <c:pt idx="10">
                  <c:v>1.4430000000000001</c:v>
                </c:pt>
                <c:pt idx="11">
                  <c:v>0</c:v>
                </c:pt>
                <c:pt idx="12">
                  <c:v>0</c:v>
                </c:pt>
                <c:pt idx="13">
                  <c:v>0.73799999999999999</c:v>
                </c:pt>
                <c:pt idx="14">
                  <c:v>1.07</c:v>
                </c:pt>
                <c:pt idx="15">
                  <c:v>0.05</c:v>
                </c:pt>
                <c:pt idx="16">
                  <c:v>0.82099999999999995</c:v>
                </c:pt>
                <c:pt idx="17">
                  <c:v>2.3980000000000001</c:v>
                </c:pt>
                <c:pt idx="18">
                  <c:v>0</c:v>
                </c:pt>
                <c:pt idx="19">
                  <c:v>0</c:v>
                </c:pt>
                <c:pt idx="20">
                  <c:v>0</c:v>
                </c:pt>
                <c:pt idx="21">
                  <c:v>0.4</c:v>
                </c:pt>
                <c:pt idx="22">
                  <c:v>0</c:v>
                </c:pt>
                <c:pt idx="23">
                  <c:v>0</c:v>
                </c:pt>
                <c:pt idx="24">
                  <c:v>0.84499999999999997</c:v>
                </c:pt>
                <c:pt idx="25">
                  <c:v>0.46600000000000003</c:v>
                </c:pt>
                <c:pt idx="26">
                  <c:v>0</c:v>
                </c:pt>
                <c:pt idx="27">
                  <c:v>0</c:v>
                </c:pt>
                <c:pt idx="28">
                  <c:v>1.9319999999999999</c:v>
                </c:pt>
                <c:pt idx="29">
                  <c:v>0</c:v>
                </c:pt>
                <c:pt idx="30">
                  <c:v>0.34499999999999997</c:v>
                </c:pt>
                <c:pt idx="31">
                  <c:v>1.7050000000000001</c:v>
                </c:pt>
                <c:pt idx="32">
                  <c:v>4.952</c:v>
                </c:pt>
                <c:pt idx="33">
                  <c:v>0</c:v>
                </c:pt>
                <c:pt idx="34">
                  <c:v>0.50700000000000001</c:v>
                </c:pt>
                <c:pt idx="35">
                  <c:v>0</c:v>
                </c:pt>
                <c:pt idx="36">
                  <c:v>0</c:v>
                </c:pt>
                <c:pt idx="37">
                  <c:v>0</c:v>
                </c:pt>
                <c:pt idx="38">
                  <c:v>0</c:v>
                </c:pt>
                <c:pt idx="39">
                  <c:v>0</c:v>
                </c:pt>
                <c:pt idx="40">
                  <c:v>2.9</c:v>
                </c:pt>
                <c:pt idx="41">
                  <c:v>0</c:v>
                </c:pt>
                <c:pt idx="42">
                  <c:v>4.4340000000000002</c:v>
                </c:pt>
                <c:pt idx="43">
                  <c:v>0</c:v>
                </c:pt>
                <c:pt idx="44">
                  <c:v>0</c:v>
                </c:pt>
                <c:pt idx="45">
                  <c:v>0</c:v>
                </c:pt>
                <c:pt idx="46">
                  <c:v>0.22</c:v>
                </c:pt>
                <c:pt idx="47">
                  <c:v>0.28499999999999998</c:v>
                </c:pt>
                <c:pt idx="48">
                  <c:v>0</c:v>
                </c:pt>
                <c:pt idx="49">
                  <c:v>0.70699999999999996</c:v>
                </c:pt>
                <c:pt idx="50">
                  <c:v>0</c:v>
                </c:pt>
                <c:pt idx="51">
                  <c:v>0.32900000000000001</c:v>
                </c:pt>
              </c:numCache>
            </c:numRef>
          </c:val>
        </c:ser>
        <c:ser>
          <c:idx val="4"/>
          <c:order val="4"/>
          <c:tx>
            <c:strRef>
              <c:f>Value!$CB$7</c:f>
              <c:strCache>
                <c:ptCount val="1"/>
                <c:pt idx="0">
                  <c:v>Entertainment and recreation buildings</c:v>
                </c:pt>
              </c:strCache>
            </c:strRef>
          </c:tx>
          <c:spPr>
            <a:solidFill>
              <a:srgbClr val="FF0000"/>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Value!$CB$49:$CB$100</c:f>
              <c:numCache>
                <c:formatCode>_-"$"* #,##0_-;\-"$"* #,##0_-;_-"$"* "-"??_-;_-@_-</c:formatCode>
                <c:ptCount val="52"/>
                <c:pt idx="0">
                  <c:v>0</c:v>
                </c:pt>
                <c:pt idx="1">
                  <c:v>3.8639999999999999</c:v>
                </c:pt>
                <c:pt idx="2">
                  <c:v>39.581000000000003</c:v>
                </c:pt>
                <c:pt idx="3">
                  <c:v>108.081</c:v>
                </c:pt>
                <c:pt idx="4">
                  <c:v>4.9480000000000004</c:v>
                </c:pt>
                <c:pt idx="5">
                  <c:v>3.0760000000000001</c:v>
                </c:pt>
                <c:pt idx="6">
                  <c:v>1.0169999999999999</c:v>
                </c:pt>
                <c:pt idx="7">
                  <c:v>2.0259999999999998</c:v>
                </c:pt>
                <c:pt idx="8">
                  <c:v>5.5949999999999998</c:v>
                </c:pt>
                <c:pt idx="9">
                  <c:v>1.111</c:v>
                </c:pt>
                <c:pt idx="10">
                  <c:v>0.30099999999999999</c:v>
                </c:pt>
                <c:pt idx="11">
                  <c:v>0</c:v>
                </c:pt>
                <c:pt idx="12">
                  <c:v>0</c:v>
                </c:pt>
                <c:pt idx="13">
                  <c:v>0.67200000000000004</c:v>
                </c:pt>
                <c:pt idx="14">
                  <c:v>0.50800000000000001</c:v>
                </c:pt>
                <c:pt idx="15">
                  <c:v>0.58399999999999996</c:v>
                </c:pt>
                <c:pt idx="16">
                  <c:v>1.669</c:v>
                </c:pt>
                <c:pt idx="17">
                  <c:v>4.7350000000000003</c:v>
                </c:pt>
                <c:pt idx="18">
                  <c:v>0.47199999999999998</c:v>
                </c:pt>
                <c:pt idx="19">
                  <c:v>0</c:v>
                </c:pt>
                <c:pt idx="20">
                  <c:v>0</c:v>
                </c:pt>
                <c:pt idx="21">
                  <c:v>1.016</c:v>
                </c:pt>
                <c:pt idx="22">
                  <c:v>0</c:v>
                </c:pt>
                <c:pt idx="23">
                  <c:v>0</c:v>
                </c:pt>
                <c:pt idx="24">
                  <c:v>0</c:v>
                </c:pt>
                <c:pt idx="25">
                  <c:v>0.97</c:v>
                </c:pt>
                <c:pt idx="26">
                  <c:v>0</c:v>
                </c:pt>
                <c:pt idx="27">
                  <c:v>0.125</c:v>
                </c:pt>
                <c:pt idx="28">
                  <c:v>0.72</c:v>
                </c:pt>
                <c:pt idx="29">
                  <c:v>0.111</c:v>
                </c:pt>
                <c:pt idx="30">
                  <c:v>3.911</c:v>
                </c:pt>
                <c:pt idx="31">
                  <c:v>0.47899999999999998</c:v>
                </c:pt>
                <c:pt idx="32">
                  <c:v>0.439</c:v>
                </c:pt>
                <c:pt idx="33">
                  <c:v>0.06</c:v>
                </c:pt>
                <c:pt idx="34">
                  <c:v>0</c:v>
                </c:pt>
                <c:pt idx="35">
                  <c:v>2.3580000000000001</c:v>
                </c:pt>
                <c:pt idx="36">
                  <c:v>0.06</c:v>
                </c:pt>
                <c:pt idx="37">
                  <c:v>1.1619999999999999</c:v>
                </c:pt>
                <c:pt idx="38">
                  <c:v>0.372</c:v>
                </c:pt>
                <c:pt idx="39">
                  <c:v>0.30599999999999999</c:v>
                </c:pt>
                <c:pt idx="40">
                  <c:v>1.47</c:v>
                </c:pt>
                <c:pt idx="41">
                  <c:v>0.20300000000000001</c:v>
                </c:pt>
                <c:pt idx="42">
                  <c:v>0.97099999999999997</c:v>
                </c:pt>
                <c:pt idx="43">
                  <c:v>0.16700000000000001</c:v>
                </c:pt>
                <c:pt idx="44">
                  <c:v>0</c:v>
                </c:pt>
                <c:pt idx="45">
                  <c:v>0</c:v>
                </c:pt>
                <c:pt idx="46">
                  <c:v>1.2989999999999999</c:v>
                </c:pt>
                <c:pt idx="47">
                  <c:v>0.20300000000000001</c:v>
                </c:pt>
                <c:pt idx="48">
                  <c:v>7.4999999999999997E-2</c:v>
                </c:pt>
                <c:pt idx="49">
                  <c:v>12.372</c:v>
                </c:pt>
                <c:pt idx="50">
                  <c:v>0</c:v>
                </c:pt>
                <c:pt idx="51">
                  <c:v>0.57199999999999995</c:v>
                </c:pt>
              </c:numCache>
            </c:numRef>
          </c:val>
        </c:ser>
        <c:ser>
          <c:idx val="5"/>
          <c:order val="5"/>
          <c:tx>
            <c:strRef>
              <c:f>Value!$CC$7</c:f>
              <c:strCache>
                <c:ptCount val="1"/>
                <c:pt idx="0">
                  <c:v>Short term accommodation buildings</c:v>
                </c:pt>
              </c:strCache>
            </c:strRef>
          </c:tx>
          <c:spPr>
            <a:solidFill>
              <a:schemeClr val="accent4">
                <a:lumMod val="60000"/>
              </a:schemeClr>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Value!$CC$49:$CC$100</c:f>
              <c:numCache>
                <c:formatCode>_-"$"* #,##0_-;\-"$"* #,##0_-;_-"$"* "-"??_-;_-@_-</c:formatCode>
                <c:ptCount val="52"/>
                <c:pt idx="0">
                  <c:v>0</c:v>
                </c:pt>
                <c:pt idx="1">
                  <c:v>1.6919999999999999</c:v>
                </c:pt>
                <c:pt idx="2">
                  <c:v>0.15</c:v>
                </c:pt>
                <c:pt idx="3">
                  <c:v>2.35</c:v>
                </c:pt>
                <c:pt idx="4">
                  <c:v>0.35799999999999998</c:v>
                </c:pt>
                <c:pt idx="5">
                  <c:v>0</c:v>
                </c:pt>
                <c:pt idx="6">
                  <c:v>7.4999999999999997E-2</c:v>
                </c:pt>
                <c:pt idx="7">
                  <c:v>0</c:v>
                </c:pt>
                <c:pt idx="8">
                  <c:v>0</c:v>
                </c:pt>
                <c:pt idx="9">
                  <c:v>1.9</c:v>
                </c:pt>
                <c:pt idx="10">
                  <c:v>0</c:v>
                </c:pt>
                <c:pt idx="11">
                  <c:v>0</c:v>
                </c:pt>
                <c:pt idx="12">
                  <c:v>0</c:v>
                </c:pt>
                <c:pt idx="13">
                  <c:v>0.94499999999999995</c:v>
                </c:pt>
                <c:pt idx="14">
                  <c:v>0.25</c:v>
                </c:pt>
                <c:pt idx="15">
                  <c:v>0.114</c:v>
                </c:pt>
                <c:pt idx="16">
                  <c:v>0.35</c:v>
                </c:pt>
                <c:pt idx="17">
                  <c:v>0</c:v>
                </c:pt>
                <c:pt idx="18">
                  <c:v>0.27500000000000002</c:v>
                </c:pt>
                <c:pt idx="19">
                  <c:v>0.25</c:v>
                </c:pt>
                <c:pt idx="20">
                  <c:v>1.2110000000000001</c:v>
                </c:pt>
                <c:pt idx="21">
                  <c:v>0.40500000000000003</c:v>
                </c:pt>
                <c:pt idx="22">
                  <c:v>0</c:v>
                </c:pt>
                <c:pt idx="23">
                  <c:v>0</c:v>
                </c:pt>
                <c:pt idx="24">
                  <c:v>2.2400000000000002</c:v>
                </c:pt>
                <c:pt idx="25">
                  <c:v>9.5000000000000001E-2</c:v>
                </c:pt>
                <c:pt idx="26">
                  <c:v>0</c:v>
                </c:pt>
                <c:pt idx="27">
                  <c:v>0</c:v>
                </c:pt>
                <c:pt idx="28">
                  <c:v>0.58099999999999996</c:v>
                </c:pt>
                <c:pt idx="29">
                  <c:v>0</c:v>
                </c:pt>
                <c:pt idx="30">
                  <c:v>0.161</c:v>
                </c:pt>
                <c:pt idx="31">
                  <c:v>0</c:v>
                </c:pt>
                <c:pt idx="32">
                  <c:v>0.75</c:v>
                </c:pt>
                <c:pt idx="33">
                  <c:v>0</c:v>
                </c:pt>
                <c:pt idx="34">
                  <c:v>0</c:v>
                </c:pt>
                <c:pt idx="35">
                  <c:v>1.1000000000000001</c:v>
                </c:pt>
                <c:pt idx="36">
                  <c:v>0</c:v>
                </c:pt>
                <c:pt idx="37">
                  <c:v>0</c:v>
                </c:pt>
                <c:pt idx="38">
                  <c:v>0</c:v>
                </c:pt>
                <c:pt idx="39">
                  <c:v>0.247</c:v>
                </c:pt>
                <c:pt idx="40">
                  <c:v>0.47299999999999998</c:v>
                </c:pt>
                <c:pt idx="41">
                  <c:v>0.14000000000000001</c:v>
                </c:pt>
                <c:pt idx="42">
                  <c:v>0</c:v>
                </c:pt>
                <c:pt idx="43">
                  <c:v>0</c:v>
                </c:pt>
                <c:pt idx="44">
                  <c:v>0</c:v>
                </c:pt>
                <c:pt idx="45">
                  <c:v>0.108</c:v>
                </c:pt>
                <c:pt idx="46">
                  <c:v>0</c:v>
                </c:pt>
                <c:pt idx="47">
                  <c:v>0</c:v>
                </c:pt>
                <c:pt idx="48">
                  <c:v>0</c:v>
                </c:pt>
                <c:pt idx="49">
                  <c:v>0.88500000000000001</c:v>
                </c:pt>
                <c:pt idx="50">
                  <c:v>0</c:v>
                </c:pt>
                <c:pt idx="51">
                  <c:v>0</c:v>
                </c:pt>
              </c:numCache>
            </c:numRef>
          </c:val>
        </c:ser>
        <c:ser>
          <c:idx val="6"/>
          <c:order val="6"/>
          <c:tx>
            <c:strRef>
              <c:f>Value!$CD$7</c:f>
              <c:strCache>
                <c:ptCount val="1"/>
                <c:pt idx="0">
                  <c:v>Other non-residential</c:v>
                </c:pt>
              </c:strCache>
            </c:strRef>
          </c:tx>
          <c:spPr>
            <a:solidFill>
              <a:srgbClr val="00B0F0"/>
            </a:solidFill>
            <a:ln>
              <a:solidFill>
                <a:schemeClr val="tx1"/>
              </a:solidFill>
            </a:ln>
            <a:effectLst/>
          </c:spPr>
          <c:invertIfNegative val="0"/>
          <c:cat>
            <c:strRef>
              <c:f>Value!$AC$49:$AC$100</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Value!$CD$49:$CD$100</c:f>
              <c:numCache>
                <c:formatCode>_-"$"* #,##0_-;\-"$"* #,##0_-;_-"$"* "-"??_-;_-@_-</c:formatCode>
                <c:ptCount val="52"/>
                <c:pt idx="0">
                  <c:v>0</c:v>
                </c:pt>
                <c:pt idx="1">
                  <c:v>12.926</c:v>
                </c:pt>
                <c:pt idx="2">
                  <c:v>10.68</c:v>
                </c:pt>
                <c:pt idx="3">
                  <c:v>5.4640000000000004</c:v>
                </c:pt>
                <c:pt idx="4">
                  <c:v>58.411999999999999</c:v>
                </c:pt>
                <c:pt idx="5">
                  <c:v>2.3330000000000002</c:v>
                </c:pt>
                <c:pt idx="6">
                  <c:v>1.05</c:v>
                </c:pt>
                <c:pt idx="7">
                  <c:v>2.2490000000000001</c:v>
                </c:pt>
                <c:pt idx="8">
                  <c:v>1.859</c:v>
                </c:pt>
                <c:pt idx="9">
                  <c:v>1.1739999999999999</c:v>
                </c:pt>
                <c:pt idx="10">
                  <c:v>0.88400000000000001</c:v>
                </c:pt>
                <c:pt idx="11">
                  <c:v>0</c:v>
                </c:pt>
                <c:pt idx="12">
                  <c:v>0</c:v>
                </c:pt>
                <c:pt idx="13">
                  <c:v>0.252</c:v>
                </c:pt>
                <c:pt idx="14">
                  <c:v>1.3360000000000001</c:v>
                </c:pt>
                <c:pt idx="15">
                  <c:v>0.64300000000000002</c:v>
                </c:pt>
                <c:pt idx="16">
                  <c:v>5.0970000000000004</c:v>
                </c:pt>
                <c:pt idx="17">
                  <c:v>1.571</c:v>
                </c:pt>
                <c:pt idx="18">
                  <c:v>0.48</c:v>
                </c:pt>
                <c:pt idx="19">
                  <c:v>0.246</c:v>
                </c:pt>
                <c:pt idx="20">
                  <c:v>4.9290000000000003</c:v>
                </c:pt>
                <c:pt idx="21">
                  <c:v>2.5379999999999998</c:v>
                </c:pt>
                <c:pt idx="22">
                  <c:v>0</c:v>
                </c:pt>
                <c:pt idx="23">
                  <c:v>0</c:v>
                </c:pt>
                <c:pt idx="24">
                  <c:v>7.2999999999999995E-2</c:v>
                </c:pt>
                <c:pt idx="25">
                  <c:v>0.64500000000000002</c:v>
                </c:pt>
                <c:pt idx="26">
                  <c:v>0.14000000000000001</c:v>
                </c:pt>
                <c:pt idx="27">
                  <c:v>0.376</c:v>
                </c:pt>
                <c:pt idx="28">
                  <c:v>12.506</c:v>
                </c:pt>
                <c:pt idx="29">
                  <c:v>1.03</c:v>
                </c:pt>
                <c:pt idx="30">
                  <c:v>0.1</c:v>
                </c:pt>
                <c:pt idx="31">
                  <c:v>0</c:v>
                </c:pt>
                <c:pt idx="32">
                  <c:v>1.62</c:v>
                </c:pt>
                <c:pt idx="33">
                  <c:v>0.316</c:v>
                </c:pt>
                <c:pt idx="34">
                  <c:v>4.6219999999999999</c:v>
                </c:pt>
                <c:pt idx="35">
                  <c:v>0.16700000000000001</c:v>
                </c:pt>
                <c:pt idx="36">
                  <c:v>0</c:v>
                </c:pt>
                <c:pt idx="37">
                  <c:v>0.05</c:v>
                </c:pt>
                <c:pt idx="38">
                  <c:v>0.45300000000000001</c:v>
                </c:pt>
                <c:pt idx="39">
                  <c:v>0.112</c:v>
                </c:pt>
                <c:pt idx="40">
                  <c:v>1.4890000000000001</c:v>
                </c:pt>
                <c:pt idx="41">
                  <c:v>7.5990000000000002</c:v>
                </c:pt>
                <c:pt idx="42">
                  <c:v>0.15</c:v>
                </c:pt>
                <c:pt idx="43">
                  <c:v>0.123</c:v>
                </c:pt>
                <c:pt idx="44">
                  <c:v>1.587</c:v>
                </c:pt>
                <c:pt idx="45">
                  <c:v>0.11</c:v>
                </c:pt>
                <c:pt idx="46">
                  <c:v>2.4670000000000001</c:v>
                </c:pt>
                <c:pt idx="47">
                  <c:v>1.1259999999999999</c:v>
                </c:pt>
                <c:pt idx="48">
                  <c:v>0</c:v>
                </c:pt>
                <c:pt idx="49">
                  <c:v>7.2869999999999999</c:v>
                </c:pt>
                <c:pt idx="50">
                  <c:v>0.13800000000000001</c:v>
                </c:pt>
                <c:pt idx="51">
                  <c:v>8.8999999999999996E-2</c:v>
                </c:pt>
              </c:numCache>
            </c:numRef>
          </c:val>
        </c:ser>
        <c:dLbls>
          <c:showLegendKey val="0"/>
          <c:showVal val="0"/>
          <c:showCatName val="0"/>
          <c:showSerName val="0"/>
          <c:showPercent val="0"/>
          <c:showBubbleSize val="0"/>
        </c:dLbls>
        <c:gapWidth val="30"/>
        <c:overlap val="100"/>
        <c:axId val="643353360"/>
        <c:axId val="784892256"/>
      </c:barChart>
      <c:catAx>
        <c:axId val="6433533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4892256"/>
        <c:crosses val="autoZero"/>
        <c:auto val="1"/>
        <c:lblAlgn val="ctr"/>
        <c:lblOffset val="100"/>
        <c:noMultiLvlLbl val="0"/>
      </c:catAx>
      <c:valAx>
        <c:axId val="784892256"/>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Value</a:t>
                </a:r>
                <a:r>
                  <a:rPr lang="en-AU" baseline="0"/>
                  <a:t> of Approvals (millions)</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3353360"/>
        <c:crosses val="autoZero"/>
        <c:crossBetween val="between"/>
      </c:valAx>
      <c:spPr>
        <a:noFill/>
        <a:ln>
          <a:noFill/>
        </a:ln>
        <a:effectLst/>
      </c:spPr>
    </c:plotArea>
    <c:legend>
      <c:legendPos val="b"/>
      <c:layout>
        <c:manualLayout>
          <c:xMode val="edge"/>
          <c:yMode val="edge"/>
          <c:x val="0.49576751326158575"/>
          <c:y val="0"/>
          <c:w val="0.50423248673841425"/>
          <c:h val="0.1124604282059679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Crane</a:t>
            </a:r>
            <a:r>
              <a:rPr lang="en-AU" baseline="0"/>
              <a:t>s in Melbourne by Construction Type</a:t>
            </a:r>
          </a:p>
          <a:p>
            <a:pPr algn="l">
              <a:defRPr/>
            </a:pPr>
            <a:r>
              <a:rPr lang="en-AU" sz="1050" baseline="0"/>
              <a:t>Source: RLB crane index</a:t>
            </a:r>
            <a:endParaRPr lang="en-AU" sz="1050"/>
          </a:p>
        </c:rich>
      </c:tx>
      <c:layout>
        <c:manualLayout>
          <c:xMode val="edge"/>
          <c:yMode val="edge"/>
          <c:x val="1.734470691163676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990269925586851E-2"/>
          <c:y val="0.16262626262626262"/>
          <c:w val="0.89021299127196951"/>
          <c:h val="0.64498450596901202"/>
        </c:manualLayout>
      </c:layout>
      <c:barChart>
        <c:barDir val="col"/>
        <c:grouping val="clustered"/>
        <c:varyColors val="0"/>
        <c:ser>
          <c:idx val="0"/>
          <c:order val="0"/>
          <c:tx>
            <c:strRef>
              <c:f>Melbourne!$B$1</c:f>
              <c:strCache>
                <c:ptCount val="1"/>
                <c:pt idx="0">
                  <c:v>2nd Half 2014</c:v>
                </c:pt>
              </c:strCache>
            </c:strRef>
          </c:tx>
          <c:spPr>
            <a:solidFill>
              <a:schemeClr val="accent6">
                <a:lumMod val="60000"/>
                <a:lumOff val="40000"/>
              </a:schemeClr>
            </a:solidFill>
            <a:ln>
              <a:solidFill>
                <a:schemeClr val="tx1"/>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Melbourne!$A$2:$A$11</c:f>
              <c:strCache>
                <c:ptCount val="10"/>
                <c:pt idx="0">
                  <c:v>Commerical</c:v>
                </c:pt>
                <c:pt idx="1">
                  <c:v>Residential </c:v>
                </c:pt>
                <c:pt idx="2">
                  <c:v>Health </c:v>
                </c:pt>
                <c:pt idx="3">
                  <c:v>Education</c:v>
                </c:pt>
                <c:pt idx="4">
                  <c:v>Retail</c:v>
                </c:pt>
                <c:pt idx="5">
                  <c:v>Civic</c:v>
                </c:pt>
                <c:pt idx="6">
                  <c:v>Recreation</c:v>
                </c:pt>
                <c:pt idx="7">
                  <c:v>Hotel</c:v>
                </c:pt>
                <c:pt idx="8">
                  <c:v>Civil</c:v>
                </c:pt>
                <c:pt idx="9">
                  <c:v>Other</c:v>
                </c:pt>
              </c:strCache>
            </c:strRef>
          </c:cat>
          <c:val>
            <c:numRef>
              <c:f>Melbourne!$B$2:$B$11</c:f>
              <c:numCache>
                <c:formatCode>General</c:formatCode>
                <c:ptCount val="10"/>
                <c:pt idx="0">
                  <c:v>8</c:v>
                </c:pt>
                <c:pt idx="1">
                  <c:v>74</c:v>
                </c:pt>
                <c:pt idx="2">
                  <c:v>6</c:v>
                </c:pt>
                <c:pt idx="4">
                  <c:v>2</c:v>
                </c:pt>
                <c:pt idx="5">
                  <c:v>1</c:v>
                </c:pt>
                <c:pt idx="9">
                  <c:v>2</c:v>
                </c:pt>
              </c:numCache>
            </c:numRef>
          </c:val>
        </c:ser>
        <c:ser>
          <c:idx val="1"/>
          <c:order val="1"/>
          <c:tx>
            <c:strRef>
              <c:f>Melbourne!$C$1</c:f>
              <c:strCache>
                <c:ptCount val="1"/>
                <c:pt idx="0">
                  <c:v>1st Half 2015</c:v>
                </c:pt>
              </c:strCache>
            </c:strRef>
          </c:tx>
          <c:spPr>
            <a:solidFill>
              <a:schemeClr val="accent5"/>
            </a:solidFill>
            <a:ln>
              <a:solidFill>
                <a:schemeClr val="tx1"/>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Melbourne!$A$2:$A$11</c:f>
              <c:strCache>
                <c:ptCount val="10"/>
                <c:pt idx="0">
                  <c:v>Commerical</c:v>
                </c:pt>
                <c:pt idx="1">
                  <c:v>Residential </c:v>
                </c:pt>
                <c:pt idx="2">
                  <c:v>Health </c:v>
                </c:pt>
                <c:pt idx="3">
                  <c:v>Education</c:v>
                </c:pt>
                <c:pt idx="4">
                  <c:v>Retail</c:v>
                </c:pt>
                <c:pt idx="5">
                  <c:v>Civic</c:v>
                </c:pt>
                <c:pt idx="6">
                  <c:v>Recreation</c:v>
                </c:pt>
                <c:pt idx="7">
                  <c:v>Hotel</c:v>
                </c:pt>
                <c:pt idx="8">
                  <c:v>Civil</c:v>
                </c:pt>
                <c:pt idx="9">
                  <c:v>Other</c:v>
                </c:pt>
              </c:strCache>
            </c:strRef>
          </c:cat>
          <c:val>
            <c:numRef>
              <c:f>Melbourne!$C$2:$C$11</c:f>
              <c:numCache>
                <c:formatCode>General</c:formatCode>
                <c:ptCount val="10"/>
                <c:pt idx="0">
                  <c:v>11</c:v>
                </c:pt>
                <c:pt idx="1">
                  <c:v>87</c:v>
                </c:pt>
                <c:pt idx="2">
                  <c:v>10</c:v>
                </c:pt>
                <c:pt idx="3">
                  <c:v>1</c:v>
                </c:pt>
                <c:pt idx="4">
                  <c:v>6</c:v>
                </c:pt>
                <c:pt idx="5">
                  <c:v>1</c:v>
                </c:pt>
              </c:numCache>
            </c:numRef>
          </c:val>
        </c:ser>
        <c:ser>
          <c:idx val="2"/>
          <c:order val="2"/>
          <c:tx>
            <c:strRef>
              <c:f>Melbourne!$D$1</c:f>
              <c:strCache>
                <c:ptCount val="1"/>
                <c:pt idx="0">
                  <c:v>2nd Half 2015</c:v>
                </c:pt>
              </c:strCache>
            </c:strRef>
          </c:tx>
          <c:spPr>
            <a:solidFill>
              <a:schemeClr val="accent4"/>
            </a:solidFill>
            <a:ln>
              <a:solidFill>
                <a:schemeClr val="tx1"/>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Melbourne!$A$2:$A$11</c:f>
              <c:strCache>
                <c:ptCount val="10"/>
                <c:pt idx="0">
                  <c:v>Commerical</c:v>
                </c:pt>
                <c:pt idx="1">
                  <c:v>Residential </c:v>
                </c:pt>
                <c:pt idx="2">
                  <c:v>Health </c:v>
                </c:pt>
                <c:pt idx="3">
                  <c:v>Education</c:v>
                </c:pt>
                <c:pt idx="4">
                  <c:v>Retail</c:v>
                </c:pt>
                <c:pt idx="5">
                  <c:v>Civic</c:v>
                </c:pt>
                <c:pt idx="6">
                  <c:v>Recreation</c:v>
                </c:pt>
                <c:pt idx="7">
                  <c:v>Hotel</c:v>
                </c:pt>
                <c:pt idx="8">
                  <c:v>Civil</c:v>
                </c:pt>
                <c:pt idx="9">
                  <c:v>Other</c:v>
                </c:pt>
              </c:strCache>
            </c:strRef>
          </c:cat>
          <c:val>
            <c:numRef>
              <c:f>Melbourne!$D$2:$D$11</c:f>
              <c:numCache>
                <c:formatCode>General</c:formatCode>
                <c:ptCount val="10"/>
                <c:pt idx="0">
                  <c:v>15</c:v>
                </c:pt>
                <c:pt idx="1">
                  <c:v>109</c:v>
                </c:pt>
                <c:pt idx="2">
                  <c:v>3</c:v>
                </c:pt>
                <c:pt idx="3">
                  <c:v>1</c:v>
                </c:pt>
                <c:pt idx="4">
                  <c:v>6</c:v>
                </c:pt>
                <c:pt idx="5">
                  <c:v>1</c:v>
                </c:pt>
                <c:pt idx="9">
                  <c:v>1</c:v>
                </c:pt>
              </c:numCache>
            </c:numRef>
          </c:val>
        </c:ser>
        <c:ser>
          <c:idx val="3"/>
          <c:order val="3"/>
          <c:tx>
            <c:strRef>
              <c:f>Melbourne!$E$1</c:f>
              <c:strCache>
                <c:ptCount val="1"/>
                <c:pt idx="0">
                  <c:v>1st Half 2016</c:v>
                </c:pt>
              </c:strCache>
            </c:strRef>
          </c:tx>
          <c:spPr>
            <a:solidFill>
              <a:srgbClr val="FF0000"/>
            </a:solidFill>
            <a:ln>
              <a:solidFill>
                <a:schemeClr val="tx1"/>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Melbourne!$A$2:$A$11</c:f>
              <c:strCache>
                <c:ptCount val="10"/>
                <c:pt idx="0">
                  <c:v>Commerical</c:v>
                </c:pt>
                <c:pt idx="1">
                  <c:v>Residential </c:v>
                </c:pt>
                <c:pt idx="2">
                  <c:v>Health </c:v>
                </c:pt>
                <c:pt idx="3">
                  <c:v>Education</c:v>
                </c:pt>
                <c:pt idx="4">
                  <c:v>Retail</c:v>
                </c:pt>
                <c:pt idx="5">
                  <c:v>Civic</c:v>
                </c:pt>
                <c:pt idx="6">
                  <c:v>Recreation</c:v>
                </c:pt>
                <c:pt idx="7">
                  <c:v>Hotel</c:v>
                </c:pt>
                <c:pt idx="8">
                  <c:v>Civil</c:v>
                </c:pt>
                <c:pt idx="9">
                  <c:v>Other</c:v>
                </c:pt>
              </c:strCache>
            </c:strRef>
          </c:cat>
          <c:val>
            <c:numRef>
              <c:f>Melbourne!$E$2:$E$11</c:f>
              <c:numCache>
                <c:formatCode>General</c:formatCode>
                <c:ptCount val="10"/>
                <c:pt idx="0">
                  <c:v>10</c:v>
                </c:pt>
                <c:pt idx="1">
                  <c:v>124</c:v>
                </c:pt>
                <c:pt idx="2">
                  <c:v>1</c:v>
                </c:pt>
                <c:pt idx="3">
                  <c:v>3</c:v>
                </c:pt>
                <c:pt idx="4">
                  <c:v>8</c:v>
                </c:pt>
                <c:pt idx="5">
                  <c:v>1</c:v>
                </c:pt>
                <c:pt idx="7">
                  <c:v>1</c:v>
                </c:pt>
              </c:numCache>
            </c:numRef>
          </c:val>
        </c:ser>
        <c:dLbls>
          <c:showLegendKey val="0"/>
          <c:showVal val="0"/>
          <c:showCatName val="0"/>
          <c:showSerName val="0"/>
          <c:showPercent val="0"/>
          <c:showBubbleSize val="0"/>
        </c:dLbls>
        <c:gapWidth val="219"/>
        <c:overlap val="-27"/>
        <c:axId val="784896176"/>
        <c:axId val="784896736"/>
      </c:barChart>
      <c:catAx>
        <c:axId val="784896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4896736"/>
        <c:crosses val="autoZero"/>
        <c:auto val="1"/>
        <c:lblAlgn val="ctr"/>
        <c:lblOffset val="100"/>
        <c:noMultiLvlLbl val="0"/>
      </c:catAx>
      <c:valAx>
        <c:axId val="784896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Number of Cranes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4896176"/>
        <c:crosses val="autoZero"/>
        <c:crossBetween val="between"/>
      </c:valAx>
      <c:spPr>
        <a:solidFill>
          <a:schemeClr val="bg1">
            <a:lumMod val="95000"/>
          </a:schemeClr>
        </a:solidFill>
        <a:ln>
          <a:noFill/>
        </a:ln>
        <a:effectLst/>
      </c:spPr>
    </c:plotArea>
    <c:legend>
      <c:legendPos val="b"/>
      <c:layout>
        <c:manualLayout>
          <c:xMode val="edge"/>
          <c:yMode val="edge"/>
          <c:x val="0.57646554408635808"/>
          <c:y val="0"/>
          <c:w val="0.37307694077690901"/>
          <c:h val="0.1429699828969437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Crane</a:t>
            </a:r>
            <a:r>
              <a:rPr lang="en-AU" baseline="0"/>
              <a:t> counts in Australian cities</a:t>
            </a:r>
          </a:p>
          <a:p>
            <a:pPr algn="l">
              <a:defRPr/>
            </a:pPr>
            <a:r>
              <a:rPr lang="en-AU" sz="800" baseline="0"/>
              <a:t>Source: Rider Levett Bucknell Crane Index</a:t>
            </a:r>
            <a:endParaRPr lang="en-AU" sz="1000"/>
          </a:p>
        </c:rich>
      </c:tx>
      <c:layout>
        <c:manualLayout>
          <c:xMode val="edge"/>
          <c:yMode val="edge"/>
          <c:x val="1.4096675415573086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7218479459020692E-2"/>
          <c:y val="0.20295100304427158"/>
          <c:w val="0.93091972744533003"/>
          <c:h val="0.72167824642130962"/>
        </c:manualLayout>
      </c:layout>
      <c:barChart>
        <c:barDir val="col"/>
        <c:grouping val="clustered"/>
        <c:varyColors val="0"/>
        <c:ser>
          <c:idx val="0"/>
          <c:order val="0"/>
          <c:tx>
            <c:strRef>
              <c:f>'City vs city'!$B$1</c:f>
              <c:strCache>
                <c:ptCount val="1"/>
                <c:pt idx="0">
                  <c:v>1st Half 2014</c:v>
                </c:pt>
              </c:strCache>
            </c:strRef>
          </c:tx>
          <c:spPr>
            <a:solidFill>
              <a:schemeClr val="accent1"/>
            </a:solidFill>
            <a:ln>
              <a:solidFill>
                <a:schemeClr val="tx1"/>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'City vs city'!$A$2:$A$10</c:f>
              <c:strCache>
                <c:ptCount val="9"/>
                <c:pt idx="0">
                  <c:v>Adelaide</c:v>
                </c:pt>
                <c:pt idx="1">
                  <c:v>Brisbane</c:v>
                </c:pt>
                <c:pt idx="2">
                  <c:v>Canberra</c:v>
                </c:pt>
                <c:pt idx="3">
                  <c:v>Darwin</c:v>
                </c:pt>
                <c:pt idx="4">
                  <c:v>Melbourne</c:v>
                </c:pt>
                <c:pt idx="5">
                  <c:v>Perth</c:v>
                </c:pt>
                <c:pt idx="6">
                  <c:v>Sydney</c:v>
                </c:pt>
                <c:pt idx="7">
                  <c:v>Gold Coast</c:v>
                </c:pt>
                <c:pt idx="8">
                  <c:v>Newcastle</c:v>
                </c:pt>
              </c:strCache>
            </c:strRef>
          </c:cat>
          <c:val>
            <c:numRef>
              <c:f>'City vs city'!$B$2:$B$10</c:f>
              <c:numCache>
                <c:formatCode>General</c:formatCode>
                <c:ptCount val="9"/>
                <c:pt idx="0">
                  <c:v>14</c:v>
                </c:pt>
                <c:pt idx="1">
                  <c:v>50</c:v>
                </c:pt>
                <c:pt idx="2">
                  <c:v>9</c:v>
                </c:pt>
                <c:pt idx="3">
                  <c:v>7</c:v>
                </c:pt>
                <c:pt idx="4">
                  <c:v>61</c:v>
                </c:pt>
                <c:pt idx="5">
                  <c:v>42</c:v>
                </c:pt>
                <c:pt idx="6">
                  <c:v>125</c:v>
                </c:pt>
              </c:numCache>
            </c:numRef>
          </c:val>
        </c:ser>
        <c:ser>
          <c:idx val="1"/>
          <c:order val="1"/>
          <c:tx>
            <c:strRef>
              <c:f>'City vs city'!$C$1</c:f>
              <c:strCache>
                <c:ptCount val="1"/>
                <c:pt idx="0">
                  <c:v>2nd Half 2014</c:v>
                </c:pt>
              </c:strCache>
            </c:strRef>
          </c:tx>
          <c:spPr>
            <a:solidFill>
              <a:schemeClr val="accent2"/>
            </a:solidFill>
            <a:ln>
              <a:solidFill>
                <a:schemeClr val="tx1"/>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'City vs city'!$A$2:$A$10</c:f>
              <c:strCache>
                <c:ptCount val="9"/>
                <c:pt idx="0">
                  <c:v>Adelaide</c:v>
                </c:pt>
                <c:pt idx="1">
                  <c:v>Brisbane</c:v>
                </c:pt>
                <c:pt idx="2">
                  <c:v>Canberra</c:v>
                </c:pt>
                <c:pt idx="3">
                  <c:v>Darwin</c:v>
                </c:pt>
                <c:pt idx="4">
                  <c:v>Melbourne</c:v>
                </c:pt>
                <c:pt idx="5">
                  <c:v>Perth</c:v>
                </c:pt>
                <c:pt idx="6">
                  <c:v>Sydney</c:v>
                </c:pt>
                <c:pt idx="7">
                  <c:v>Gold Coast</c:v>
                </c:pt>
                <c:pt idx="8">
                  <c:v>Newcastle</c:v>
                </c:pt>
              </c:strCache>
            </c:strRef>
          </c:cat>
          <c:val>
            <c:numRef>
              <c:f>'City vs city'!$C$2:$C$10</c:f>
              <c:numCache>
                <c:formatCode>General</c:formatCode>
                <c:ptCount val="9"/>
                <c:pt idx="0">
                  <c:v>8</c:v>
                </c:pt>
                <c:pt idx="1">
                  <c:v>50</c:v>
                </c:pt>
                <c:pt idx="2">
                  <c:v>7</c:v>
                </c:pt>
                <c:pt idx="3">
                  <c:v>7</c:v>
                </c:pt>
                <c:pt idx="4">
                  <c:v>93</c:v>
                </c:pt>
                <c:pt idx="5">
                  <c:v>40</c:v>
                </c:pt>
                <c:pt idx="6">
                  <c:v>119</c:v>
                </c:pt>
              </c:numCache>
            </c:numRef>
          </c:val>
        </c:ser>
        <c:ser>
          <c:idx val="2"/>
          <c:order val="2"/>
          <c:tx>
            <c:strRef>
              <c:f>'City vs city'!$D$1</c:f>
              <c:strCache>
                <c:ptCount val="1"/>
                <c:pt idx="0">
                  <c:v>1st Half 2015</c:v>
                </c:pt>
              </c:strCache>
            </c:strRef>
          </c:tx>
          <c:spPr>
            <a:solidFill>
              <a:schemeClr val="accent3"/>
            </a:solidFill>
            <a:ln>
              <a:solidFill>
                <a:schemeClr val="tx1"/>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'City vs city'!$A$2:$A$10</c:f>
              <c:strCache>
                <c:ptCount val="9"/>
                <c:pt idx="0">
                  <c:v>Adelaide</c:v>
                </c:pt>
                <c:pt idx="1">
                  <c:v>Brisbane</c:v>
                </c:pt>
                <c:pt idx="2">
                  <c:v>Canberra</c:v>
                </c:pt>
                <c:pt idx="3">
                  <c:v>Darwin</c:v>
                </c:pt>
                <c:pt idx="4">
                  <c:v>Melbourne</c:v>
                </c:pt>
                <c:pt idx="5">
                  <c:v>Perth</c:v>
                </c:pt>
                <c:pt idx="6">
                  <c:v>Sydney</c:v>
                </c:pt>
                <c:pt idx="7">
                  <c:v>Gold Coast</c:v>
                </c:pt>
                <c:pt idx="8">
                  <c:v>Newcastle</c:v>
                </c:pt>
              </c:strCache>
            </c:strRef>
          </c:cat>
          <c:val>
            <c:numRef>
              <c:f>'City vs city'!$D$2:$D$10</c:f>
              <c:numCache>
                <c:formatCode>General</c:formatCode>
                <c:ptCount val="9"/>
                <c:pt idx="0">
                  <c:v>6</c:v>
                </c:pt>
                <c:pt idx="1">
                  <c:v>73</c:v>
                </c:pt>
                <c:pt idx="2">
                  <c:v>5</c:v>
                </c:pt>
                <c:pt idx="3">
                  <c:v>6</c:v>
                </c:pt>
                <c:pt idx="4">
                  <c:v>116</c:v>
                </c:pt>
                <c:pt idx="5">
                  <c:v>43</c:v>
                </c:pt>
                <c:pt idx="6">
                  <c:v>162</c:v>
                </c:pt>
                <c:pt idx="7">
                  <c:v>15</c:v>
                </c:pt>
              </c:numCache>
            </c:numRef>
          </c:val>
        </c:ser>
        <c:ser>
          <c:idx val="3"/>
          <c:order val="3"/>
          <c:tx>
            <c:strRef>
              <c:f>'City vs city'!$E$1</c:f>
              <c:strCache>
                <c:ptCount val="1"/>
                <c:pt idx="0">
                  <c:v>2nd Half 2015</c:v>
                </c:pt>
              </c:strCache>
            </c:strRef>
          </c:tx>
          <c:spPr>
            <a:solidFill>
              <a:schemeClr val="accent4"/>
            </a:solidFill>
            <a:ln>
              <a:solidFill>
                <a:schemeClr val="tx1"/>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'City vs city'!$A$2:$A$10</c:f>
              <c:strCache>
                <c:ptCount val="9"/>
                <c:pt idx="0">
                  <c:v>Adelaide</c:v>
                </c:pt>
                <c:pt idx="1">
                  <c:v>Brisbane</c:v>
                </c:pt>
                <c:pt idx="2">
                  <c:v>Canberra</c:v>
                </c:pt>
                <c:pt idx="3">
                  <c:v>Darwin</c:v>
                </c:pt>
                <c:pt idx="4">
                  <c:v>Melbourne</c:v>
                </c:pt>
                <c:pt idx="5">
                  <c:v>Perth</c:v>
                </c:pt>
                <c:pt idx="6">
                  <c:v>Sydney</c:v>
                </c:pt>
                <c:pt idx="7">
                  <c:v>Gold Coast</c:v>
                </c:pt>
                <c:pt idx="8">
                  <c:v>Newcastle</c:v>
                </c:pt>
              </c:strCache>
            </c:strRef>
          </c:cat>
          <c:val>
            <c:numRef>
              <c:f>'City vs city'!$E$2:$E$10</c:f>
              <c:numCache>
                <c:formatCode>General</c:formatCode>
                <c:ptCount val="9"/>
                <c:pt idx="0">
                  <c:v>7</c:v>
                </c:pt>
                <c:pt idx="1">
                  <c:v>104</c:v>
                </c:pt>
                <c:pt idx="2">
                  <c:v>6</c:v>
                </c:pt>
                <c:pt idx="3">
                  <c:v>3</c:v>
                </c:pt>
                <c:pt idx="4">
                  <c:v>136</c:v>
                </c:pt>
                <c:pt idx="5">
                  <c:v>47</c:v>
                </c:pt>
                <c:pt idx="6">
                  <c:v>220</c:v>
                </c:pt>
                <c:pt idx="7">
                  <c:v>16</c:v>
                </c:pt>
                <c:pt idx="8">
                  <c:v>8</c:v>
                </c:pt>
              </c:numCache>
            </c:numRef>
          </c:val>
        </c:ser>
        <c:ser>
          <c:idx val="4"/>
          <c:order val="4"/>
          <c:tx>
            <c:strRef>
              <c:f>'City vs city'!$F$1</c:f>
              <c:strCache>
                <c:ptCount val="1"/>
                <c:pt idx="0">
                  <c:v>1st Half 2016</c:v>
                </c:pt>
              </c:strCache>
            </c:strRef>
          </c:tx>
          <c:spPr>
            <a:solidFill>
              <a:srgbClr val="C00000"/>
            </a:solidFill>
            <a:ln>
              <a:solidFill>
                <a:schemeClr val="tx1"/>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'City vs city'!$A$2:$A$10</c:f>
              <c:strCache>
                <c:ptCount val="9"/>
                <c:pt idx="0">
                  <c:v>Adelaide</c:v>
                </c:pt>
                <c:pt idx="1">
                  <c:v>Brisbane</c:v>
                </c:pt>
                <c:pt idx="2">
                  <c:v>Canberra</c:v>
                </c:pt>
                <c:pt idx="3">
                  <c:v>Darwin</c:v>
                </c:pt>
                <c:pt idx="4">
                  <c:v>Melbourne</c:v>
                </c:pt>
                <c:pt idx="5">
                  <c:v>Perth</c:v>
                </c:pt>
                <c:pt idx="6">
                  <c:v>Sydney</c:v>
                </c:pt>
                <c:pt idx="7">
                  <c:v>Gold Coast</c:v>
                </c:pt>
                <c:pt idx="8">
                  <c:v>Newcastle</c:v>
                </c:pt>
              </c:strCache>
            </c:strRef>
          </c:cat>
          <c:val>
            <c:numRef>
              <c:f>'City vs city'!$F$2:$F$10</c:f>
              <c:numCache>
                <c:formatCode>General</c:formatCode>
                <c:ptCount val="9"/>
                <c:pt idx="0">
                  <c:v>9</c:v>
                </c:pt>
                <c:pt idx="1">
                  <c:v>104</c:v>
                </c:pt>
                <c:pt idx="2">
                  <c:v>17</c:v>
                </c:pt>
                <c:pt idx="3">
                  <c:v>3</c:v>
                </c:pt>
                <c:pt idx="4">
                  <c:v>148</c:v>
                </c:pt>
                <c:pt idx="5">
                  <c:v>45</c:v>
                </c:pt>
                <c:pt idx="6">
                  <c:v>288</c:v>
                </c:pt>
                <c:pt idx="7">
                  <c:v>30</c:v>
                </c:pt>
                <c:pt idx="8">
                  <c:v>9</c:v>
                </c:pt>
              </c:numCache>
            </c:numRef>
          </c:val>
        </c:ser>
        <c:dLbls>
          <c:showLegendKey val="0"/>
          <c:showVal val="0"/>
          <c:showCatName val="0"/>
          <c:showSerName val="0"/>
          <c:showPercent val="0"/>
          <c:showBubbleSize val="0"/>
        </c:dLbls>
        <c:gapWidth val="219"/>
        <c:overlap val="-27"/>
        <c:axId val="774928352"/>
        <c:axId val="774928912"/>
      </c:barChart>
      <c:catAx>
        <c:axId val="774928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4928912"/>
        <c:crosses val="autoZero"/>
        <c:auto val="1"/>
        <c:lblAlgn val="ctr"/>
        <c:lblOffset val="100"/>
        <c:noMultiLvlLbl val="0"/>
      </c:catAx>
      <c:valAx>
        <c:axId val="774928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4928352"/>
        <c:crosses val="autoZero"/>
        <c:crossBetween val="between"/>
      </c:valAx>
      <c:spPr>
        <a:solidFill>
          <a:schemeClr val="bg1">
            <a:lumMod val="95000"/>
          </a:schemeClr>
        </a:solidFill>
        <a:ln>
          <a:noFill/>
        </a:ln>
        <a:effectLst/>
      </c:spPr>
    </c:plotArea>
    <c:legend>
      <c:legendPos val="b"/>
      <c:layout>
        <c:manualLayout>
          <c:xMode val="edge"/>
          <c:yMode val="edge"/>
          <c:x val="0.64308283666707722"/>
          <c:y val="0"/>
          <c:w val="0.35682272567914569"/>
          <c:h val="0.1590912858380741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Number of Cordell Connect Projects within Victoria by status - June 2016</a:t>
            </a:r>
          </a:p>
          <a:p>
            <a:pPr>
              <a:defRPr/>
            </a:pPr>
            <a:r>
              <a:rPr lang="en-AU" sz="800"/>
              <a:t>Source: MPA analysis of Cordell</a:t>
            </a:r>
            <a:r>
              <a:rPr lang="en-AU" sz="800" baseline="0"/>
              <a:t> Connect Database</a:t>
            </a:r>
            <a:endParaRPr lang="en-AU" sz="8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7962051618547684"/>
          <c:y val="0.31985110952040086"/>
          <c:w val="0.43520341207349084"/>
          <c:h val="0.72533902012248463"/>
        </c:manualLayout>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dLbl>
              <c:idx val="0"/>
              <c:layout>
                <c:manualLayout>
                  <c:x val="2.0851706036745406E-2"/>
                  <c:y val="-2.5308836395450604E-2"/>
                </c:manualLayout>
              </c:layout>
              <c:showLegendKey val="0"/>
              <c:showVal val="1"/>
              <c:showCatName val="1"/>
              <c:showSerName val="0"/>
              <c:showPercent val="0"/>
              <c:showBubbleSize val="0"/>
              <c:extLst>
                <c:ext xmlns:c15="http://schemas.microsoft.com/office/drawing/2012/chart" uri="{CE6537A1-D6FC-4f65-9D91-7224C49458BB}"/>
              </c:extLst>
            </c:dLbl>
            <c:dLbl>
              <c:idx val="1"/>
              <c:layout>
                <c:manualLayout>
                  <c:x val="0.11476093613298327"/>
                  <c:y val="6.0357909806728702E-3"/>
                </c:manualLayout>
              </c:layout>
              <c:showLegendKey val="0"/>
              <c:showVal val="1"/>
              <c:showCatName val="1"/>
              <c:showSerName val="0"/>
              <c:showPercent val="0"/>
              <c:showBubbleSize val="0"/>
              <c:extLst>
                <c:ext xmlns:c15="http://schemas.microsoft.com/office/drawing/2012/chart" uri="{CE6537A1-D6FC-4f65-9D91-7224C49458BB}"/>
              </c:extLst>
            </c:dLbl>
            <c:dLbl>
              <c:idx val="2"/>
              <c:layout>
                <c:manualLayout>
                  <c:x val="6.8327865266841536E-2"/>
                  <c:y val="7.3454227312495027E-2"/>
                </c:manualLayout>
              </c:layout>
              <c:showLegendKey val="0"/>
              <c:showVal val="1"/>
              <c:showCatName val="1"/>
              <c:showSerName val="0"/>
              <c:showPercent val="0"/>
              <c:showBubbleSize val="0"/>
              <c:extLst>
                <c:ext xmlns:c15="http://schemas.microsoft.com/office/drawing/2012/chart" uri="{CE6537A1-D6FC-4f65-9D91-7224C49458BB}"/>
              </c:extLst>
            </c:dLbl>
            <c:dLbl>
              <c:idx val="3"/>
              <c:layout>
                <c:manualLayout>
                  <c:x val="-0.10083759842519685"/>
                  <c:y val="2.7570720326625837E-2"/>
                </c:manualLayout>
              </c:layout>
              <c:showLegendKey val="0"/>
              <c:showVal val="1"/>
              <c:showCatName val="1"/>
              <c:showSerName val="0"/>
              <c:showPercent val="0"/>
              <c:showBubbleSize val="0"/>
              <c:extLst>
                <c:ext xmlns:c15="http://schemas.microsoft.com/office/drawing/2012/chart" uri="{CE6537A1-D6FC-4f65-9D91-7224C49458BB}"/>
              </c:extLst>
            </c:dLbl>
            <c:dLbl>
              <c:idx val="4"/>
              <c:layout>
                <c:manualLayout>
                  <c:x val="-0.10088976377952756"/>
                  <c:y val="3.1816856226305045E-3"/>
                </c:manualLayout>
              </c:layout>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Sheet3!$A$3:$A$7</c:f>
              <c:strCache>
                <c:ptCount val="5"/>
                <c:pt idx="0">
                  <c:v>Early</c:v>
                </c:pt>
                <c:pt idx="1">
                  <c:v>Registrations</c:v>
                </c:pt>
                <c:pt idx="2">
                  <c:v>Possible</c:v>
                </c:pt>
                <c:pt idx="3">
                  <c:v>Firm</c:v>
                </c:pt>
                <c:pt idx="4">
                  <c:v>Commenced</c:v>
                </c:pt>
              </c:strCache>
            </c:strRef>
          </c:cat>
          <c:val>
            <c:numRef>
              <c:f>Sheet3!$B$3:$B$7</c:f>
              <c:numCache>
                <c:formatCode>General</c:formatCode>
                <c:ptCount val="5"/>
                <c:pt idx="0">
                  <c:v>586</c:v>
                </c:pt>
                <c:pt idx="1">
                  <c:v>67</c:v>
                </c:pt>
                <c:pt idx="2">
                  <c:v>7366</c:v>
                </c:pt>
                <c:pt idx="3">
                  <c:v>3042</c:v>
                </c:pt>
                <c:pt idx="4">
                  <c:v>3465</c:v>
                </c:pt>
              </c:numCache>
            </c:numRef>
          </c:val>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Change in population</a:t>
            </a:r>
            <a:r>
              <a:rPr lang="en-AU" baseline="0"/>
              <a:t> of States and territories (%) during 2015</a:t>
            </a:r>
          </a:p>
          <a:p>
            <a:pPr algn="l">
              <a:defRPr/>
            </a:pPr>
            <a:r>
              <a:rPr lang="en-AU" sz="1000" baseline="0"/>
              <a:t>Source: ABS 3101.0 </a:t>
            </a:r>
            <a:endParaRPr lang="en-AU" sz="1000"/>
          </a:p>
        </c:rich>
      </c:tx>
      <c:layout>
        <c:manualLayout>
          <c:xMode val="edge"/>
          <c:yMode val="edge"/>
          <c:x val="7.5477278955357998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212767666866854"/>
          <c:y val="0.18489082809515314"/>
          <c:w val="0.87356579836248105"/>
          <c:h val="0.72809946497910827"/>
        </c:manualLayout>
      </c:layout>
      <c:barChart>
        <c:barDir val="col"/>
        <c:grouping val="clustered"/>
        <c:varyColors val="1"/>
        <c:ser>
          <c:idx val="0"/>
          <c:order val="0"/>
          <c:invertIfNegative val="0"/>
          <c:dPt>
            <c:idx val="0"/>
            <c:invertIfNegative val="0"/>
            <c:bubble3D val="0"/>
            <c:spPr>
              <a:solidFill>
                <a:schemeClr val="accent1"/>
              </a:solidFill>
              <a:ln>
                <a:solidFill>
                  <a:schemeClr val="tx1"/>
                </a:solidFill>
              </a:ln>
              <a:effectLst/>
            </c:spPr>
          </c:dPt>
          <c:dPt>
            <c:idx val="1"/>
            <c:invertIfNegative val="0"/>
            <c:bubble3D val="0"/>
            <c:spPr>
              <a:solidFill>
                <a:schemeClr val="tx2"/>
              </a:solidFill>
              <a:ln>
                <a:solidFill>
                  <a:schemeClr val="tx1"/>
                </a:solidFill>
              </a:ln>
              <a:effectLst/>
            </c:spPr>
          </c:dPt>
          <c:dPt>
            <c:idx val="2"/>
            <c:invertIfNegative val="0"/>
            <c:bubble3D val="0"/>
            <c:spPr>
              <a:solidFill>
                <a:srgbClr val="A50021"/>
              </a:solidFill>
              <a:ln>
                <a:solidFill>
                  <a:schemeClr val="tx1"/>
                </a:solidFill>
              </a:ln>
              <a:effectLst/>
            </c:spPr>
          </c:dPt>
          <c:dPt>
            <c:idx val="3"/>
            <c:invertIfNegative val="0"/>
            <c:bubble3D val="0"/>
            <c:spPr>
              <a:solidFill>
                <a:srgbClr val="FF0000"/>
              </a:solidFill>
              <a:ln>
                <a:solidFill>
                  <a:schemeClr val="tx1"/>
                </a:solidFill>
              </a:ln>
              <a:effectLst/>
            </c:spPr>
          </c:dPt>
          <c:dPt>
            <c:idx val="4"/>
            <c:invertIfNegative val="0"/>
            <c:bubble3D val="0"/>
            <c:spPr>
              <a:solidFill>
                <a:schemeClr val="accent4"/>
              </a:solidFill>
              <a:ln>
                <a:solidFill>
                  <a:schemeClr val="tx1"/>
                </a:solidFill>
              </a:ln>
              <a:effectLst/>
            </c:spPr>
          </c:dPt>
          <c:dPt>
            <c:idx val="5"/>
            <c:invertIfNegative val="0"/>
            <c:bubble3D val="0"/>
            <c:spPr>
              <a:solidFill>
                <a:schemeClr val="accent6"/>
              </a:solidFill>
              <a:ln>
                <a:solidFill>
                  <a:schemeClr val="tx1"/>
                </a:solidFill>
              </a:ln>
              <a:effectLst/>
            </c:spPr>
          </c:dPt>
          <c:dPt>
            <c:idx val="6"/>
            <c:invertIfNegative val="0"/>
            <c:bubble3D val="0"/>
            <c:spPr>
              <a:solidFill>
                <a:schemeClr val="accent2"/>
              </a:solidFill>
              <a:ln>
                <a:solidFill>
                  <a:schemeClr val="tx1"/>
                </a:solidFill>
              </a:ln>
              <a:effectLst/>
            </c:spPr>
          </c:dPt>
          <c:dPt>
            <c:idx val="7"/>
            <c:invertIfNegative val="0"/>
            <c:bubble3D val="0"/>
            <c:spPr>
              <a:solidFill>
                <a:schemeClr val="accent3"/>
              </a:solidFill>
              <a:ln>
                <a:solidFill>
                  <a:schemeClr val="tx1"/>
                </a:solidFill>
              </a:ln>
              <a:effectLst/>
            </c:spPr>
          </c:dPt>
          <c:dPt>
            <c:idx val="8"/>
            <c:invertIfNegative val="0"/>
            <c:bubble3D val="0"/>
            <c:spPr>
              <a:solidFill>
                <a:schemeClr val="bg2">
                  <a:lumMod val="50000"/>
                </a:schemeClr>
              </a:solidFill>
              <a:ln>
                <a:solidFill>
                  <a:schemeClr val="tx1"/>
                </a:solidFill>
              </a:ln>
              <a:effectLst/>
            </c:spPr>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Sheet2!$T$4:$AB$4</c:f>
              <c:strCache>
                <c:ptCount val="9"/>
                <c:pt idx="0">
                  <c:v>NSW</c:v>
                </c:pt>
                <c:pt idx="1">
                  <c:v>VIC</c:v>
                </c:pt>
                <c:pt idx="2">
                  <c:v>QLD</c:v>
                </c:pt>
                <c:pt idx="3">
                  <c:v>SA</c:v>
                </c:pt>
                <c:pt idx="4">
                  <c:v>WA</c:v>
                </c:pt>
                <c:pt idx="5">
                  <c:v>TAS</c:v>
                </c:pt>
                <c:pt idx="6">
                  <c:v>NT</c:v>
                </c:pt>
                <c:pt idx="7">
                  <c:v>ACT</c:v>
                </c:pt>
                <c:pt idx="8">
                  <c:v>National</c:v>
                </c:pt>
              </c:strCache>
            </c:strRef>
          </c:cat>
          <c:val>
            <c:numRef>
              <c:f>Sheet2!$T$7:$AB$7</c:f>
              <c:numCache>
                <c:formatCode>0.0%</c:formatCode>
                <c:ptCount val="9"/>
                <c:pt idx="0">
                  <c:v>1.402792418290078E-2</c:v>
                </c:pt>
                <c:pt idx="1">
                  <c:v>1.8657771820699883E-2</c:v>
                </c:pt>
                <c:pt idx="2">
                  <c:v>1.2573864664079627E-2</c:v>
                </c:pt>
                <c:pt idx="3">
                  <c:v>6.6091079182196786E-3</c:v>
                </c:pt>
                <c:pt idx="4">
                  <c:v>1.2040798797008378E-2</c:v>
                </c:pt>
                <c:pt idx="5">
                  <c:v>4.0947497933218708E-3</c:v>
                </c:pt>
                <c:pt idx="6">
                  <c:v>3.454075191927333E-3</c:v>
                </c:pt>
                <c:pt idx="7">
                  <c:v>1.3594090916124639E-2</c:v>
                </c:pt>
                <c:pt idx="8">
                  <c:v>1.3808341208183804E-2</c:v>
                </c:pt>
              </c:numCache>
            </c:numRef>
          </c:val>
        </c:ser>
        <c:dLbls>
          <c:showLegendKey val="0"/>
          <c:showVal val="0"/>
          <c:showCatName val="0"/>
          <c:showSerName val="0"/>
          <c:showPercent val="0"/>
          <c:showBubbleSize val="0"/>
        </c:dLbls>
        <c:gapWidth val="25"/>
        <c:axId val="549301568"/>
        <c:axId val="549302128"/>
      </c:barChart>
      <c:catAx>
        <c:axId val="549301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9302128"/>
        <c:crosses val="autoZero"/>
        <c:auto val="1"/>
        <c:lblAlgn val="ctr"/>
        <c:lblOffset val="100"/>
        <c:noMultiLvlLbl val="0"/>
      </c:catAx>
      <c:valAx>
        <c:axId val="549302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Population Increase %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93015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Value of Cordell Connect Projects within Victoria by status - June 2016 ($Billions)</a:t>
            </a:r>
          </a:p>
          <a:p>
            <a:pPr>
              <a:defRPr/>
            </a:pPr>
            <a:r>
              <a:rPr lang="en-AU" sz="800"/>
              <a:t>Source: MPA analysis of Cordell</a:t>
            </a:r>
            <a:r>
              <a:rPr lang="en-AU" sz="800" baseline="0"/>
              <a:t> Connect Database</a:t>
            </a:r>
            <a:endParaRPr lang="en-AU" sz="8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7962051618547684"/>
          <c:y val="0.31985110952040086"/>
          <c:w val="0.43520341207349084"/>
          <c:h val="0.72533902012248463"/>
        </c:manualLayout>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dLbl>
              <c:idx val="0"/>
              <c:layout>
                <c:manualLayout>
                  <c:x val="2.0851706036745406E-2"/>
                  <c:y val="-2.5308836395450604E-2"/>
                </c:manualLayout>
              </c:layout>
              <c:showLegendKey val="0"/>
              <c:showVal val="1"/>
              <c:showCatName val="1"/>
              <c:showSerName val="0"/>
              <c:showPercent val="0"/>
              <c:showBubbleSize val="0"/>
              <c:extLst>
                <c:ext xmlns:c15="http://schemas.microsoft.com/office/drawing/2012/chart" uri="{CE6537A1-D6FC-4f65-9D91-7224C49458BB}"/>
              </c:extLst>
            </c:dLbl>
            <c:dLbl>
              <c:idx val="1"/>
              <c:layout>
                <c:manualLayout>
                  <c:x val="0.11476093613298327"/>
                  <c:y val="6.0357909806728702E-3"/>
                </c:manualLayout>
              </c:layout>
              <c:showLegendKey val="0"/>
              <c:showVal val="1"/>
              <c:showCatName val="1"/>
              <c:showSerName val="0"/>
              <c:showPercent val="0"/>
              <c:showBubbleSize val="0"/>
              <c:extLst>
                <c:ext xmlns:c15="http://schemas.microsoft.com/office/drawing/2012/chart" uri="{CE6537A1-D6FC-4f65-9D91-7224C49458BB}"/>
              </c:extLst>
            </c:dLbl>
            <c:dLbl>
              <c:idx val="2"/>
              <c:layout>
                <c:manualLayout>
                  <c:x val="6.8327865266841536E-2"/>
                  <c:y val="7.3454227312495027E-2"/>
                </c:manualLayout>
              </c:layout>
              <c:showLegendKey val="0"/>
              <c:showVal val="1"/>
              <c:showCatName val="1"/>
              <c:showSerName val="0"/>
              <c:showPercent val="0"/>
              <c:showBubbleSize val="0"/>
              <c:extLst>
                <c:ext xmlns:c15="http://schemas.microsoft.com/office/drawing/2012/chart" uri="{CE6537A1-D6FC-4f65-9D91-7224C49458BB}"/>
              </c:extLst>
            </c:dLbl>
            <c:dLbl>
              <c:idx val="3"/>
              <c:layout>
                <c:manualLayout>
                  <c:x val="-0.10083759842519685"/>
                  <c:y val="2.7570720326625837E-2"/>
                </c:manualLayout>
              </c:layout>
              <c:showLegendKey val="0"/>
              <c:showVal val="1"/>
              <c:showCatName val="1"/>
              <c:showSerName val="0"/>
              <c:showPercent val="0"/>
              <c:showBubbleSize val="0"/>
              <c:extLst>
                <c:ext xmlns:c15="http://schemas.microsoft.com/office/drawing/2012/chart" uri="{CE6537A1-D6FC-4f65-9D91-7224C49458BB}"/>
              </c:extLst>
            </c:dLbl>
            <c:dLbl>
              <c:idx val="4"/>
              <c:layout>
                <c:manualLayout>
                  <c:x val="-0.10088976377952756"/>
                  <c:y val="3.1816856226305045E-3"/>
                </c:manualLayout>
              </c:layout>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Sheet3!$A$3:$A$7</c:f>
              <c:strCache>
                <c:ptCount val="5"/>
                <c:pt idx="0">
                  <c:v>Early</c:v>
                </c:pt>
                <c:pt idx="1">
                  <c:v>Registrations</c:v>
                </c:pt>
                <c:pt idx="2">
                  <c:v>Possible</c:v>
                </c:pt>
                <c:pt idx="3">
                  <c:v>Firm</c:v>
                </c:pt>
                <c:pt idx="4">
                  <c:v>Commenced</c:v>
                </c:pt>
              </c:strCache>
            </c:strRef>
          </c:cat>
          <c:val>
            <c:numRef>
              <c:f>Sheet3!$C$3:$C$7</c:f>
              <c:numCache>
                <c:formatCode>_("$"* #,##0.00_);_("$"* \(#,##0.00\);_("$"* "-"??_);_(@_)</c:formatCode>
                <c:ptCount val="5"/>
                <c:pt idx="0">
                  <c:v>31.581844</c:v>
                </c:pt>
                <c:pt idx="1">
                  <c:v>22.495702999999999</c:v>
                </c:pt>
                <c:pt idx="2">
                  <c:v>55.269115999999997</c:v>
                </c:pt>
                <c:pt idx="3">
                  <c:v>18.295763000000001</c:v>
                </c:pt>
                <c:pt idx="4">
                  <c:v>16.008277</c:v>
                </c:pt>
              </c:numCache>
            </c:numRef>
          </c:val>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l">
              <a:defRPr b="0"/>
            </a:pPr>
            <a:r>
              <a:rPr lang="en-AU" sz="1200" b="0"/>
              <a:t>Total</a:t>
            </a:r>
            <a:r>
              <a:rPr lang="en-AU" sz="1200" b="0" baseline="0"/>
              <a:t> Net Lot Sales per Quarter</a:t>
            </a:r>
          </a:p>
          <a:p>
            <a:pPr algn="l">
              <a:defRPr b="0"/>
            </a:pPr>
            <a:r>
              <a:rPr lang="en-AU" sz="600" b="0" baseline="0"/>
              <a:t>Source: MPA analysis of Charter Keck Cramer Research4 data </a:t>
            </a:r>
            <a:endParaRPr lang="en-AU" sz="600" b="0"/>
          </a:p>
        </c:rich>
      </c:tx>
      <c:layout>
        <c:manualLayout>
          <c:xMode val="edge"/>
          <c:yMode val="edge"/>
          <c:x val="1.7852161785216374E-3"/>
          <c:y val="0"/>
        </c:manualLayout>
      </c:layout>
      <c:overlay val="1"/>
    </c:title>
    <c:autoTitleDeleted val="0"/>
    <c:plotArea>
      <c:layout>
        <c:manualLayout>
          <c:layoutTarget val="inner"/>
          <c:xMode val="edge"/>
          <c:yMode val="edge"/>
          <c:x val="8.3695411433839378E-2"/>
          <c:y val="0.15224817876799998"/>
          <c:w val="0.90019313146380864"/>
          <c:h val="0.74952093559130994"/>
        </c:manualLayout>
      </c:layout>
      <c:barChart>
        <c:barDir val="col"/>
        <c:grouping val="clustered"/>
        <c:varyColors val="0"/>
        <c:ser>
          <c:idx val="0"/>
          <c:order val="0"/>
          <c:tx>
            <c:strRef>
              <c:f>'Sales by LGA'!$C$29</c:f>
              <c:strCache>
                <c:ptCount val="1"/>
                <c:pt idx="0">
                  <c:v>Mar-13</c:v>
                </c:pt>
              </c:strCache>
            </c:strRef>
          </c:tx>
          <c:invertIfNegative val="0"/>
          <c:dLbls>
            <c:spPr>
              <a:noFill/>
              <a:ln>
                <a:noFill/>
              </a:ln>
              <a:effectLst/>
            </c:spPr>
            <c:txPr>
              <a:bodyPr rot="-5400000" vert="horz"/>
              <a:lstStyle/>
              <a:p>
                <a:pPr>
                  <a:defRPr sz="6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LGA'!$B$30:$B$36</c:f>
              <c:strCache>
                <c:ptCount val="7"/>
                <c:pt idx="0">
                  <c:v>Cardinia</c:v>
                </c:pt>
                <c:pt idx="1">
                  <c:v>Casey</c:v>
                </c:pt>
                <c:pt idx="2">
                  <c:v>Hume</c:v>
                </c:pt>
                <c:pt idx="3">
                  <c:v>Melton</c:v>
                </c:pt>
                <c:pt idx="4">
                  <c:v>Mitchell</c:v>
                </c:pt>
                <c:pt idx="5">
                  <c:v>Whittlesea</c:v>
                </c:pt>
                <c:pt idx="6">
                  <c:v>Wyndham</c:v>
                </c:pt>
              </c:strCache>
            </c:strRef>
          </c:cat>
          <c:val>
            <c:numRef>
              <c:f>'Sales by LGA'!$C$30:$C$36</c:f>
              <c:numCache>
                <c:formatCode>General</c:formatCode>
                <c:ptCount val="7"/>
                <c:pt idx="0">
                  <c:v>116</c:v>
                </c:pt>
                <c:pt idx="1">
                  <c:v>368</c:v>
                </c:pt>
                <c:pt idx="2">
                  <c:v>212</c:v>
                </c:pt>
                <c:pt idx="3">
                  <c:v>173</c:v>
                </c:pt>
                <c:pt idx="4">
                  <c:v>47</c:v>
                </c:pt>
                <c:pt idx="5">
                  <c:v>205</c:v>
                </c:pt>
                <c:pt idx="6">
                  <c:v>283</c:v>
                </c:pt>
              </c:numCache>
            </c:numRef>
          </c:val>
        </c:ser>
        <c:ser>
          <c:idx val="1"/>
          <c:order val="1"/>
          <c:tx>
            <c:strRef>
              <c:f>'Sales by LGA'!$D$29</c:f>
              <c:strCache>
                <c:ptCount val="1"/>
                <c:pt idx="0">
                  <c:v>Jun-13</c:v>
                </c:pt>
              </c:strCache>
            </c:strRef>
          </c:tx>
          <c:invertIfNegative val="0"/>
          <c:dLbls>
            <c:spPr>
              <a:noFill/>
              <a:ln>
                <a:noFill/>
              </a:ln>
              <a:effectLst/>
            </c:spPr>
            <c:txPr>
              <a:bodyPr rot="-5400000" vert="horz"/>
              <a:lstStyle/>
              <a:p>
                <a:pPr>
                  <a:defRPr sz="6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LGA'!$B$30:$B$36</c:f>
              <c:strCache>
                <c:ptCount val="7"/>
                <c:pt idx="0">
                  <c:v>Cardinia</c:v>
                </c:pt>
                <c:pt idx="1">
                  <c:v>Casey</c:v>
                </c:pt>
                <c:pt idx="2">
                  <c:v>Hume</c:v>
                </c:pt>
                <c:pt idx="3">
                  <c:v>Melton</c:v>
                </c:pt>
                <c:pt idx="4">
                  <c:v>Mitchell</c:v>
                </c:pt>
                <c:pt idx="5">
                  <c:v>Whittlesea</c:v>
                </c:pt>
                <c:pt idx="6">
                  <c:v>Wyndham</c:v>
                </c:pt>
              </c:strCache>
            </c:strRef>
          </c:cat>
          <c:val>
            <c:numRef>
              <c:f>'Sales by LGA'!$D$30:$D$36</c:f>
              <c:numCache>
                <c:formatCode>General</c:formatCode>
                <c:ptCount val="7"/>
                <c:pt idx="0">
                  <c:v>169</c:v>
                </c:pt>
                <c:pt idx="1">
                  <c:v>457</c:v>
                </c:pt>
                <c:pt idx="2">
                  <c:v>366</c:v>
                </c:pt>
                <c:pt idx="3">
                  <c:v>210</c:v>
                </c:pt>
                <c:pt idx="4">
                  <c:v>40</c:v>
                </c:pt>
                <c:pt idx="5">
                  <c:v>252</c:v>
                </c:pt>
                <c:pt idx="6">
                  <c:v>436</c:v>
                </c:pt>
              </c:numCache>
            </c:numRef>
          </c:val>
        </c:ser>
        <c:ser>
          <c:idx val="2"/>
          <c:order val="2"/>
          <c:tx>
            <c:strRef>
              <c:f>'Sales by LGA'!$E$29</c:f>
              <c:strCache>
                <c:ptCount val="1"/>
                <c:pt idx="0">
                  <c:v>Sep-13</c:v>
                </c:pt>
              </c:strCache>
            </c:strRef>
          </c:tx>
          <c:invertIfNegative val="0"/>
          <c:dLbls>
            <c:spPr>
              <a:noFill/>
              <a:ln>
                <a:noFill/>
              </a:ln>
              <a:effectLst/>
            </c:spPr>
            <c:txPr>
              <a:bodyPr rot="-5400000" vert="horz"/>
              <a:lstStyle/>
              <a:p>
                <a:pPr>
                  <a:defRPr sz="6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LGA'!$B$30:$B$36</c:f>
              <c:strCache>
                <c:ptCount val="7"/>
                <c:pt idx="0">
                  <c:v>Cardinia</c:v>
                </c:pt>
                <c:pt idx="1">
                  <c:v>Casey</c:v>
                </c:pt>
                <c:pt idx="2">
                  <c:v>Hume</c:v>
                </c:pt>
                <c:pt idx="3">
                  <c:v>Melton</c:v>
                </c:pt>
                <c:pt idx="4">
                  <c:v>Mitchell</c:v>
                </c:pt>
                <c:pt idx="5">
                  <c:v>Whittlesea</c:v>
                </c:pt>
                <c:pt idx="6">
                  <c:v>Wyndham</c:v>
                </c:pt>
              </c:strCache>
            </c:strRef>
          </c:cat>
          <c:val>
            <c:numRef>
              <c:f>'Sales by LGA'!$E$30:$E$36</c:f>
              <c:numCache>
                <c:formatCode>General</c:formatCode>
                <c:ptCount val="7"/>
                <c:pt idx="0">
                  <c:v>264</c:v>
                </c:pt>
                <c:pt idx="1">
                  <c:v>666</c:v>
                </c:pt>
                <c:pt idx="2">
                  <c:v>387</c:v>
                </c:pt>
                <c:pt idx="3">
                  <c:v>350</c:v>
                </c:pt>
                <c:pt idx="4">
                  <c:v>64</c:v>
                </c:pt>
                <c:pt idx="5">
                  <c:v>545</c:v>
                </c:pt>
                <c:pt idx="6">
                  <c:v>500</c:v>
                </c:pt>
              </c:numCache>
            </c:numRef>
          </c:val>
        </c:ser>
        <c:ser>
          <c:idx val="3"/>
          <c:order val="3"/>
          <c:tx>
            <c:strRef>
              <c:f>'Sales by LGA'!$F$29</c:f>
              <c:strCache>
                <c:ptCount val="1"/>
                <c:pt idx="0">
                  <c:v>Dec-13</c:v>
                </c:pt>
              </c:strCache>
            </c:strRef>
          </c:tx>
          <c:invertIfNegative val="0"/>
          <c:dLbls>
            <c:spPr>
              <a:noFill/>
              <a:ln>
                <a:noFill/>
              </a:ln>
              <a:effectLst/>
            </c:spPr>
            <c:txPr>
              <a:bodyPr rot="-5400000" vert="horz"/>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LGA'!$B$30:$B$36</c:f>
              <c:strCache>
                <c:ptCount val="7"/>
                <c:pt idx="0">
                  <c:v>Cardinia</c:v>
                </c:pt>
                <c:pt idx="1">
                  <c:v>Casey</c:v>
                </c:pt>
                <c:pt idx="2">
                  <c:v>Hume</c:v>
                </c:pt>
                <c:pt idx="3">
                  <c:v>Melton</c:v>
                </c:pt>
                <c:pt idx="4">
                  <c:v>Mitchell</c:v>
                </c:pt>
                <c:pt idx="5">
                  <c:v>Whittlesea</c:v>
                </c:pt>
                <c:pt idx="6">
                  <c:v>Wyndham</c:v>
                </c:pt>
              </c:strCache>
            </c:strRef>
          </c:cat>
          <c:val>
            <c:numRef>
              <c:f>'Sales by LGA'!$F$30:$F$36</c:f>
              <c:numCache>
                <c:formatCode>General</c:formatCode>
                <c:ptCount val="7"/>
                <c:pt idx="0">
                  <c:v>241</c:v>
                </c:pt>
                <c:pt idx="1">
                  <c:v>571</c:v>
                </c:pt>
                <c:pt idx="2">
                  <c:v>412</c:v>
                </c:pt>
                <c:pt idx="3">
                  <c:v>327</c:v>
                </c:pt>
                <c:pt idx="4">
                  <c:v>75</c:v>
                </c:pt>
                <c:pt idx="5">
                  <c:v>414</c:v>
                </c:pt>
                <c:pt idx="6">
                  <c:v>575</c:v>
                </c:pt>
              </c:numCache>
            </c:numRef>
          </c:val>
        </c:ser>
        <c:ser>
          <c:idx val="4"/>
          <c:order val="4"/>
          <c:tx>
            <c:strRef>
              <c:f>'Sales by LGA'!$G$29</c:f>
              <c:strCache>
                <c:ptCount val="1"/>
                <c:pt idx="0">
                  <c:v>Mar-14</c:v>
                </c:pt>
              </c:strCache>
            </c:strRef>
          </c:tx>
          <c:invertIfNegative val="0"/>
          <c:dLbls>
            <c:spPr>
              <a:noFill/>
              <a:ln>
                <a:noFill/>
              </a:ln>
              <a:effectLst/>
            </c:spPr>
            <c:txPr>
              <a:bodyPr rot="-5400000" vert="horz"/>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LGA'!$B$30:$B$36</c:f>
              <c:strCache>
                <c:ptCount val="7"/>
                <c:pt idx="0">
                  <c:v>Cardinia</c:v>
                </c:pt>
                <c:pt idx="1">
                  <c:v>Casey</c:v>
                </c:pt>
                <c:pt idx="2">
                  <c:v>Hume</c:v>
                </c:pt>
                <c:pt idx="3">
                  <c:v>Melton</c:v>
                </c:pt>
                <c:pt idx="4">
                  <c:v>Mitchell</c:v>
                </c:pt>
                <c:pt idx="5">
                  <c:v>Whittlesea</c:v>
                </c:pt>
                <c:pt idx="6">
                  <c:v>Wyndham</c:v>
                </c:pt>
              </c:strCache>
            </c:strRef>
          </c:cat>
          <c:val>
            <c:numRef>
              <c:f>'Sales by LGA'!$G$30:$G$36</c:f>
              <c:numCache>
                <c:formatCode>_-* #,##0_-;\-* #,##0_-;_-* "-"??_-;_-@_-</c:formatCode>
                <c:ptCount val="7"/>
                <c:pt idx="0">
                  <c:v>241</c:v>
                </c:pt>
                <c:pt idx="1">
                  <c:v>653</c:v>
                </c:pt>
                <c:pt idx="2">
                  <c:v>441</c:v>
                </c:pt>
                <c:pt idx="3">
                  <c:v>329</c:v>
                </c:pt>
                <c:pt idx="4">
                  <c:v>34</c:v>
                </c:pt>
                <c:pt idx="5">
                  <c:v>433</c:v>
                </c:pt>
                <c:pt idx="6">
                  <c:v>599</c:v>
                </c:pt>
              </c:numCache>
            </c:numRef>
          </c:val>
        </c:ser>
        <c:ser>
          <c:idx val="5"/>
          <c:order val="5"/>
          <c:tx>
            <c:strRef>
              <c:f>'Sales by LGA'!$H$29</c:f>
              <c:strCache>
                <c:ptCount val="1"/>
                <c:pt idx="0">
                  <c:v>Jun-14</c:v>
                </c:pt>
              </c:strCache>
            </c:strRef>
          </c:tx>
          <c:invertIfNegative val="0"/>
          <c:dLbls>
            <c:spPr>
              <a:noFill/>
              <a:ln>
                <a:noFill/>
              </a:ln>
              <a:effectLst/>
            </c:spPr>
            <c:txPr>
              <a:bodyPr rot="-5400000" vert="horz"/>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LGA'!$B$30:$B$36</c:f>
              <c:strCache>
                <c:ptCount val="7"/>
                <c:pt idx="0">
                  <c:v>Cardinia</c:v>
                </c:pt>
                <c:pt idx="1">
                  <c:v>Casey</c:v>
                </c:pt>
                <c:pt idx="2">
                  <c:v>Hume</c:v>
                </c:pt>
                <c:pt idx="3">
                  <c:v>Melton</c:v>
                </c:pt>
                <c:pt idx="4">
                  <c:v>Mitchell</c:v>
                </c:pt>
                <c:pt idx="5">
                  <c:v>Whittlesea</c:v>
                </c:pt>
                <c:pt idx="6">
                  <c:v>Wyndham</c:v>
                </c:pt>
              </c:strCache>
            </c:strRef>
          </c:cat>
          <c:val>
            <c:numRef>
              <c:f>'Sales by LGA'!$H$30:$H$36</c:f>
              <c:numCache>
                <c:formatCode>_-* #,##0_-;\-* #,##0_-;_-* "-"??_-;_-@_-</c:formatCode>
                <c:ptCount val="7"/>
                <c:pt idx="0">
                  <c:v>424</c:v>
                </c:pt>
                <c:pt idx="1">
                  <c:v>646</c:v>
                </c:pt>
                <c:pt idx="2">
                  <c:v>399</c:v>
                </c:pt>
                <c:pt idx="3">
                  <c:v>242</c:v>
                </c:pt>
                <c:pt idx="4">
                  <c:v>68</c:v>
                </c:pt>
                <c:pt idx="5">
                  <c:v>666</c:v>
                </c:pt>
                <c:pt idx="6">
                  <c:v>715</c:v>
                </c:pt>
              </c:numCache>
            </c:numRef>
          </c:val>
        </c:ser>
        <c:ser>
          <c:idx val="6"/>
          <c:order val="6"/>
          <c:tx>
            <c:strRef>
              <c:f>'Sales by LGA'!$I$29</c:f>
              <c:strCache>
                <c:ptCount val="1"/>
                <c:pt idx="0">
                  <c:v>Sep-14</c:v>
                </c:pt>
              </c:strCache>
            </c:strRef>
          </c:tx>
          <c:invertIfNegative val="0"/>
          <c:dLbls>
            <c:spPr>
              <a:noFill/>
              <a:ln>
                <a:noFill/>
              </a:ln>
              <a:effectLst/>
            </c:spPr>
            <c:txPr>
              <a:bodyPr rot="-5400000" vert="horz"/>
              <a:lstStyle/>
              <a:p>
                <a:pPr>
                  <a:defRPr sz="6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LGA'!$B$30:$B$36</c:f>
              <c:strCache>
                <c:ptCount val="7"/>
                <c:pt idx="0">
                  <c:v>Cardinia</c:v>
                </c:pt>
                <c:pt idx="1">
                  <c:v>Casey</c:v>
                </c:pt>
                <c:pt idx="2">
                  <c:v>Hume</c:v>
                </c:pt>
                <c:pt idx="3">
                  <c:v>Melton</c:v>
                </c:pt>
                <c:pt idx="4">
                  <c:v>Mitchell</c:v>
                </c:pt>
                <c:pt idx="5">
                  <c:v>Whittlesea</c:v>
                </c:pt>
                <c:pt idx="6">
                  <c:v>Wyndham</c:v>
                </c:pt>
              </c:strCache>
            </c:strRef>
          </c:cat>
          <c:val>
            <c:numRef>
              <c:f>'Sales by LGA'!$I$30:$I$36</c:f>
              <c:numCache>
                <c:formatCode>_-* #,##0_-;\-* #,##0_-;_-* "-"??_-;_-@_-</c:formatCode>
                <c:ptCount val="7"/>
                <c:pt idx="0">
                  <c:v>336</c:v>
                </c:pt>
                <c:pt idx="1">
                  <c:v>745</c:v>
                </c:pt>
                <c:pt idx="2">
                  <c:v>541</c:v>
                </c:pt>
                <c:pt idx="3">
                  <c:v>270</c:v>
                </c:pt>
                <c:pt idx="4">
                  <c:v>69</c:v>
                </c:pt>
                <c:pt idx="5">
                  <c:v>472</c:v>
                </c:pt>
                <c:pt idx="6">
                  <c:v>727</c:v>
                </c:pt>
              </c:numCache>
            </c:numRef>
          </c:val>
        </c:ser>
        <c:ser>
          <c:idx val="7"/>
          <c:order val="7"/>
          <c:tx>
            <c:strRef>
              <c:f>'Sales by LGA'!$J$29</c:f>
              <c:strCache>
                <c:ptCount val="1"/>
                <c:pt idx="0">
                  <c:v>Dec-14</c:v>
                </c:pt>
              </c:strCache>
            </c:strRef>
          </c:tx>
          <c:invertIfNegative val="0"/>
          <c:dLbls>
            <c:spPr>
              <a:noFill/>
              <a:ln>
                <a:noFill/>
              </a:ln>
              <a:effectLst/>
            </c:spPr>
            <c:txPr>
              <a:bodyPr rot="-5400000" vert="horz"/>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LGA'!$B$30:$B$36</c:f>
              <c:strCache>
                <c:ptCount val="7"/>
                <c:pt idx="0">
                  <c:v>Cardinia</c:v>
                </c:pt>
                <c:pt idx="1">
                  <c:v>Casey</c:v>
                </c:pt>
                <c:pt idx="2">
                  <c:v>Hume</c:v>
                </c:pt>
                <c:pt idx="3">
                  <c:v>Melton</c:v>
                </c:pt>
                <c:pt idx="4">
                  <c:v>Mitchell</c:v>
                </c:pt>
                <c:pt idx="5">
                  <c:v>Whittlesea</c:v>
                </c:pt>
                <c:pt idx="6">
                  <c:v>Wyndham</c:v>
                </c:pt>
              </c:strCache>
            </c:strRef>
          </c:cat>
          <c:val>
            <c:numRef>
              <c:f>'Sales by LGA'!$J$30:$J$36</c:f>
              <c:numCache>
                <c:formatCode>_-* #,##0_-;\-* #,##0_-;_-* "-"??_-;_-@_-</c:formatCode>
                <c:ptCount val="7"/>
                <c:pt idx="0">
                  <c:v>261.99999999999994</c:v>
                </c:pt>
                <c:pt idx="1">
                  <c:v>799</c:v>
                </c:pt>
                <c:pt idx="2">
                  <c:v>643.99999999999977</c:v>
                </c:pt>
                <c:pt idx="3">
                  <c:v>264</c:v>
                </c:pt>
                <c:pt idx="4">
                  <c:v>33.000000000000007</c:v>
                </c:pt>
                <c:pt idx="5">
                  <c:v>443</c:v>
                </c:pt>
                <c:pt idx="6">
                  <c:v>985</c:v>
                </c:pt>
              </c:numCache>
            </c:numRef>
          </c:val>
        </c:ser>
        <c:ser>
          <c:idx val="8"/>
          <c:order val="8"/>
          <c:tx>
            <c:strRef>
              <c:f>'Sales by LGA'!$K$29</c:f>
              <c:strCache>
                <c:ptCount val="1"/>
                <c:pt idx="0">
                  <c:v>Mar-15</c:v>
                </c:pt>
              </c:strCache>
            </c:strRef>
          </c:tx>
          <c:spPr>
            <a:solidFill>
              <a:schemeClr val="tx1">
                <a:lumMod val="85000"/>
                <a:lumOff val="15000"/>
              </a:schemeClr>
            </a:solidFill>
          </c:spPr>
          <c:invertIfNegative val="0"/>
          <c:dLbls>
            <c:spPr>
              <a:noFill/>
              <a:ln>
                <a:noFill/>
              </a:ln>
              <a:effectLst/>
            </c:spPr>
            <c:txPr>
              <a:bodyPr rot="-5400000" vert="horz"/>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LGA'!$B$30:$B$36</c:f>
              <c:strCache>
                <c:ptCount val="7"/>
                <c:pt idx="0">
                  <c:v>Cardinia</c:v>
                </c:pt>
                <c:pt idx="1">
                  <c:v>Casey</c:v>
                </c:pt>
                <c:pt idx="2">
                  <c:v>Hume</c:v>
                </c:pt>
                <c:pt idx="3">
                  <c:v>Melton</c:v>
                </c:pt>
                <c:pt idx="4">
                  <c:v>Mitchell</c:v>
                </c:pt>
                <c:pt idx="5">
                  <c:v>Whittlesea</c:v>
                </c:pt>
                <c:pt idx="6">
                  <c:v>Wyndham</c:v>
                </c:pt>
              </c:strCache>
            </c:strRef>
          </c:cat>
          <c:val>
            <c:numRef>
              <c:f>'Sales by LGA'!$K$30:$K$36</c:f>
              <c:numCache>
                <c:formatCode>_-* #,##0_-;\-* #,##0_-;_-* "-"??_-;_-@_-</c:formatCode>
                <c:ptCount val="7"/>
                <c:pt idx="0">
                  <c:v>285.00000000000006</c:v>
                </c:pt>
                <c:pt idx="1">
                  <c:v>906.00000000000023</c:v>
                </c:pt>
                <c:pt idx="2">
                  <c:v>536</c:v>
                </c:pt>
                <c:pt idx="3">
                  <c:v>481.00000000000011</c:v>
                </c:pt>
                <c:pt idx="4">
                  <c:v>27</c:v>
                </c:pt>
                <c:pt idx="5">
                  <c:v>458.00000000000006</c:v>
                </c:pt>
                <c:pt idx="6">
                  <c:v>1093</c:v>
                </c:pt>
              </c:numCache>
            </c:numRef>
          </c:val>
        </c:ser>
        <c:ser>
          <c:idx val="9"/>
          <c:order val="9"/>
          <c:tx>
            <c:strRef>
              <c:f>'Sales by LGA'!$L$29</c:f>
              <c:strCache>
                <c:ptCount val="1"/>
                <c:pt idx="0">
                  <c:v>Jun-15</c:v>
                </c:pt>
              </c:strCache>
            </c:strRef>
          </c:tx>
          <c:invertIfNegative val="0"/>
          <c:dLbls>
            <c:spPr>
              <a:noFill/>
              <a:ln>
                <a:noFill/>
              </a:ln>
              <a:effectLst/>
            </c:spPr>
            <c:txPr>
              <a:bodyPr rot="-5400000" vert="horz" wrap="square" lIns="38100" tIns="19050" rIns="38100" bIns="19050" anchor="ctr">
                <a:spAutoFit/>
              </a:bodyPr>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'Sales by LGA'!$B$30:$B$36</c:f>
              <c:strCache>
                <c:ptCount val="7"/>
                <c:pt idx="0">
                  <c:v>Cardinia</c:v>
                </c:pt>
                <c:pt idx="1">
                  <c:v>Casey</c:v>
                </c:pt>
                <c:pt idx="2">
                  <c:v>Hume</c:v>
                </c:pt>
                <c:pt idx="3">
                  <c:v>Melton</c:v>
                </c:pt>
                <c:pt idx="4">
                  <c:v>Mitchell</c:v>
                </c:pt>
                <c:pt idx="5">
                  <c:v>Whittlesea</c:v>
                </c:pt>
                <c:pt idx="6">
                  <c:v>Wyndham</c:v>
                </c:pt>
              </c:strCache>
            </c:strRef>
          </c:cat>
          <c:val>
            <c:numRef>
              <c:f>'Sales by LGA'!$L$30:$L$36</c:f>
              <c:numCache>
                <c:formatCode>_-* #,##0_-;\-* #,##0_-;_-* "-"??_-;_-@_-</c:formatCode>
                <c:ptCount val="7"/>
                <c:pt idx="0">
                  <c:v>456.99999999999994</c:v>
                </c:pt>
                <c:pt idx="1">
                  <c:v>992</c:v>
                </c:pt>
                <c:pt idx="2">
                  <c:v>903</c:v>
                </c:pt>
                <c:pt idx="3">
                  <c:v>283</c:v>
                </c:pt>
                <c:pt idx="4">
                  <c:v>71</c:v>
                </c:pt>
                <c:pt idx="5">
                  <c:v>896</c:v>
                </c:pt>
                <c:pt idx="6">
                  <c:v>1592</c:v>
                </c:pt>
              </c:numCache>
            </c:numRef>
          </c:val>
        </c:ser>
        <c:ser>
          <c:idx val="10"/>
          <c:order val="10"/>
          <c:tx>
            <c:strRef>
              <c:f>'Sales by LGA'!$M$29</c:f>
              <c:strCache>
                <c:ptCount val="1"/>
                <c:pt idx="0">
                  <c:v>Sep-15</c:v>
                </c:pt>
              </c:strCache>
            </c:strRef>
          </c:tx>
          <c:invertIfNegative val="0"/>
          <c:dLbls>
            <c:spPr>
              <a:noFill/>
              <a:ln>
                <a:noFill/>
              </a:ln>
              <a:effectLst/>
            </c:spPr>
            <c:txPr>
              <a:bodyPr rot="-5400000" vert="horz" wrap="square" lIns="38100" tIns="19050" rIns="38100" bIns="19050" anchor="ctr">
                <a:spAutoFit/>
              </a:bodyPr>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'Sales by LGA'!$B$30:$B$36</c:f>
              <c:strCache>
                <c:ptCount val="7"/>
                <c:pt idx="0">
                  <c:v>Cardinia</c:v>
                </c:pt>
                <c:pt idx="1">
                  <c:v>Casey</c:v>
                </c:pt>
                <c:pt idx="2">
                  <c:v>Hume</c:v>
                </c:pt>
                <c:pt idx="3">
                  <c:v>Melton</c:v>
                </c:pt>
                <c:pt idx="4">
                  <c:v>Mitchell</c:v>
                </c:pt>
                <c:pt idx="5">
                  <c:v>Whittlesea</c:v>
                </c:pt>
                <c:pt idx="6">
                  <c:v>Wyndham</c:v>
                </c:pt>
              </c:strCache>
            </c:strRef>
          </c:cat>
          <c:val>
            <c:numRef>
              <c:f>'Sales by LGA'!$M$30:$M$36</c:f>
              <c:numCache>
                <c:formatCode>_-* #,##0_-;\-* #,##0_-;_-* "-"??_-;_-@_-</c:formatCode>
                <c:ptCount val="7"/>
                <c:pt idx="0">
                  <c:v>601</c:v>
                </c:pt>
                <c:pt idx="1">
                  <c:v>1261</c:v>
                </c:pt>
                <c:pt idx="2">
                  <c:v>871</c:v>
                </c:pt>
                <c:pt idx="3">
                  <c:v>616.99999999999989</c:v>
                </c:pt>
                <c:pt idx="4">
                  <c:v>25</c:v>
                </c:pt>
                <c:pt idx="5">
                  <c:v>544</c:v>
                </c:pt>
                <c:pt idx="6">
                  <c:v>1590.9999999999998</c:v>
                </c:pt>
              </c:numCache>
            </c:numRef>
          </c:val>
        </c:ser>
        <c:ser>
          <c:idx val="11"/>
          <c:order val="11"/>
          <c:tx>
            <c:strRef>
              <c:f>'Sales by LGA'!$N$29</c:f>
              <c:strCache>
                <c:ptCount val="1"/>
                <c:pt idx="0">
                  <c:v>Dec-15</c:v>
                </c:pt>
              </c:strCache>
            </c:strRef>
          </c:tx>
          <c:spPr>
            <a:solidFill>
              <a:srgbClr val="FF3399"/>
            </a:solidFill>
          </c:spPr>
          <c:invertIfNegative val="0"/>
          <c:dLbls>
            <c:spPr>
              <a:noFill/>
              <a:ln>
                <a:noFill/>
              </a:ln>
              <a:effectLst/>
            </c:spPr>
            <c:txPr>
              <a:bodyPr rot="-5400000" vert="horz" wrap="square" lIns="38100" tIns="19050" rIns="38100" bIns="19050" anchor="ctr">
                <a:spAutoFit/>
              </a:bodyPr>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'Sales by LGA'!$B$30:$B$36</c:f>
              <c:strCache>
                <c:ptCount val="7"/>
                <c:pt idx="0">
                  <c:v>Cardinia</c:v>
                </c:pt>
                <c:pt idx="1">
                  <c:v>Casey</c:v>
                </c:pt>
                <c:pt idx="2">
                  <c:v>Hume</c:v>
                </c:pt>
                <c:pt idx="3">
                  <c:v>Melton</c:v>
                </c:pt>
                <c:pt idx="4">
                  <c:v>Mitchell</c:v>
                </c:pt>
                <c:pt idx="5">
                  <c:v>Whittlesea</c:v>
                </c:pt>
                <c:pt idx="6">
                  <c:v>Wyndham</c:v>
                </c:pt>
              </c:strCache>
            </c:strRef>
          </c:cat>
          <c:val>
            <c:numRef>
              <c:f>'Sales by LGA'!$N$30:$N$36</c:f>
              <c:numCache>
                <c:formatCode>#,##0_ ;\-#,##0\ </c:formatCode>
                <c:ptCount val="7"/>
                <c:pt idx="0">
                  <c:v>431</c:v>
                </c:pt>
                <c:pt idx="1">
                  <c:v>1070</c:v>
                </c:pt>
                <c:pt idx="2">
                  <c:v>996</c:v>
                </c:pt>
                <c:pt idx="3">
                  <c:v>654</c:v>
                </c:pt>
                <c:pt idx="4">
                  <c:v>38.999999999999993</c:v>
                </c:pt>
                <c:pt idx="5">
                  <c:v>601.99999999999989</c:v>
                </c:pt>
                <c:pt idx="6">
                  <c:v>1189.0000000000002</c:v>
                </c:pt>
              </c:numCache>
            </c:numRef>
          </c:val>
        </c:ser>
        <c:ser>
          <c:idx val="12"/>
          <c:order val="12"/>
          <c:tx>
            <c:strRef>
              <c:f>'Sales by LGA'!$O$29</c:f>
              <c:strCache>
                <c:ptCount val="1"/>
                <c:pt idx="0">
                  <c:v>Mar-16</c:v>
                </c:pt>
              </c:strCache>
            </c:strRef>
          </c:tx>
          <c:spPr>
            <a:solidFill>
              <a:schemeClr val="accent3">
                <a:lumMod val="50000"/>
              </a:schemeClr>
            </a:solidFill>
          </c:spPr>
          <c:invertIfNegative val="0"/>
          <c:dLbls>
            <c:spPr>
              <a:noFill/>
              <a:ln>
                <a:noFill/>
              </a:ln>
              <a:effectLst/>
            </c:spPr>
            <c:txPr>
              <a:bodyPr rot="-5400000" vert="horz" wrap="square" lIns="38100" tIns="19050" rIns="38100" bIns="19050" anchor="ctr">
                <a:spAutoFit/>
              </a:bodyPr>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'Sales by LGA'!$B$30:$B$36</c:f>
              <c:strCache>
                <c:ptCount val="7"/>
                <c:pt idx="0">
                  <c:v>Cardinia</c:v>
                </c:pt>
                <c:pt idx="1">
                  <c:v>Casey</c:v>
                </c:pt>
                <c:pt idx="2">
                  <c:v>Hume</c:v>
                </c:pt>
                <c:pt idx="3">
                  <c:v>Melton</c:v>
                </c:pt>
                <c:pt idx="4">
                  <c:v>Mitchell</c:v>
                </c:pt>
                <c:pt idx="5">
                  <c:v>Whittlesea</c:v>
                </c:pt>
                <c:pt idx="6">
                  <c:v>Wyndham</c:v>
                </c:pt>
              </c:strCache>
            </c:strRef>
          </c:cat>
          <c:val>
            <c:numRef>
              <c:f>'Sales by LGA'!$O$30:$O$36</c:f>
              <c:numCache>
                <c:formatCode>#,##0_ ;\-#,##0\ </c:formatCode>
                <c:ptCount val="7"/>
                <c:pt idx="0">
                  <c:v>429</c:v>
                </c:pt>
                <c:pt idx="1">
                  <c:v>1161</c:v>
                </c:pt>
                <c:pt idx="2">
                  <c:v>939</c:v>
                </c:pt>
                <c:pt idx="3">
                  <c:v>735</c:v>
                </c:pt>
                <c:pt idx="4">
                  <c:v>42</c:v>
                </c:pt>
                <c:pt idx="5">
                  <c:v>477</c:v>
                </c:pt>
                <c:pt idx="6">
                  <c:v>1659</c:v>
                </c:pt>
              </c:numCache>
            </c:numRef>
          </c:val>
        </c:ser>
        <c:ser>
          <c:idx val="13"/>
          <c:order val="13"/>
          <c:tx>
            <c:strRef>
              <c:f>'Sales by LGA'!$P$29</c:f>
              <c:strCache>
                <c:ptCount val="1"/>
                <c:pt idx="0">
                  <c:v>Jun-16</c:v>
                </c:pt>
              </c:strCache>
            </c:strRef>
          </c:tx>
          <c:invertIfNegative val="0"/>
          <c:dLbls>
            <c:spPr>
              <a:noFill/>
              <a:ln>
                <a:noFill/>
              </a:ln>
              <a:effectLst/>
            </c:spPr>
            <c:txPr>
              <a:bodyPr rot="-5400000" vert="horz" wrap="square" lIns="38100" tIns="19050" rIns="38100" bIns="19050" anchor="ctr">
                <a:spAutoFit/>
              </a:bodyPr>
              <a:lstStyle/>
              <a:p>
                <a:pPr>
                  <a:defRPr sz="8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'Sales by LGA'!$B$30:$B$36</c:f>
              <c:strCache>
                <c:ptCount val="7"/>
                <c:pt idx="0">
                  <c:v>Cardinia</c:v>
                </c:pt>
                <c:pt idx="1">
                  <c:v>Casey</c:v>
                </c:pt>
                <c:pt idx="2">
                  <c:v>Hume</c:v>
                </c:pt>
                <c:pt idx="3">
                  <c:v>Melton</c:v>
                </c:pt>
                <c:pt idx="4">
                  <c:v>Mitchell</c:v>
                </c:pt>
                <c:pt idx="5">
                  <c:v>Whittlesea</c:v>
                </c:pt>
                <c:pt idx="6">
                  <c:v>Wyndham</c:v>
                </c:pt>
              </c:strCache>
            </c:strRef>
          </c:cat>
          <c:val>
            <c:numRef>
              <c:f>'Sales by LGA'!$P$30:$P$36</c:f>
              <c:numCache>
                <c:formatCode>_-* #,##0_-;\-* #,##0_-;_-* "-"??_-;_-@_-</c:formatCode>
                <c:ptCount val="7"/>
                <c:pt idx="0">
                  <c:v>503</c:v>
                </c:pt>
                <c:pt idx="1">
                  <c:v>1058.0000000000002</c:v>
                </c:pt>
                <c:pt idx="2">
                  <c:v>943.00000000000023</c:v>
                </c:pt>
                <c:pt idx="3">
                  <c:v>1090</c:v>
                </c:pt>
                <c:pt idx="4">
                  <c:v>97</c:v>
                </c:pt>
                <c:pt idx="5">
                  <c:v>641</c:v>
                </c:pt>
                <c:pt idx="6">
                  <c:v>1866.9999999999998</c:v>
                </c:pt>
              </c:numCache>
            </c:numRef>
          </c:val>
        </c:ser>
        <c:dLbls>
          <c:showLegendKey val="0"/>
          <c:showVal val="0"/>
          <c:showCatName val="0"/>
          <c:showSerName val="0"/>
          <c:showPercent val="0"/>
          <c:showBubbleSize val="0"/>
        </c:dLbls>
        <c:gapWidth val="150"/>
        <c:axId val="610504352"/>
        <c:axId val="610504912"/>
      </c:barChart>
      <c:catAx>
        <c:axId val="610504352"/>
        <c:scaling>
          <c:orientation val="minMax"/>
        </c:scaling>
        <c:delete val="0"/>
        <c:axPos val="b"/>
        <c:numFmt formatCode="General" sourceLinked="1"/>
        <c:majorTickMark val="out"/>
        <c:minorTickMark val="none"/>
        <c:tickLblPos val="nextTo"/>
        <c:crossAx val="610504912"/>
        <c:crosses val="autoZero"/>
        <c:auto val="1"/>
        <c:lblAlgn val="ctr"/>
        <c:lblOffset val="100"/>
        <c:noMultiLvlLbl val="0"/>
      </c:catAx>
      <c:valAx>
        <c:axId val="610504912"/>
        <c:scaling>
          <c:orientation val="minMax"/>
          <c:max val="2100"/>
          <c:min val="0"/>
        </c:scaling>
        <c:delete val="0"/>
        <c:axPos val="l"/>
        <c:majorGridlines/>
        <c:title>
          <c:tx>
            <c:rich>
              <a:bodyPr rot="-5400000" vert="horz"/>
              <a:lstStyle/>
              <a:p>
                <a:pPr>
                  <a:defRPr sz="800"/>
                </a:pPr>
                <a:r>
                  <a:rPr lang="en-AU" sz="800"/>
                  <a:t>Lot Sales</a:t>
                </a:r>
              </a:p>
            </c:rich>
          </c:tx>
          <c:overlay val="0"/>
        </c:title>
        <c:numFmt formatCode="#,##0" sourceLinked="0"/>
        <c:majorTickMark val="out"/>
        <c:minorTickMark val="none"/>
        <c:tickLblPos val="nextTo"/>
        <c:txPr>
          <a:bodyPr/>
          <a:lstStyle/>
          <a:p>
            <a:pPr>
              <a:defRPr sz="900"/>
            </a:pPr>
            <a:endParaRPr lang="en-US"/>
          </a:p>
        </c:txPr>
        <c:crossAx val="610504352"/>
        <c:crosses val="autoZero"/>
        <c:crossBetween val="between"/>
      </c:valAx>
      <c:spPr>
        <a:solidFill>
          <a:schemeClr val="bg1">
            <a:lumMod val="95000"/>
          </a:schemeClr>
        </a:solidFill>
      </c:spPr>
    </c:plotArea>
    <c:legend>
      <c:legendPos val="r"/>
      <c:layout>
        <c:manualLayout>
          <c:xMode val="edge"/>
          <c:yMode val="edge"/>
          <c:x val="0.37942111208897744"/>
          <c:y val="1.8948785247997903E-2"/>
          <c:w val="0.62057888791102245"/>
          <c:h val="0.11817315255719042"/>
        </c:manualLayout>
      </c:layout>
      <c:overlay val="0"/>
      <c:txPr>
        <a:bodyPr/>
        <a:lstStyle/>
        <a:p>
          <a:pPr>
            <a:defRPr sz="800"/>
          </a:pPr>
          <a:endParaRPr lang="en-US"/>
        </a:p>
      </c:txPr>
    </c:legend>
    <c:plotVisOnly val="1"/>
    <c:dispBlanksAs val="gap"/>
    <c:showDLblsOverMax val="0"/>
  </c:chart>
  <c:spPr>
    <a:solidFill>
      <a:schemeClr val="bg1"/>
    </a:solidFill>
    <a:ln>
      <a:noFill/>
    </a:ln>
  </c:sp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l" defTabSz="914400" rtl="0" eaLnBrk="1" fontAlgn="auto" latinLnBrk="0" hangingPunct="1">
              <a:lnSpc>
                <a:spcPct val="100000"/>
              </a:lnSpc>
              <a:spcBef>
                <a:spcPts val="0"/>
              </a:spcBef>
              <a:spcAft>
                <a:spcPts val="0"/>
              </a:spcAft>
              <a:buClrTx/>
              <a:buSzTx/>
              <a:buFontTx/>
              <a:buNone/>
              <a:tabLst/>
              <a:defRPr sz="1800" b="0" i="0" u="none" strike="noStrike" kern="1200" baseline="0">
                <a:solidFill>
                  <a:sysClr val="windowText" lastClr="000000"/>
                </a:solidFill>
                <a:latin typeface="+mn-lt"/>
                <a:ea typeface="+mn-ea"/>
                <a:cs typeface="+mn-cs"/>
              </a:defRPr>
            </a:pPr>
            <a:r>
              <a:rPr lang="en-AU" sz="1200" b="0"/>
              <a:t>Greenfield</a:t>
            </a:r>
            <a:r>
              <a:rPr lang="en-AU" sz="1200" b="0" baseline="0"/>
              <a:t> </a:t>
            </a:r>
            <a:r>
              <a:rPr lang="en-AU" sz="1200" b="0"/>
              <a:t>Lots</a:t>
            </a:r>
            <a:r>
              <a:rPr lang="en-AU" sz="1200" b="0" baseline="0"/>
              <a:t> Sales </a:t>
            </a:r>
          </a:p>
          <a:p>
            <a:pPr marL="0" marR="0" indent="0" algn="l" defTabSz="914400" rtl="0" eaLnBrk="1" fontAlgn="auto" latinLnBrk="0" hangingPunct="1">
              <a:lnSpc>
                <a:spcPct val="100000"/>
              </a:lnSpc>
              <a:spcBef>
                <a:spcPts val="0"/>
              </a:spcBef>
              <a:spcAft>
                <a:spcPts val="0"/>
              </a:spcAft>
              <a:buClrTx/>
              <a:buSzTx/>
              <a:buFontTx/>
              <a:buNone/>
              <a:tabLst/>
              <a:defRPr sz="1800" b="0" i="0" u="none" strike="noStrike" kern="1200" baseline="0">
                <a:solidFill>
                  <a:sysClr val="windowText" lastClr="000000"/>
                </a:solidFill>
                <a:latin typeface="+mn-lt"/>
                <a:ea typeface="+mn-ea"/>
                <a:cs typeface="+mn-cs"/>
              </a:defRPr>
            </a:pPr>
            <a:r>
              <a:rPr lang="en-AU" sz="600" b="0" i="0" baseline="0"/>
              <a:t>Source: MPA analysis of CKC Research 4 National Land Survey Program</a:t>
            </a:r>
            <a:endParaRPr lang="en-AU" sz="600" b="0"/>
          </a:p>
        </c:rich>
      </c:tx>
      <c:layout>
        <c:manualLayout>
          <c:xMode val="edge"/>
          <c:yMode val="edge"/>
          <c:x val="1.2271856054444988E-3"/>
          <c:y val="0"/>
        </c:manualLayout>
      </c:layout>
      <c:overlay val="1"/>
    </c:title>
    <c:autoTitleDeleted val="0"/>
    <c:plotArea>
      <c:layout>
        <c:manualLayout>
          <c:layoutTarget val="inner"/>
          <c:xMode val="edge"/>
          <c:yMode val="edge"/>
          <c:x val="9.2890360490298182E-2"/>
          <c:y val="0.20839738851963951"/>
          <c:w val="0.8914257461011883"/>
          <c:h val="0.62640192334696243"/>
        </c:manualLayout>
      </c:layout>
      <c:lineChart>
        <c:grouping val="standard"/>
        <c:varyColors val="0"/>
        <c:ser>
          <c:idx val="0"/>
          <c:order val="0"/>
          <c:tx>
            <c:strRef>
              <c:f>'CKC Sales Figures'!$A$2</c:f>
              <c:strCache>
                <c:ptCount val="1"/>
                <c:pt idx="0">
                  <c:v>Sydney/ Wollongong/ Newcastle</c:v>
                </c:pt>
              </c:strCache>
            </c:strRef>
          </c:tx>
          <c:marker>
            <c:symbol val="none"/>
          </c:marker>
          <c:cat>
            <c:numRef>
              <c:f>'CKC Sales Figures'!$B$1:$AE$1</c:f>
              <c:numCache>
                <c:formatCode>mmm\-yy</c:formatCode>
                <c:ptCount val="30"/>
                <c:pt idx="0">
                  <c:v>39873</c:v>
                </c:pt>
                <c:pt idx="1">
                  <c:v>39965</c:v>
                </c:pt>
                <c:pt idx="2">
                  <c:v>40057</c:v>
                </c:pt>
                <c:pt idx="3">
                  <c:v>40148</c:v>
                </c:pt>
                <c:pt idx="4">
                  <c:v>40238</c:v>
                </c:pt>
                <c:pt idx="5">
                  <c:v>40330</c:v>
                </c:pt>
                <c:pt idx="6">
                  <c:v>40422</c:v>
                </c:pt>
                <c:pt idx="7">
                  <c:v>40513</c:v>
                </c:pt>
                <c:pt idx="8">
                  <c:v>40603</c:v>
                </c:pt>
                <c:pt idx="9">
                  <c:v>40695</c:v>
                </c:pt>
                <c:pt idx="10">
                  <c:v>40787</c:v>
                </c:pt>
                <c:pt idx="11">
                  <c:v>40878</c:v>
                </c:pt>
                <c:pt idx="12">
                  <c:v>40969</c:v>
                </c:pt>
                <c:pt idx="13">
                  <c:v>41061</c:v>
                </c:pt>
                <c:pt idx="14">
                  <c:v>41153</c:v>
                </c:pt>
                <c:pt idx="15">
                  <c:v>41244</c:v>
                </c:pt>
                <c:pt idx="16">
                  <c:v>41334</c:v>
                </c:pt>
                <c:pt idx="17">
                  <c:v>41426</c:v>
                </c:pt>
                <c:pt idx="18">
                  <c:v>41518</c:v>
                </c:pt>
                <c:pt idx="19">
                  <c:v>41609</c:v>
                </c:pt>
                <c:pt idx="20">
                  <c:v>41699</c:v>
                </c:pt>
                <c:pt idx="21">
                  <c:v>41791</c:v>
                </c:pt>
                <c:pt idx="22">
                  <c:v>41883</c:v>
                </c:pt>
                <c:pt idx="23">
                  <c:v>41974</c:v>
                </c:pt>
                <c:pt idx="24">
                  <c:v>42064</c:v>
                </c:pt>
                <c:pt idx="25">
                  <c:v>42156</c:v>
                </c:pt>
                <c:pt idx="26">
                  <c:v>42248</c:v>
                </c:pt>
                <c:pt idx="27">
                  <c:v>42339</c:v>
                </c:pt>
                <c:pt idx="28">
                  <c:v>42430</c:v>
                </c:pt>
                <c:pt idx="29">
                  <c:v>42522</c:v>
                </c:pt>
              </c:numCache>
            </c:numRef>
          </c:cat>
          <c:val>
            <c:numRef>
              <c:f>'CKC Sales Figures'!$B$2:$AE$2</c:f>
              <c:numCache>
                <c:formatCode>General</c:formatCode>
                <c:ptCount val="30"/>
                <c:pt idx="0">
                  <c:v>750</c:v>
                </c:pt>
                <c:pt idx="1">
                  <c:v>696</c:v>
                </c:pt>
                <c:pt idx="2">
                  <c:v>894</c:v>
                </c:pt>
                <c:pt idx="3">
                  <c:v>768</c:v>
                </c:pt>
                <c:pt idx="4">
                  <c:v>1143</c:v>
                </c:pt>
                <c:pt idx="5">
                  <c:v>1239</c:v>
                </c:pt>
                <c:pt idx="6">
                  <c:v>1074</c:v>
                </c:pt>
                <c:pt idx="7">
                  <c:v>1089</c:v>
                </c:pt>
                <c:pt idx="8">
                  <c:v>1311</c:v>
                </c:pt>
                <c:pt idx="9">
                  <c:v>1176</c:v>
                </c:pt>
                <c:pt idx="10">
                  <c:v>1053</c:v>
                </c:pt>
                <c:pt idx="11">
                  <c:v>1455</c:v>
                </c:pt>
                <c:pt idx="12">
                  <c:v>1416</c:v>
                </c:pt>
                <c:pt idx="13">
                  <c:v>1512</c:v>
                </c:pt>
                <c:pt idx="14">
                  <c:v>1539</c:v>
                </c:pt>
                <c:pt idx="15">
                  <c:v>1548</c:v>
                </c:pt>
                <c:pt idx="16">
                  <c:v>2028</c:v>
                </c:pt>
                <c:pt idx="17">
                  <c:v>2391</c:v>
                </c:pt>
                <c:pt idx="18">
                  <c:v>2565</c:v>
                </c:pt>
                <c:pt idx="19">
                  <c:v>2856</c:v>
                </c:pt>
                <c:pt idx="20">
                  <c:v>2652</c:v>
                </c:pt>
                <c:pt idx="21">
                  <c:v>2778</c:v>
                </c:pt>
                <c:pt idx="22">
                  <c:v>2859</c:v>
                </c:pt>
                <c:pt idx="23">
                  <c:v>2568</c:v>
                </c:pt>
                <c:pt idx="24">
                  <c:v>2154</c:v>
                </c:pt>
                <c:pt idx="25">
                  <c:v>2829</c:v>
                </c:pt>
                <c:pt idx="26">
                  <c:v>2592</c:v>
                </c:pt>
                <c:pt idx="27">
                  <c:v>2109</c:v>
                </c:pt>
                <c:pt idx="28">
                  <c:v>2151</c:v>
                </c:pt>
                <c:pt idx="29">
                  <c:v>2928</c:v>
                </c:pt>
              </c:numCache>
            </c:numRef>
          </c:val>
          <c:smooth val="0"/>
        </c:ser>
        <c:ser>
          <c:idx val="1"/>
          <c:order val="1"/>
          <c:tx>
            <c:strRef>
              <c:f>'CKC Sales Figures'!$A$3</c:f>
              <c:strCache>
                <c:ptCount val="1"/>
                <c:pt idx="0">
                  <c:v>Brisbane/ Sunshine Coast/ Gold Coast</c:v>
                </c:pt>
              </c:strCache>
            </c:strRef>
          </c:tx>
          <c:marker>
            <c:symbol val="none"/>
          </c:marker>
          <c:cat>
            <c:numRef>
              <c:f>'CKC Sales Figures'!$B$1:$AE$1</c:f>
              <c:numCache>
                <c:formatCode>mmm\-yy</c:formatCode>
                <c:ptCount val="30"/>
                <c:pt idx="0">
                  <c:v>39873</c:v>
                </c:pt>
                <c:pt idx="1">
                  <c:v>39965</c:v>
                </c:pt>
                <c:pt idx="2">
                  <c:v>40057</c:v>
                </c:pt>
                <c:pt idx="3">
                  <c:v>40148</c:v>
                </c:pt>
                <c:pt idx="4">
                  <c:v>40238</c:v>
                </c:pt>
                <c:pt idx="5">
                  <c:v>40330</c:v>
                </c:pt>
                <c:pt idx="6">
                  <c:v>40422</c:v>
                </c:pt>
                <c:pt idx="7">
                  <c:v>40513</c:v>
                </c:pt>
                <c:pt idx="8">
                  <c:v>40603</c:v>
                </c:pt>
                <c:pt idx="9">
                  <c:v>40695</c:v>
                </c:pt>
                <c:pt idx="10">
                  <c:v>40787</c:v>
                </c:pt>
                <c:pt idx="11">
                  <c:v>40878</c:v>
                </c:pt>
                <c:pt idx="12">
                  <c:v>40969</c:v>
                </c:pt>
                <c:pt idx="13">
                  <c:v>41061</c:v>
                </c:pt>
                <c:pt idx="14">
                  <c:v>41153</c:v>
                </c:pt>
                <c:pt idx="15">
                  <c:v>41244</c:v>
                </c:pt>
                <c:pt idx="16">
                  <c:v>41334</c:v>
                </c:pt>
                <c:pt idx="17">
                  <c:v>41426</c:v>
                </c:pt>
                <c:pt idx="18">
                  <c:v>41518</c:v>
                </c:pt>
                <c:pt idx="19">
                  <c:v>41609</c:v>
                </c:pt>
                <c:pt idx="20">
                  <c:v>41699</c:v>
                </c:pt>
                <c:pt idx="21">
                  <c:v>41791</c:v>
                </c:pt>
                <c:pt idx="22">
                  <c:v>41883</c:v>
                </c:pt>
                <c:pt idx="23">
                  <c:v>41974</c:v>
                </c:pt>
                <c:pt idx="24">
                  <c:v>42064</c:v>
                </c:pt>
                <c:pt idx="25">
                  <c:v>42156</c:v>
                </c:pt>
                <c:pt idx="26">
                  <c:v>42248</c:v>
                </c:pt>
                <c:pt idx="27">
                  <c:v>42339</c:v>
                </c:pt>
                <c:pt idx="28">
                  <c:v>42430</c:v>
                </c:pt>
                <c:pt idx="29">
                  <c:v>42522</c:v>
                </c:pt>
              </c:numCache>
            </c:numRef>
          </c:cat>
          <c:val>
            <c:numRef>
              <c:f>'CKC Sales Figures'!$B$3:$AE$3</c:f>
              <c:numCache>
                <c:formatCode>General</c:formatCode>
                <c:ptCount val="30"/>
                <c:pt idx="0">
                  <c:v>936</c:v>
                </c:pt>
                <c:pt idx="1">
                  <c:v>1290</c:v>
                </c:pt>
                <c:pt idx="2">
                  <c:v>1680</c:v>
                </c:pt>
                <c:pt idx="3">
                  <c:v>1326</c:v>
                </c:pt>
                <c:pt idx="4">
                  <c:v>1437</c:v>
                </c:pt>
                <c:pt idx="5">
                  <c:v>1695</c:v>
                </c:pt>
                <c:pt idx="6">
                  <c:v>1410</c:v>
                </c:pt>
                <c:pt idx="7">
                  <c:v>1077</c:v>
                </c:pt>
                <c:pt idx="8">
                  <c:v>882</c:v>
                </c:pt>
                <c:pt idx="9">
                  <c:v>864</c:v>
                </c:pt>
                <c:pt idx="10">
                  <c:v>1107</c:v>
                </c:pt>
                <c:pt idx="11">
                  <c:v>1254</c:v>
                </c:pt>
                <c:pt idx="12">
                  <c:v>1161</c:v>
                </c:pt>
                <c:pt idx="13">
                  <c:v>1110</c:v>
                </c:pt>
                <c:pt idx="14">
                  <c:v>1173</c:v>
                </c:pt>
                <c:pt idx="15">
                  <c:v>1278</c:v>
                </c:pt>
                <c:pt idx="16">
                  <c:v>1521</c:v>
                </c:pt>
                <c:pt idx="17">
                  <c:v>1707</c:v>
                </c:pt>
                <c:pt idx="18">
                  <c:v>2313</c:v>
                </c:pt>
                <c:pt idx="19">
                  <c:v>2259</c:v>
                </c:pt>
                <c:pt idx="20">
                  <c:v>2772</c:v>
                </c:pt>
                <c:pt idx="21">
                  <c:v>2745</c:v>
                </c:pt>
                <c:pt idx="22">
                  <c:v>3075</c:v>
                </c:pt>
                <c:pt idx="23">
                  <c:v>2613</c:v>
                </c:pt>
                <c:pt idx="24">
                  <c:v>2811</c:v>
                </c:pt>
                <c:pt idx="25">
                  <c:v>2754</c:v>
                </c:pt>
                <c:pt idx="26">
                  <c:v>2739</c:v>
                </c:pt>
                <c:pt idx="27">
                  <c:v>2232</c:v>
                </c:pt>
                <c:pt idx="28">
                  <c:v>2817</c:v>
                </c:pt>
                <c:pt idx="29">
                  <c:v>2706</c:v>
                </c:pt>
              </c:numCache>
            </c:numRef>
          </c:val>
          <c:smooth val="0"/>
        </c:ser>
        <c:ser>
          <c:idx val="2"/>
          <c:order val="2"/>
          <c:tx>
            <c:strRef>
              <c:f>'CKC Sales Figures'!$A$4</c:f>
              <c:strCache>
                <c:ptCount val="1"/>
                <c:pt idx="0">
                  <c:v>Perth</c:v>
                </c:pt>
              </c:strCache>
            </c:strRef>
          </c:tx>
          <c:marker>
            <c:symbol val="none"/>
          </c:marker>
          <c:cat>
            <c:numRef>
              <c:f>'CKC Sales Figures'!$B$1:$AE$1</c:f>
              <c:numCache>
                <c:formatCode>mmm\-yy</c:formatCode>
                <c:ptCount val="30"/>
                <c:pt idx="0">
                  <c:v>39873</c:v>
                </c:pt>
                <c:pt idx="1">
                  <c:v>39965</c:v>
                </c:pt>
                <c:pt idx="2">
                  <c:v>40057</c:v>
                </c:pt>
                <c:pt idx="3">
                  <c:v>40148</c:v>
                </c:pt>
                <c:pt idx="4">
                  <c:v>40238</c:v>
                </c:pt>
                <c:pt idx="5">
                  <c:v>40330</c:v>
                </c:pt>
                <c:pt idx="6">
                  <c:v>40422</c:v>
                </c:pt>
                <c:pt idx="7">
                  <c:v>40513</c:v>
                </c:pt>
                <c:pt idx="8">
                  <c:v>40603</c:v>
                </c:pt>
                <c:pt idx="9">
                  <c:v>40695</c:v>
                </c:pt>
                <c:pt idx="10">
                  <c:v>40787</c:v>
                </c:pt>
                <c:pt idx="11">
                  <c:v>40878</c:v>
                </c:pt>
                <c:pt idx="12">
                  <c:v>40969</c:v>
                </c:pt>
                <c:pt idx="13">
                  <c:v>41061</c:v>
                </c:pt>
                <c:pt idx="14">
                  <c:v>41153</c:v>
                </c:pt>
                <c:pt idx="15">
                  <c:v>41244</c:v>
                </c:pt>
                <c:pt idx="16">
                  <c:v>41334</c:v>
                </c:pt>
                <c:pt idx="17">
                  <c:v>41426</c:v>
                </c:pt>
                <c:pt idx="18">
                  <c:v>41518</c:v>
                </c:pt>
                <c:pt idx="19">
                  <c:v>41609</c:v>
                </c:pt>
                <c:pt idx="20">
                  <c:v>41699</c:v>
                </c:pt>
                <c:pt idx="21">
                  <c:v>41791</c:v>
                </c:pt>
                <c:pt idx="22">
                  <c:v>41883</c:v>
                </c:pt>
                <c:pt idx="23">
                  <c:v>41974</c:v>
                </c:pt>
                <c:pt idx="24">
                  <c:v>42064</c:v>
                </c:pt>
                <c:pt idx="25">
                  <c:v>42156</c:v>
                </c:pt>
                <c:pt idx="26">
                  <c:v>42248</c:v>
                </c:pt>
                <c:pt idx="27">
                  <c:v>42339</c:v>
                </c:pt>
                <c:pt idx="28">
                  <c:v>42430</c:v>
                </c:pt>
                <c:pt idx="29">
                  <c:v>42522</c:v>
                </c:pt>
              </c:numCache>
            </c:numRef>
          </c:cat>
          <c:val>
            <c:numRef>
              <c:f>'CKC Sales Figures'!$B$4:$AE$4</c:f>
              <c:numCache>
                <c:formatCode>General</c:formatCode>
                <c:ptCount val="30"/>
                <c:pt idx="0">
                  <c:v>1476</c:v>
                </c:pt>
                <c:pt idx="1">
                  <c:v>1413</c:v>
                </c:pt>
                <c:pt idx="2">
                  <c:v>1941</c:v>
                </c:pt>
                <c:pt idx="3">
                  <c:v>1479</c:v>
                </c:pt>
                <c:pt idx="4">
                  <c:v>2070</c:v>
                </c:pt>
                <c:pt idx="5">
                  <c:v>2214</c:v>
                </c:pt>
                <c:pt idx="6">
                  <c:v>1350</c:v>
                </c:pt>
                <c:pt idx="7">
                  <c:v>1389</c:v>
                </c:pt>
                <c:pt idx="8">
                  <c:v>1329</c:v>
                </c:pt>
                <c:pt idx="9">
                  <c:v>1239</c:v>
                </c:pt>
                <c:pt idx="10">
                  <c:v>1386</c:v>
                </c:pt>
                <c:pt idx="11">
                  <c:v>1467</c:v>
                </c:pt>
                <c:pt idx="12">
                  <c:v>1869</c:v>
                </c:pt>
                <c:pt idx="13">
                  <c:v>2154</c:v>
                </c:pt>
                <c:pt idx="14">
                  <c:v>2766</c:v>
                </c:pt>
                <c:pt idx="15">
                  <c:v>2634</c:v>
                </c:pt>
                <c:pt idx="16">
                  <c:v>3594</c:v>
                </c:pt>
                <c:pt idx="17">
                  <c:v>3720</c:v>
                </c:pt>
                <c:pt idx="18">
                  <c:v>3258</c:v>
                </c:pt>
                <c:pt idx="19">
                  <c:v>3117</c:v>
                </c:pt>
                <c:pt idx="20">
                  <c:v>3129</c:v>
                </c:pt>
                <c:pt idx="21">
                  <c:v>2994</c:v>
                </c:pt>
                <c:pt idx="22">
                  <c:v>3150</c:v>
                </c:pt>
                <c:pt idx="23">
                  <c:v>2748</c:v>
                </c:pt>
                <c:pt idx="24">
                  <c:v>2904</c:v>
                </c:pt>
                <c:pt idx="25">
                  <c:v>1887</c:v>
                </c:pt>
                <c:pt idx="26">
                  <c:v>2172</c:v>
                </c:pt>
                <c:pt idx="27">
                  <c:v>1278</c:v>
                </c:pt>
                <c:pt idx="28">
                  <c:v>1668</c:v>
                </c:pt>
                <c:pt idx="29">
                  <c:v>1584</c:v>
                </c:pt>
              </c:numCache>
            </c:numRef>
          </c:val>
          <c:smooth val="0"/>
        </c:ser>
        <c:ser>
          <c:idx val="3"/>
          <c:order val="3"/>
          <c:tx>
            <c:strRef>
              <c:f>'CKC Sales Figures'!$A$5</c:f>
              <c:strCache>
                <c:ptCount val="1"/>
                <c:pt idx="0">
                  <c:v>Adelaide</c:v>
                </c:pt>
              </c:strCache>
            </c:strRef>
          </c:tx>
          <c:marker>
            <c:symbol val="none"/>
          </c:marker>
          <c:cat>
            <c:numRef>
              <c:f>'CKC Sales Figures'!$B$1:$AE$1</c:f>
              <c:numCache>
                <c:formatCode>mmm\-yy</c:formatCode>
                <c:ptCount val="30"/>
                <c:pt idx="0">
                  <c:v>39873</c:v>
                </c:pt>
                <c:pt idx="1">
                  <c:v>39965</c:v>
                </c:pt>
                <c:pt idx="2">
                  <c:v>40057</c:v>
                </c:pt>
                <c:pt idx="3">
                  <c:v>40148</c:v>
                </c:pt>
                <c:pt idx="4">
                  <c:v>40238</c:v>
                </c:pt>
                <c:pt idx="5">
                  <c:v>40330</c:v>
                </c:pt>
                <c:pt idx="6">
                  <c:v>40422</c:v>
                </c:pt>
                <c:pt idx="7">
                  <c:v>40513</c:v>
                </c:pt>
                <c:pt idx="8">
                  <c:v>40603</c:v>
                </c:pt>
                <c:pt idx="9">
                  <c:v>40695</c:v>
                </c:pt>
                <c:pt idx="10">
                  <c:v>40787</c:v>
                </c:pt>
                <c:pt idx="11">
                  <c:v>40878</c:v>
                </c:pt>
                <c:pt idx="12">
                  <c:v>40969</c:v>
                </c:pt>
                <c:pt idx="13">
                  <c:v>41061</c:v>
                </c:pt>
                <c:pt idx="14">
                  <c:v>41153</c:v>
                </c:pt>
                <c:pt idx="15">
                  <c:v>41244</c:v>
                </c:pt>
                <c:pt idx="16">
                  <c:v>41334</c:v>
                </c:pt>
                <c:pt idx="17">
                  <c:v>41426</c:v>
                </c:pt>
                <c:pt idx="18">
                  <c:v>41518</c:v>
                </c:pt>
                <c:pt idx="19">
                  <c:v>41609</c:v>
                </c:pt>
                <c:pt idx="20">
                  <c:v>41699</c:v>
                </c:pt>
                <c:pt idx="21">
                  <c:v>41791</c:v>
                </c:pt>
                <c:pt idx="22">
                  <c:v>41883</c:v>
                </c:pt>
                <c:pt idx="23">
                  <c:v>41974</c:v>
                </c:pt>
                <c:pt idx="24">
                  <c:v>42064</c:v>
                </c:pt>
                <c:pt idx="25">
                  <c:v>42156</c:v>
                </c:pt>
                <c:pt idx="26">
                  <c:v>42248</c:v>
                </c:pt>
                <c:pt idx="27">
                  <c:v>42339</c:v>
                </c:pt>
                <c:pt idx="28">
                  <c:v>42430</c:v>
                </c:pt>
                <c:pt idx="29">
                  <c:v>42522</c:v>
                </c:pt>
              </c:numCache>
            </c:numRef>
          </c:cat>
          <c:val>
            <c:numRef>
              <c:f>'CKC Sales Figures'!$B$5:$AE$5</c:f>
              <c:numCache>
                <c:formatCode>General</c:formatCode>
                <c:ptCount val="30"/>
                <c:pt idx="0">
                  <c:v>354</c:v>
                </c:pt>
                <c:pt idx="1">
                  <c:v>399</c:v>
                </c:pt>
                <c:pt idx="2">
                  <c:v>585</c:v>
                </c:pt>
                <c:pt idx="3">
                  <c:v>420</c:v>
                </c:pt>
                <c:pt idx="4">
                  <c:v>621</c:v>
                </c:pt>
                <c:pt idx="5">
                  <c:v>738</c:v>
                </c:pt>
                <c:pt idx="6">
                  <c:v>570</c:v>
                </c:pt>
                <c:pt idx="7">
                  <c:v>336</c:v>
                </c:pt>
                <c:pt idx="8">
                  <c:v>498</c:v>
                </c:pt>
                <c:pt idx="9">
                  <c:v>378</c:v>
                </c:pt>
                <c:pt idx="10">
                  <c:v>303</c:v>
                </c:pt>
                <c:pt idx="11">
                  <c:v>258</c:v>
                </c:pt>
                <c:pt idx="12">
                  <c:v>345</c:v>
                </c:pt>
                <c:pt idx="13">
                  <c:v>447</c:v>
                </c:pt>
                <c:pt idx="14">
                  <c:v>390</c:v>
                </c:pt>
                <c:pt idx="15">
                  <c:v>438</c:v>
                </c:pt>
                <c:pt idx="16">
                  <c:v>630</c:v>
                </c:pt>
                <c:pt idx="17">
                  <c:v>720</c:v>
                </c:pt>
                <c:pt idx="18">
                  <c:v>555</c:v>
                </c:pt>
                <c:pt idx="19">
                  <c:v>630</c:v>
                </c:pt>
                <c:pt idx="20">
                  <c:v>558</c:v>
                </c:pt>
                <c:pt idx="21">
                  <c:v>480</c:v>
                </c:pt>
                <c:pt idx="22">
                  <c:v>480</c:v>
                </c:pt>
                <c:pt idx="23">
                  <c:v>480</c:v>
                </c:pt>
                <c:pt idx="24">
                  <c:v>543</c:v>
                </c:pt>
                <c:pt idx="25">
                  <c:v>540</c:v>
                </c:pt>
                <c:pt idx="26">
                  <c:v>633</c:v>
                </c:pt>
                <c:pt idx="27">
                  <c:v>507</c:v>
                </c:pt>
                <c:pt idx="28">
                  <c:v>486</c:v>
                </c:pt>
                <c:pt idx="29">
                  <c:v>345</c:v>
                </c:pt>
              </c:numCache>
            </c:numRef>
          </c:val>
          <c:smooth val="0"/>
        </c:ser>
        <c:ser>
          <c:idx val="4"/>
          <c:order val="4"/>
          <c:tx>
            <c:strRef>
              <c:f>'CKC Sales Figures'!$A$6</c:f>
              <c:strCache>
                <c:ptCount val="1"/>
                <c:pt idx="0">
                  <c:v>Canberra</c:v>
                </c:pt>
              </c:strCache>
            </c:strRef>
          </c:tx>
          <c:marker>
            <c:symbol val="none"/>
          </c:marker>
          <c:cat>
            <c:numRef>
              <c:f>'CKC Sales Figures'!$B$1:$AE$1</c:f>
              <c:numCache>
                <c:formatCode>mmm\-yy</c:formatCode>
                <c:ptCount val="30"/>
                <c:pt idx="0">
                  <c:v>39873</c:v>
                </c:pt>
                <c:pt idx="1">
                  <c:v>39965</c:v>
                </c:pt>
                <c:pt idx="2">
                  <c:v>40057</c:v>
                </c:pt>
                <c:pt idx="3">
                  <c:v>40148</c:v>
                </c:pt>
                <c:pt idx="4">
                  <c:v>40238</c:v>
                </c:pt>
                <c:pt idx="5">
                  <c:v>40330</c:v>
                </c:pt>
                <c:pt idx="6">
                  <c:v>40422</c:v>
                </c:pt>
                <c:pt idx="7">
                  <c:v>40513</c:v>
                </c:pt>
                <c:pt idx="8">
                  <c:v>40603</c:v>
                </c:pt>
                <c:pt idx="9">
                  <c:v>40695</c:v>
                </c:pt>
                <c:pt idx="10">
                  <c:v>40787</c:v>
                </c:pt>
                <c:pt idx="11">
                  <c:v>40878</c:v>
                </c:pt>
                <c:pt idx="12">
                  <c:v>40969</c:v>
                </c:pt>
                <c:pt idx="13">
                  <c:v>41061</c:v>
                </c:pt>
                <c:pt idx="14">
                  <c:v>41153</c:v>
                </c:pt>
                <c:pt idx="15">
                  <c:v>41244</c:v>
                </c:pt>
                <c:pt idx="16">
                  <c:v>41334</c:v>
                </c:pt>
                <c:pt idx="17">
                  <c:v>41426</c:v>
                </c:pt>
                <c:pt idx="18">
                  <c:v>41518</c:v>
                </c:pt>
                <c:pt idx="19">
                  <c:v>41609</c:v>
                </c:pt>
                <c:pt idx="20">
                  <c:v>41699</c:v>
                </c:pt>
                <c:pt idx="21">
                  <c:v>41791</c:v>
                </c:pt>
                <c:pt idx="22">
                  <c:v>41883</c:v>
                </c:pt>
                <c:pt idx="23">
                  <c:v>41974</c:v>
                </c:pt>
                <c:pt idx="24">
                  <c:v>42064</c:v>
                </c:pt>
                <c:pt idx="25">
                  <c:v>42156</c:v>
                </c:pt>
                <c:pt idx="26">
                  <c:v>42248</c:v>
                </c:pt>
                <c:pt idx="27">
                  <c:v>42339</c:v>
                </c:pt>
                <c:pt idx="28">
                  <c:v>42430</c:v>
                </c:pt>
                <c:pt idx="29">
                  <c:v>42522</c:v>
                </c:pt>
              </c:numCache>
            </c:numRef>
          </c:cat>
          <c:val>
            <c:numRef>
              <c:f>'CKC Sales Figures'!$B$6:$AE$6</c:f>
              <c:numCache>
                <c:formatCode>General</c:formatCode>
                <c:ptCount val="30"/>
                <c:pt idx="0">
                  <c:v>150</c:v>
                </c:pt>
                <c:pt idx="1">
                  <c:v>240</c:v>
                </c:pt>
                <c:pt idx="2">
                  <c:v>315</c:v>
                </c:pt>
                <c:pt idx="3">
                  <c:v>459</c:v>
                </c:pt>
                <c:pt idx="4">
                  <c:v>441</c:v>
                </c:pt>
                <c:pt idx="5">
                  <c:v>873</c:v>
                </c:pt>
                <c:pt idx="6">
                  <c:v>306</c:v>
                </c:pt>
                <c:pt idx="7">
                  <c:v>363</c:v>
                </c:pt>
                <c:pt idx="8">
                  <c:v>231</c:v>
                </c:pt>
                <c:pt idx="9">
                  <c:v>780</c:v>
                </c:pt>
                <c:pt idx="10">
                  <c:v>480</c:v>
                </c:pt>
                <c:pt idx="11">
                  <c:v>279</c:v>
                </c:pt>
                <c:pt idx="12">
                  <c:v>321</c:v>
                </c:pt>
                <c:pt idx="13">
                  <c:v>489</c:v>
                </c:pt>
                <c:pt idx="14">
                  <c:v>279</c:v>
                </c:pt>
                <c:pt idx="15">
                  <c:v>225</c:v>
                </c:pt>
                <c:pt idx="16">
                  <c:v>159</c:v>
                </c:pt>
                <c:pt idx="17">
                  <c:v>411</c:v>
                </c:pt>
                <c:pt idx="18">
                  <c:v>402</c:v>
                </c:pt>
                <c:pt idx="19">
                  <c:v>282</c:v>
                </c:pt>
                <c:pt idx="20">
                  <c:v>366</c:v>
                </c:pt>
                <c:pt idx="21">
                  <c:v>234</c:v>
                </c:pt>
                <c:pt idx="22">
                  <c:v>87</c:v>
                </c:pt>
                <c:pt idx="23">
                  <c:v>447</c:v>
                </c:pt>
                <c:pt idx="24">
                  <c:v>84</c:v>
                </c:pt>
                <c:pt idx="25">
                  <c:v>18</c:v>
                </c:pt>
                <c:pt idx="26">
                  <c:v>219</c:v>
                </c:pt>
                <c:pt idx="27">
                  <c:v>357</c:v>
                </c:pt>
                <c:pt idx="28">
                  <c:v>216</c:v>
                </c:pt>
                <c:pt idx="29">
                  <c:v>297</c:v>
                </c:pt>
              </c:numCache>
            </c:numRef>
          </c:val>
          <c:smooth val="0"/>
        </c:ser>
        <c:ser>
          <c:idx val="5"/>
          <c:order val="5"/>
          <c:tx>
            <c:strRef>
              <c:f>'CKC Sales Figures'!$A$7</c:f>
              <c:strCache>
                <c:ptCount val="1"/>
                <c:pt idx="0">
                  <c:v>Melbourne</c:v>
                </c:pt>
              </c:strCache>
            </c:strRef>
          </c:tx>
          <c:spPr>
            <a:ln w="19050"/>
          </c:spPr>
          <c:cat>
            <c:numRef>
              <c:f>'CKC Sales Figures'!$B$1:$AE$1</c:f>
              <c:numCache>
                <c:formatCode>mmm\-yy</c:formatCode>
                <c:ptCount val="30"/>
                <c:pt idx="0">
                  <c:v>39873</c:v>
                </c:pt>
                <c:pt idx="1">
                  <c:v>39965</c:v>
                </c:pt>
                <c:pt idx="2">
                  <c:v>40057</c:v>
                </c:pt>
                <c:pt idx="3">
                  <c:v>40148</c:v>
                </c:pt>
                <c:pt idx="4">
                  <c:v>40238</c:v>
                </c:pt>
                <c:pt idx="5">
                  <c:v>40330</c:v>
                </c:pt>
                <c:pt idx="6">
                  <c:v>40422</c:v>
                </c:pt>
                <c:pt idx="7">
                  <c:v>40513</c:v>
                </c:pt>
                <c:pt idx="8">
                  <c:v>40603</c:v>
                </c:pt>
                <c:pt idx="9">
                  <c:v>40695</c:v>
                </c:pt>
                <c:pt idx="10">
                  <c:v>40787</c:v>
                </c:pt>
                <c:pt idx="11">
                  <c:v>40878</c:v>
                </c:pt>
                <c:pt idx="12">
                  <c:v>40969</c:v>
                </c:pt>
                <c:pt idx="13">
                  <c:v>41061</c:v>
                </c:pt>
                <c:pt idx="14">
                  <c:v>41153</c:v>
                </c:pt>
                <c:pt idx="15">
                  <c:v>41244</c:v>
                </c:pt>
                <c:pt idx="16">
                  <c:v>41334</c:v>
                </c:pt>
                <c:pt idx="17">
                  <c:v>41426</c:v>
                </c:pt>
                <c:pt idx="18">
                  <c:v>41518</c:v>
                </c:pt>
                <c:pt idx="19">
                  <c:v>41609</c:v>
                </c:pt>
                <c:pt idx="20">
                  <c:v>41699</c:v>
                </c:pt>
                <c:pt idx="21">
                  <c:v>41791</c:v>
                </c:pt>
                <c:pt idx="22">
                  <c:v>41883</c:v>
                </c:pt>
                <c:pt idx="23">
                  <c:v>41974</c:v>
                </c:pt>
                <c:pt idx="24">
                  <c:v>42064</c:v>
                </c:pt>
                <c:pt idx="25">
                  <c:v>42156</c:v>
                </c:pt>
                <c:pt idx="26">
                  <c:v>42248</c:v>
                </c:pt>
                <c:pt idx="27">
                  <c:v>42339</c:v>
                </c:pt>
                <c:pt idx="28">
                  <c:v>42430</c:v>
                </c:pt>
                <c:pt idx="29">
                  <c:v>42522</c:v>
                </c:pt>
              </c:numCache>
            </c:numRef>
          </c:cat>
          <c:val>
            <c:numRef>
              <c:f>'CKC Sales Figures'!$B$7:$AE$7</c:f>
              <c:numCache>
                <c:formatCode>General</c:formatCode>
                <c:ptCount val="30"/>
                <c:pt idx="0">
                  <c:v>2592</c:v>
                </c:pt>
                <c:pt idx="1">
                  <c:v>3711</c:v>
                </c:pt>
                <c:pt idx="2">
                  <c:v>4386</c:v>
                </c:pt>
                <c:pt idx="3">
                  <c:v>2541</c:v>
                </c:pt>
                <c:pt idx="4">
                  <c:v>4257</c:v>
                </c:pt>
                <c:pt idx="5">
                  <c:v>3963</c:v>
                </c:pt>
                <c:pt idx="6">
                  <c:v>3213</c:v>
                </c:pt>
                <c:pt idx="7">
                  <c:v>2688</c:v>
                </c:pt>
                <c:pt idx="8">
                  <c:v>2736</c:v>
                </c:pt>
                <c:pt idx="9">
                  <c:v>2154</c:v>
                </c:pt>
                <c:pt idx="10">
                  <c:v>1758</c:v>
                </c:pt>
                <c:pt idx="11">
                  <c:v>1377</c:v>
                </c:pt>
                <c:pt idx="12">
                  <c:v>1821</c:v>
                </c:pt>
                <c:pt idx="13">
                  <c:v>1830</c:v>
                </c:pt>
                <c:pt idx="14">
                  <c:v>1089</c:v>
                </c:pt>
                <c:pt idx="15">
                  <c:v>1302</c:v>
                </c:pt>
                <c:pt idx="16">
                  <c:v>1419</c:v>
                </c:pt>
                <c:pt idx="17">
                  <c:v>1956</c:v>
                </c:pt>
                <c:pt idx="18">
                  <c:v>2781</c:v>
                </c:pt>
                <c:pt idx="19">
                  <c:v>2652</c:v>
                </c:pt>
                <c:pt idx="20">
                  <c:v>2790</c:v>
                </c:pt>
                <c:pt idx="21">
                  <c:v>3207</c:v>
                </c:pt>
                <c:pt idx="22">
                  <c:v>3240</c:v>
                </c:pt>
                <c:pt idx="23">
                  <c:v>3465</c:v>
                </c:pt>
                <c:pt idx="24">
                  <c:v>3897</c:v>
                </c:pt>
                <c:pt idx="25">
                  <c:v>5136</c:v>
                </c:pt>
                <c:pt idx="26">
                  <c:v>5676</c:v>
                </c:pt>
                <c:pt idx="27">
                  <c:v>4899</c:v>
                </c:pt>
                <c:pt idx="28">
                  <c:v>5418</c:v>
                </c:pt>
                <c:pt idx="29">
                  <c:v>6033</c:v>
                </c:pt>
              </c:numCache>
            </c:numRef>
          </c:val>
          <c:smooth val="0"/>
        </c:ser>
        <c:dLbls>
          <c:showLegendKey val="0"/>
          <c:showVal val="0"/>
          <c:showCatName val="0"/>
          <c:showSerName val="0"/>
          <c:showPercent val="0"/>
          <c:showBubbleSize val="0"/>
        </c:dLbls>
        <c:smooth val="0"/>
        <c:axId val="734827056"/>
        <c:axId val="734827616"/>
      </c:lineChart>
      <c:dateAx>
        <c:axId val="734827056"/>
        <c:scaling>
          <c:orientation val="minMax"/>
        </c:scaling>
        <c:delete val="0"/>
        <c:axPos val="b"/>
        <c:numFmt formatCode="mmm\-yy" sourceLinked="0"/>
        <c:majorTickMark val="out"/>
        <c:minorTickMark val="none"/>
        <c:tickLblPos val="nextTo"/>
        <c:txPr>
          <a:bodyPr rot="5400000" vert="horz"/>
          <a:lstStyle/>
          <a:p>
            <a:pPr>
              <a:defRPr sz="900"/>
            </a:pPr>
            <a:endParaRPr lang="en-US"/>
          </a:p>
        </c:txPr>
        <c:crossAx val="734827616"/>
        <c:crosses val="autoZero"/>
        <c:auto val="1"/>
        <c:lblOffset val="100"/>
        <c:baseTimeUnit val="months"/>
      </c:dateAx>
      <c:valAx>
        <c:axId val="734827616"/>
        <c:scaling>
          <c:orientation val="minMax"/>
        </c:scaling>
        <c:delete val="0"/>
        <c:axPos val="l"/>
        <c:majorGridlines/>
        <c:title>
          <c:tx>
            <c:rich>
              <a:bodyPr rot="-5400000" vert="horz"/>
              <a:lstStyle/>
              <a:p>
                <a:pPr>
                  <a:defRPr sz="800" b="0"/>
                </a:pPr>
                <a:r>
                  <a:rPr lang="en-AU" sz="800" b="0"/>
                  <a:t>Sales</a:t>
                </a:r>
                <a:r>
                  <a:rPr lang="en-AU" sz="800" b="0" baseline="0"/>
                  <a:t> of Lots Per Quarter</a:t>
                </a:r>
                <a:endParaRPr lang="en-AU" sz="800" b="0"/>
              </a:p>
            </c:rich>
          </c:tx>
          <c:overlay val="0"/>
        </c:title>
        <c:numFmt formatCode="#,##0" sourceLinked="0"/>
        <c:majorTickMark val="out"/>
        <c:minorTickMark val="none"/>
        <c:tickLblPos val="nextTo"/>
        <c:crossAx val="734827056"/>
        <c:crosses val="autoZero"/>
        <c:crossBetween val="midCat"/>
      </c:valAx>
      <c:spPr>
        <a:solidFill>
          <a:schemeClr val="bg1">
            <a:lumMod val="95000"/>
          </a:schemeClr>
        </a:solidFill>
      </c:spPr>
    </c:plotArea>
    <c:legend>
      <c:legendPos val="r"/>
      <c:layout>
        <c:manualLayout>
          <c:xMode val="edge"/>
          <c:yMode val="edge"/>
          <c:x val="0.45089580768727"/>
          <c:y val="0"/>
          <c:w val="0.52816069486633765"/>
          <c:h val="0.18993007553445132"/>
        </c:manualLayout>
      </c:layout>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l">
              <a:defRPr/>
            </a:pPr>
            <a:r>
              <a:rPr lang="en-AU" sz="1200" b="0" baseline="0"/>
              <a:t>Stock of Serviced Vacant Lots</a:t>
            </a:r>
          </a:p>
          <a:p>
            <a:pPr algn="l">
              <a:defRPr/>
            </a:pPr>
            <a:r>
              <a:rPr lang="en-AU" sz="800" b="0" baseline="0"/>
              <a:t>Source: MPA analysis of Charter Keck Cramer Research 4 Data</a:t>
            </a:r>
            <a:endParaRPr lang="en-AU" sz="800" b="0"/>
          </a:p>
        </c:rich>
      </c:tx>
      <c:layout>
        <c:manualLayout>
          <c:xMode val="edge"/>
          <c:yMode val="edge"/>
          <c:x val="8.6932648063342858E-4"/>
          <c:y val="0"/>
        </c:manualLayout>
      </c:layout>
      <c:overlay val="0"/>
    </c:title>
    <c:autoTitleDeleted val="0"/>
    <c:plotArea>
      <c:layout>
        <c:manualLayout>
          <c:layoutTarget val="inner"/>
          <c:xMode val="edge"/>
          <c:yMode val="edge"/>
          <c:x val="7.2350637332930012E-2"/>
          <c:y val="0.15571878689988997"/>
          <c:w val="0.91407339693438283"/>
          <c:h val="0.74128980339721684"/>
        </c:manualLayout>
      </c:layout>
      <c:barChart>
        <c:barDir val="col"/>
        <c:grouping val="clustered"/>
        <c:varyColors val="0"/>
        <c:ser>
          <c:idx val="0"/>
          <c:order val="0"/>
          <c:tx>
            <c:strRef>
              <c:f>'Sales by LGA'!$C$29</c:f>
              <c:strCache>
                <c:ptCount val="1"/>
                <c:pt idx="0">
                  <c:v>Mar-13</c:v>
                </c:pt>
              </c:strCache>
            </c:strRef>
          </c:tx>
          <c:spPr>
            <a:ln>
              <a:solidFill>
                <a:schemeClr val="tx1"/>
              </a:solidFill>
            </a:ln>
          </c:spPr>
          <c:invertIfNegative val="0"/>
          <c:dLbls>
            <c:spPr>
              <a:noFill/>
              <a:ln>
                <a:noFill/>
              </a:ln>
              <a:effectLst/>
            </c:spPr>
            <c:txPr>
              <a:bodyPr rot="-5400000" vert="horz"/>
              <a:lstStyle/>
              <a:p>
                <a:pPr>
                  <a:defRPr sz="6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LGA'!$B$42:$B$48</c:f>
              <c:strCache>
                <c:ptCount val="7"/>
                <c:pt idx="0">
                  <c:v>Cardinia</c:v>
                </c:pt>
                <c:pt idx="1">
                  <c:v>Casey</c:v>
                </c:pt>
                <c:pt idx="2">
                  <c:v>Hume</c:v>
                </c:pt>
                <c:pt idx="3">
                  <c:v>Melton</c:v>
                </c:pt>
                <c:pt idx="4">
                  <c:v>Mitchell</c:v>
                </c:pt>
                <c:pt idx="5">
                  <c:v>Whittlesea</c:v>
                </c:pt>
                <c:pt idx="6">
                  <c:v>Wyndham</c:v>
                </c:pt>
              </c:strCache>
            </c:strRef>
          </c:cat>
          <c:val>
            <c:numRef>
              <c:f>'Sales by LGA'!$C$42:$C$48</c:f>
              <c:numCache>
                <c:formatCode>General</c:formatCode>
                <c:ptCount val="7"/>
                <c:pt idx="0">
                  <c:v>425</c:v>
                </c:pt>
                <c:pt idx="1">
                  <c:v>1060</c:v>
                </c:pt>
                <c:pt idx="2">
                  <c:v>337</c:v>
                </c:pt>
                <c:pt idx="3">
                  <c:v>952</c:v>
                </c:pt>
                <c:pt idx="4">
                  <c:v>257</c:v>
                </c:pt>
                <c:pt idx="5">
                  <c:v>834</c:v>
                </c:pt>
                <c:pt idx="6">
                  <c:v>925</c:v>
                </c:pt>
              </c:numCache>
            </c:numRef>
          </c:val>
        </c:ser>
        <c:ser>
          <c:idx val="1"/>
          <c:order val="1"/>
          <c:tx>
            <c:strRef>
              <c:f>'Sales by LGA'!$D$29</c:f>
              <c:strCache>
                <c:ptCount val="1"/>
                <c:pt idx="0">
                  <c:v>Jun-13</c:v>
                </c:pt>
              </c:strCache>
            </c:strRef>
          </c:tx>
          <c:spPr>
            <a:ln>
              <a:solidFill>
                <a:prstClr val="black"/>
              </a:solidFill>
            </a:ln>
          </c:spPr>
          <c:invertIfNegative val="0"/>
          <c:dLbls>
            <c:spPr>
              <a:noFill/>
              <a:ln>
                <a:noFill/>
              </a:ln>
              <a:effectLst/>
            </c:spPr>
            <c:txPr>
              <a:bodyPr rot="-5400000" vert="horz"/>
              <a:lstStyle/>
              <a:p>
                <a:pPr>
                  <a:defRPr sz="6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LGA'!$B$42:$B$48</c:f>
              <c:strCache>
                <c:ptCount val="7"/>
                <c:pt idx="0">
                  <c:v>Cardinia</c:v>
                </c:pt>
                <c:pt idx="1">
                  <c:v>Casey</c:v>
                </c:pt>
                <c:pt idx="2">
                  <c:v>Hume</c:v>
                </c:pt>
                <c:pt idx="3">
                  <c:v>Melton</c:v>
                </c:pt>
                <c:pt idx="4">
                  <c:v>Mitchell</c:v>
                </c:pt>
                <c:pt idx="5">
                  <c:v>Whittlesea</c:v>
                </c:pt>
                <c:pt idx="6">
                  <c:v>Wyndham</c:v>
                </c:pt>
              </c:strCache>
            </c:strRef>
          </c:cat>
          <c:val>
            <c:numRef>
              <c:f>'Sales by LGA'!$D$42:$D$48</c:f>
              <c:numCache>
                <c:formatCode>General</c:formatCode>
                <c:ptCount val="7"/>
                <c:pt idx="0">
                  <c:v>525</c:v>
                </c:pt>
                <c:pt idx="1">
                  <c:v>968</c:v>
                </c:pt>
                <c:pt idx="2">
                  <c:v>367</c:v>
                </c:pt>
                <c:pt idx="3">
                  <c:v>871</c:v>
                </c:pt>
                <c:pt idx="4">
                  <c:v>222</c:v>
                </c:pt>
                <c:pt idx="5">
                  <c:v>991</c:v>
                </c:pt>
                <c:pt idx="6">
                  <c:v>954</c:v>
                </c:pt>
              </c:numCache>
            </c:numRef>
          </c:val>
        </c:ser>
        <c:ser>
          <c:idx val="2"/>
          <c:order val="2"/>
          <c:tx>
            <c:strRef>
              <c:f>'Sales by LGA'!$E$29</c:f>
              <c:strCache>
                <c:ptCount val="1"/>
                <c:pt idx="0">
                  <c:v>Sep-13</c:v>
                </c:pt>
              </c:strCache>
            </c:strRef>
          </c:tx>
          <c:spPr>
            <a:ln>
              <a:solidFill>
                <a:prstClr val="black"/>
              </a:solidFill>
            </a:ln>
          </c:spPr>
          <c:invertIfNegative val="0"/>
          <c:dLbls>
            <c:spPr>
              <a:noFill/>
              <a:ln>
                <a:noFill/>
              </a:ln>
              <a:effectLst/>
            </c:spPr>
            <c:txPr>
              <a:bodyPr rot="-5400000" vert="horz"/>
              <a:lstStyle/>
              <a:p>
                <a:pPr>
                  <a:defRPr sz="6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LGA'!$B$42:$B$48</c:f>
              <c:strCache>
                <c:ptCount val="7"/>
                <c:pt idx="0">
                  <c:v>Cardinia</c:v>
                </c:pt>
                <c:pt idx="1">
                  <c:v>Casey</c:v>
                </c:pt>
                <c:pt idx="2">
                  <c:v>Hume</c:v>
                </c:pt>
                <c:pt idx="3">
                  <c:v>Melton</c:v>
                </c:pt>
                <c:pt idx="4">
                  <c:v>Mitchell</c:v>
                </c:pt>
                <c:pt idx="5">
                  <c:v>Whittlesea</c:v>
                </c:pt>
                <c:pt idx="6">
                  <c:v>Wyndham</c:v>
                </c:pt>
              </c:strCache>
            </c:strRef>
          </c:cat>
          <c:val>
            <c:numRef>
              <c:f>'Sales by LGA'!$E$42:$E$48</c:f>
              <c:numCache>
                <c:formatCode>General</c:formatCode>
                <c:ptCount val="7"/>
                <c:pt idx="0">
                  <c:v>491</c:v>
                </c:pt>
                <c:pt idx="1">
                  <c:v>681</c:v>
                </c:pt>
                <c:pt idx="2">
                  <c:v>290</c:v>
                </c:pt>
                <c:pt idx="3">
                  <c:v>669</c:v>
                </c:pt>
                <c:pt idx="4">
                  <c:v>186</c:v>
                </c:pt>
                <c:pt idx="5">
                  <c:v>855</c:v>
                </c:pt>
                <c:pt idx="6">
                  <c:v>782</c:v>
                </c:pt>
              </c:numCache>
            </c:numRef>
          </c:val>
        </c:ser>
        <c:ser>
          <c:idx val="3"/>
          <c:order val="3"/>
          <c:tx>
            <c:strRef>
              <c:f>'Sales by LGA'!$F$29</c:f>
              <c:strCache>
                <c:ptCount val="1"/>
                <c:pt idx="0">
                  <c:v>Dec-13</c:v>
                </c:pt>
              </c:strCache>
            </c:strRef>
          </c:tx>
          <c:spPr>
            <a:ln>
              <a:solidFill>
                <a:prstClr val="black"/>
              </a:solidFill>
            </a:ln>
          </c:spPr>
          <c:invertIfNegative val="0"/>
          <c:dLbls>
            <c:spPr>
              <a:noFill/>
              <a:ln>
                <a:noFill/>
              </a:ln>
              <a:effectLst/>
            </c:spPr>
            <c:txPr>
              <a:bodyPr rot="-5400000" vert="horz"/>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LGA'!$B$42:$B$48</c:f>
              <c:strCache>
                <c:ptCount val="7"/>
                <c:pt idx="0">
                  <c:v>Cardinia</c:v>
                </c:pt>
                <c:pt idx="1">
                  <c:v>Casey</c:v>
                </c:pt>
                <c:pt idx="2">
                  <c:v>Hume</c:v>
                </c:pt>
                <c:pt idx="3">
                  <c:v>Melton</c:v>
                </c:pt>
                <c:pt idx="4">
                  <c:v>Mitchell</c:v>
                </c:pt>
                <c:pt idx="5">
                  <c:v>Whittlesea</c:v>
                </c:pt>
                <c:pt idx="6">
                  <c:v>Wyndham</c:v>
                </c:pt>
              </c:strCache>
            </c:strRef>
          </c:cat>
          <c:val>
            <c:numRef>
              <c:f>'Sales by LGA'!$F$42:$F$48</c:f>
              <c:numCache>
                <c:formatCode>General</c:formatCode>
                <c:ptCount val="7"/>
                <c:pt idx="0">
                  <c:v>372</c:v>
                </c:pt>
                <c:pt idx="1">
                  <c:v>718</c:v>
                </c:pt>
                <c:pt idx="2">
                  <c:v>339</c:v>
                </c:pt>
                <c:pt idx="3">
                  <c:v>592</c:v>
                </c:pt>
                <c:pt idx="4">
                  <c:v>120</c:v>
                </c:pt>
                <c:pt idx="5">
                  <c:v>841</c:v>
                </c:pt>
                <c:pt idx="6">
                  <c:v>694</c:v>
                </c:pt>
              </c:numCache>
            </c:numRef>
          </c:val>
        </c:ser>
        <c:ser>
          <c:idx val="4"/>
          <c:order val="4"/>
          <c:tx>
            <c:strRef>
              <c:f>'Sales by LGA'!$G$29</c:f>
              <c:strCache>
                <c:ptCount val="1"/>
                <c:pt idx="0">
                  <c:v>Mar-14</c:v>
                </c:pt>
              </c:strCache>
            </c:strRef>
          </c:tx>
          <c:spPr>
            <a:ln>
              <a:solidFill>
                <a:schemeClr val="tx1"/>
              </a:solidFill>
            </a:ln>
          </c:spPr>
          <c:invertIfNegative val="0"/>
          <c:dLbls>
            <c:spPr>
              <a:noFill/>
              <a:ln>
                <a:noFill/>
              </a:ln>
              <a:effectLst/>
            </c:spPr>
            <c:txPr>
              <a:bodyPr rot="-5400000" vert="horz"/>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LGA'!$B$42:$B$48</c:f>
              <c:strCache>
                <c:ptCount val="7"/>
                <c:pt idx="0">
                  <c:v>Cardinia</c:v>
                </c:pt>
                <c:pt idx="1">
                  <c:v>Casey</c:v>
                </c:pt>
                <c:pt idx="2">
                  <c:v>Hume</c:v>
                </c:pt>
                <c:pt idx="3">
                  <c:v>Melton</c:v>
                </c:pt>
                <c:pt idx="4">
                  <c:v>Mitchell</c:v>
                </c:pt>
                <c:pt idx="5">
                  <c:v>Whittlesea</c:v>
                </c:pt>
                <c:pt idx="6">
                  <c:v>Wyndham</c:v>
                </c:pt>
              </c:strCache>
            </c:strRef>
          </c:cat>
          <c:val>
            <c:numRef>
              <c:f>'Sales by LGA'!$G$42:$G$48</c:f>
              <c:numCache>
                <c:formatCode>General</c:formatCode>
                <c:ptCount val="7"/>
                <c:pt idx="0">
                  <c:v>358</c:v>
                </c:pt>
                <c:pt idx="1">
                  <c:v>798</c:v>
                </c:pt>
                <c:pt idx="2">
                  <c:v>377</c:v>
                </c:pt>
                <c:pt idx="3">
                  <c:v>634</c:v>
                </c:pt>
                <c:pt idx="4">
                  <c:v>141</c:v>
                </c:pt>
                <c:pt idx="5">
                  <c:v>831</c:v>
                </c:pt>
                <c:pt idx="6">
                  <c:v>639</c:v>
                </c:pt>
              </c:numCache>
            </c:numRef>
          </c:val>
        </c:ser>
        <c:ser>
          <c:idx val="5"/>
          <c:order val="5"/>
          <c:tx>
            <c:strRef>
              <c:f>'Sales by LGA'!$H$29</c:f>
              <c:strCache>
                <c:ptCount val="1"/>
                <c:pt idx="0">
                  <c:v>Jun-14</c:v>
                </c:pt>
              </c:strCache>
            </c:strRef>
          </c:tx>
          <c:spPr>
            <a:ln>
              <a:solidFill>
                <a:prstClr val="black"/>
              </a:solidFill>
            </a:ln>
          </c:spPr>
          <c:invertIfNegative val="0"/>
          <c:dLbls>
            <c:spPr>
              <a:noFill/>
              <a:ln>
                <a:noFill/>
              </a:ln>
              <a:effectLst/>
            </c:spPr>
            <c:txPr>
              <a:bodyPr rot="-5400000" vert="horz"/>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LGA'!$B$42:$B$48</c:f>
              <c:strCache>
                <c:ptCount val="7"/>
                <c:pt idx="0">
                  <c:v>Cardinia</c:v>
                </c:pt>
                <c:pt idx="1">
                  <c:v>Casey</c:v>
                </c:pt>
                <c:pt idx="2">
                  <c:v>Hume</c:v>
                </c:pt>
                <c:pt idx="3">
                  <c:v>Melton</c:v>
                </c:pt>
                <c:pt idx="4">
                  <c:v>Mitchell</c:v>
                </c:pt>
                <c:pt idx="5">
                  <c:v>Whittlesea</c:v>
                </c:pt>
                <c:pt idx="6">
                  <c:v>Wyndham</c:v>
                </c:pt>
              </c:strCache>
            </c:strRef>
          </c:cat>
          <c:val>
            <c:numRef>
              <c:f>'Sales by LGA'!$H$42:$H$48</c:f>
              <c:numCache>
                <c:formatCode>General</c:formatCode>
                <c:ptCount val="7"/>
                <c:pt idx="0">
                  <c:v>482</c:v>
                </c:pt>
                <c:pt idx="1">
                  <c:v>840</c:v>
                </c:pt>
                <c:pt idx="2">
                  <c:v>465</c:v>
                </c:pt>
                <c:pt idx="3">
                  <c:v>613</c:v>
                </c:pt>
                <c:pt idx="4">
                  <c:v>151</c:v>
                </c:pt>
                <c:pt idx="5">
                  <c:v>741</c:v>
                </c:pt>
                <c:pt idx="6">
                  <c:v>623</c:v>
                </c:pt>
              </c:numCache>
            </c:numRef>
          </c:val>
        </c:ser>
        <c:ser>
          <c:idx val="6"/>
          <c:order val="6"/>
          <c:tx>
            <c:strRef>
              <c:f>'Sales by LGA'!$I$29</c:f>
              <c:strCache>
                <c:ptCount val="1"/>
                <c:pt idx="0">
                  <c:v>Sep-14</c:v>
                </c:pt>
              </c:strCache>
            </c:strRef>
          </c:tx>
          <c:spPr>
            <a:ln>
              <a:solidFill>
                <a:schemeClr val="tx1"/>
              </a:solidFill>
            </a:ln>
          </c:spPr>
          <c:invertIfNegative val="0"/>
          <c:dLbls>
            <c:spPr>
              <a:noFill/>
              <a:ln>
                <a:noFill/>
              </a:ln>
              <a:effectLst/>
            </c:spPr>
            <c:txPr>
              <a:bodyPr rot="-5400000" vert="horz"/>
              <a:lstStyle/>
              <a:p>
                <a:pPr>
                  <a:defRPr sz="6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LGA'!$B$42:$B$48</c:f>
              <c:strCache>
                <c:ptCount val="7"/>
                <c:pt idx="0">
                  <c:v>Cardinia</c:v>
                </c:pt>
                <c:pt idx="1">
                  <c:v>Casey</c:v>
                </c:pt>
                <c:pt idx="2">
                  <c:v>Hume</c:v>
                </c:pt>
                <c:pt idx="3">
                  <c:v>Melton</c:v>
                </c:pt>
                <c:pt idx="4">
                  <c:v>Mitchell</c:v>
                </c:pt>
                <c:pt idx="5">
                  <c:v>Whittlesea</c:v>
                </c:pt>
                <c:pt idx="6">
                  <c:v>Wyndham</c:v>
                </c:pt>
              </c:strCache>
            </c:strRef>
          </c:cat>
          <c:val>
            <c:numRef>
              <c:f>'Sales by LGA'!$I$42:$I$48</c:f>
              <c:numCache>
                <c:formatCode>General</c:formatCode>
                <c:ptCount val="7"/>
                <c:pt idx="0">
                  <c:v>441</c:v>
                </c:pt>
                <c:pt idx="1">
                  <c:v>751</c:v>
                </c:pt>
                <c:pt idx="2">
                  <c:v>428</c:v>
                </c:pt>
                <c:pt idx="3">
                  <c:v>526</c:v>
                </c:pt>
                <c:pt idx="4">
                  <c:v>164</c:v>
                </c:pt>
                <c:pt idx="5">
                  <c:v>621</c:v>
                </c:pt>
                <c:pt idx="6">
                  <c:v>566</c:v>
                </c:pt>
              </c:numCache>
            </c:numRef>
          </c:val>
        </c:ser>
        <c:ser>
          <c:idx val="7"/>
          <c:order val="7"/>
          <c:tx>
            <c:strRef>
              <c:f>'Sales by LGA'!$J$29</c:f>
              <c:strCache>
                <c:ptCount val="1"/>
                <c:pt idx="0">
                  <c:v>Dec-14</c:v>
                </c:pt>
              </c:strCache>
            </c:strRef>
          </c:tx>
          <c:spPr>
            <a:ln>
              <a:solidFill>
                <a:prstClr val="black"/>
              </a:solidFill>
            </a:ln>
          </c:spPr>
          <c:invertIfNegative val="0"/>
          <c:dLbls>
            <c:spPr>
              <a:noFill/>
              <a:ln>
                <a:noFill/>
              </a:ln>
              <a:effectLst/>
            </c:spPr>
            <c:txPr>
              <a:bodyPr rot="-5400000" vert="horz"/>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LGA'!$B$42:$B$48</c:f>
              <c:strCache>
                <c:ptCount val="7"/>
                <c:pt idx="0">
                  <c:v>Cardinia</c:v>
                </c:pt>
                <c:pt idx="1">
                  <c:v>Casey</c:v>
                </c:pt>
                <c:pt idx="2">
                  <c:v>Hume</c:v>
                </c:pt>
                <c:pt idx="3">
                  <c:v>Melton</c:v>
                </c:pt>
                <c:pt idx="4">
                  <c:v>Mitchell</c:v>
                </c:pt>
                <c:pt idx="5">
                  <c:v>Whittlesea</c:v>
                </c:pt>
                <c:pt idx="6">
                  <c:v>Wyndham</c:v>
                </c:pt>
              </c:strCache>
            </c:strRef>
          </c:cat>
          <c:val>
            <c:numRef>
              <c:f>'Sales by LGA'!$J$42:$J$48</c:f>
              <c:numCache>
                <c:formatCode>0</c:formatCode>
                <c:ptCount val="7"/>
                <c:pt idx="0">
                  <c:v>311</c:v>
                </c:pt>
                <c:pt idx="1">
                  <c:v>698</c:v>
                </c:pt>
                <c:pt idx="2">
                  <c:v>351</c:v>
                </c:pt>
                <c:pt idx="3">
                  <c:v>414</c:v>
                </c:pt>
                <c:pt idx="4">
                  <c:v>90</c:v>
                </c:pt>
                <c:pt idx="5">
                  <c:v>432</c:v>
                </c:pt>
                <c:pt idx="6">
                  <c:v>715</c:v>
                </c:pt>
              </c:numCache>
            </c:numRef>
          </c:val>
        </c:ser>
        <c:ser>
          <c:idx val="8"/>
          <c:order val="8"/>
          <c:tx>
            <c:strRef>
              <c:f>'Sales by LGA'!$K$29</c:f>
              <c:strCache>
                <c:ptCount val="1"/>
                <c:pt idx="0">
                  <c:v>Mar-15</c:v>
                </c:pt>
              </c:strCache>
            </c:strRef>
          </c:tx>
          <c:spPr>
            <a:solidFill>
              <a:prstClr val="black">
                <a:lumMod val="85000"/>
                <a:lumOff val="15000"/>
              </a:prstClr>
            </a:solidFill>
            <a:ln>
              <a:solidFill>
                <a:schemeClr val="tx1"/>
              </a:solidFill>
            </a:ln>
          </c:spPr>
          <c:invertIfNegative val="0"/>
          <c:dLbls>
            <c:spPr>
              <a:noFill/>
              <a:ln>
                <a:noFill/>
              </a:ln>
              <a:effectLst/>
            </c:spPr>
            <c:txPr>
              <a:bodyPr rot="-5400000" vert="horz"/>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LGA'!$B$42:$B$48</c:f>
              <c:strCache>
                <c:ptCount val="7"/>
                <c:pt idx="0">
                  <c:v>Cardinia</c:v>
                </c:pt>
                <c:pt idx="1">
                  <c:v>Casey</c:v>
                </c:pt>
                <c:pt idx="2">
                  <c:v>Hume</c:v>
                </c:pt>
                <c:pt idx="3">
                  <c:v>Melton</c:v>
                </c:pt>
                <c:pt idx="4">
                  <c:v>Mitchell</c:v>
                </c:pt>
                <c:pt idx="5">
                  <c:v>Whittlesea</c:v>
                </c:pt>
                <c:pt idx="6">
                  <c:v>Wyndham</c:v>
                </c:pt>
              </c:strCache>
            </c:strRef>
          </c:cat>
          <c:val>
            <c:numRef>
              <c:f>'Sales by LGA'!$K$42:$K$48</c:f>
              <c:numCache>
                <c:formatCode>0</c:formatCode>
                <c:ptCount val="7"/>
                <c:pt idx="0">
                  <c:v>330</c:v>
                </c:pt>
                <c:pt idx="1">
                  <c:v>704</c:v>
                </c:pt>
                <c:pt idx="2">
                  <c:v>430</c:v>
                </c:pt>
                <c:pt idx="3">
                  <c:v>399</c:v>
                </c:pt>
                <c:pt idx="4">
                  <c:v>67</c:v>
                </c:pt>
                <c:pt idx="5">
                  <c:v>237</c:v>
                </c:pt>
                <c:pt idx="6">
                  <c:v>560</c:v>
                </c:pt>
              </c:numCache>
            </c:numRef>
          </c:val>
        </c:ser>
        <c:ser>
          <c:idx val="9"/>
          <c:order val="9"/>
          <c:tx>
            <c:strRef>
              <c:f>'Sales by LGA'!$L$29</c:f>
              <c:strCache>
                <c:ptCount val="1"/>
                <c:pt idx="0">
                  <c:v>Jun-15</c:v>
                </c:pt>
              </c:strCache>
            </c:strRef>
          </c:tx>
          <c:spPr>
            <a:solidFill>
              <a:srgbClr val="7030A0"/>
            </a:solidFill>
            <a:ln>
              <a:solidFill>
                <a:schemeClr val="tx1"/>
              </a:solidFill>
            </a:ln>
          </c:spPr>
          <c:invertIfNegative val="0"/>
          <c:dLbls>
            <c:spPr>
              <a:noFill/>
              <a:ln>
                <a:noFill/>
              </a:ln>
              <a:effectLst/>
            </c:spPr>
            <c:txPr>
              <a:bodyPr rot="-5400000" vert="horz" wrap="square" lIns="38100" tIns="19050" rIns="38100" bIns="19050" anchor="ctr">
                <a:spAutoFit/>
              </a:bodyPr>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'Sales by LGA'!$B$42:$B$48</c:f>
              <c:strCache>
                <c:ptCount val="7"/>
                <c:pt idx="0">
                  <c:v>Cardinia</c:v>
                </c:pt>
                <c:pt idx="1">
                  <c:v>Casey</c:v>
                </c:pt>
                <c:pt idx="2">
                  <c:v>Hume</c:v>
                </c:pt>
                <c:pt idx="3">
                  <c:v>Melton</c:v>
                </c:pt>
                <c:pt idx="4">
                  <c:v>Mitchell</c:v>
                </c:pt>
                <c:pt idx="5">
                  <c:v>Whittlesea</c:v>
                </c:pt>
                <c:pt idx="6">
                  <c:v>Wyndham</c:v>
                </c:pt>
              </c:strCache>
            </c:strRef>
          </c:cat>
          <c:val>
            <c:numRef>
              <c:f>'Sales by LGA'!$L$42:$L$48</c:f>
              <c:numCache>
                <c:formatCode>0</c:formatCode>
                <c:ptCount val="7"/>
                <c:pt idx="0">
                  <c:v>375</c:v>
                </c:pt>
                <c:pt idx="1">
                  <c:v>540</c:v>
                </c:pt>
                <c:pt idx="2">
                  <c:v>382</c:v>
                </c:pt>
                <c:pt idx="3">
                  <c:v>400</c:v>
                </c:pt>
                <c:pt idx="4">
                  <c:v>90</c:v>
                </c:pt>
                <c:pt idx="5">
                  <c:v>277</c:v>
                </c:pt>
                <c:pt idx="6">
                  <c:v>566</c:v>
                </c:pt>
              </c:numCache>
            </c:numRef>
          </c:val>
        </c:ser>
        <c:ser>
          <c:idx val="10"/>
          <c:order val="10"/>
          <c:tx>
            <c:strRef>
              <c:f>'Sales by LGA'!$M$41</c:f>
              <c:strCache>
                <c:ptCount val="1"/>
                <c:pt idx="0">
                  <c:v>Sep-15</c:v>
                </c:pt>
              </c:strCache>
            </c:strRef>
          </c:tx>
          <c:spPr>
            <a:ln>
              <a:solidFill>
                <a:schemeClr val="tx1"/>
              </a:solidFill>
            </a:ln>
          </c:spPr>
          <c:invertIfNegative val="0"/>
          <c:dLbls>
            <c:spPr>
              <a:noFill/>
              <a:ln>
                <a:noFill/>
              </a:ln>
              <a:effectLst/>
            </c:spPr>
            <c:txPr>
              <a:bodyPr rot="-5400000" vert="horz" wrap="square" lIns="38100" tIns="19050" rIns="38100" bIns="19050" anchor="ctr">
                <a:spAutoFit/>
              </a:bodyPr>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'Sales by LGA'!$M$42:$M$48</c:f>
              <c:numCache>
                <c:formatCode>0</c:formatCode>
                <c:ptCount val="7"/>
                <c:pt idx="0">
                  <c:v>365</c:v>
                </c:pt>
                <c:pt idx="1">
                  <c:v>420</c:v>
                </c:pt>
                <c:pt idx="2">
                  <c:v>341</c:v>
                </c:pt>
                <c:pt idx="3">
                  <c:v>445</c:v>
                </c:pt>
                <c:pt idx="4">
                  <c:v>82</c:v>
                </c:pt>
                <c:pt idx="5">
                  <c:v>182</c:v>
                </c:pt>
                <c:pt idx="6">
                  <c:v>352</c:v>
                </c:pt>
              </c:numCache>
            </c:numRef>
          </c:val>
        </c:ser>
        <c:ser>
          <c:idx val="11"/>
          <c:order val="11"/>
          <c:tx>
            <c:strRef>
              <c:f>'Sales by LGA'!$N$41</c:f>
              <c:strCache>
                <c:ptCount val="1"/>
                <c:pt idx="0">
                  <c:v>Dec-15</c:v>
                </c:pt>
              </c:strCache>
            </c:strRef>
          </c:tx>
          <c:spPr>
            <a:solidFill>
              <a:srgbClr val="FF3399"/>
            </a:solidFill>
            <a:ln>
              <a:solidFill>
                <a:schemeClr val="tx1"/>
              </a:solidFill>
            </a:ln>
          </c:spPr>
          <c:invertIfNegative val="0"/>
          <c:dLbls>
            <c:spPr>
              <a:noFill/>
              <a:ln>
                <a:noFill/>
              </a:ln>
              <a:effectLst/>
            </c:spPr>
            <c:txPr>
              <a:bodyPr rot="-5400000" vert="horz" wrap="square" lIns="38100" tIns="19050" rIns="38100" bIns="19050" anchor="ctr">
                <a:spAutoFit/>
              </a:bodyPr>
              <a:lstStyle/>
              <a:p>
                <a:pPr>
                  <a:defRPr sz="8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'Sales by LGA'!$N$42:$N$48</c:f>
              <c:numCache>
                <c:formatCode>0</c:formatCode>
                <c:ptCount val="7"/>
                <c:pt idx="0">
                  <c:v>373</c:v>
                </c:pt>
                <c:pt idx="1">
                  <c:v>513</c:v>
                </c:pt>
                <c:pt idx="2">
                  <c:v>413</c:v>
                </c:pt>
                <c:pt idx="3">
                  <c:v>432</c:v>
                </c:pt>
                <c:pt idx="4">
                  <c:v>98</c:v>
                </c:pt>
                <c:pt idx="5">
                  <c:v>227</c:v>
                </c:pt>
                <c:pt idx="6">
                  <c:v>498</c:v>
                </c:pt>
              </c:numCache>
            </c:numRef>
          </c:val>
        </c:ser>
        <c:ser>
          <c:idx val="12"/>
          <c:order val="12"/>
          <c:tx>
            <c:strRef>
              <c:f>'Sales by LGA'!$O$41</c:f>
              <c:strCache>
                <c:ptCount val="1"/>
                <c:pt idx="0">
                  <c:v>Mar-16</c:v>
                </c:pt>
              </c:strCache>
            </c:strRef>
          </c:tx>
          <c:spPr>
            <a:solidFill>
              <a:schemeClr val="accent3">
                <a:lumMod val="50000"/>
              </a:schemeClr>
            </a:solidFill>
            <a:ln>
              <a:solidFill>
                <a:schemeClr val="tx1"/>
              </a:solidFill>
            </a:ln>
          </c:spPr>
          <c:invertIfNegative val="0"/>
          <c:dLbls>
            <c:spPr>
              <a:noFill/>
              <a:ln>
                <a:noFill/>
              </a:ln>
              <a:effectLst/>
            </c:spPr>
            <c:txPr>
              <a:bodyPr rot="-5400000" vert="horz" wrap="square" lIns="38100" tIns="19050" rIns="38100" bIns="19050" anchor="ctr">
                <a:spAutoFit/>
              </a:bodyPr>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'Sales by LGA'!$O$42:$O$48</c:f>
              <c:numCache>
                <c:formatCode>0</c:formatCode>
                <c:ptCount val="7"/>
                <c:pt idx="0">
                  <c:v>309</c:v>
                </c:pt>
                <c:pt idx="1">
                  <c:v>417</c:v>
                </c:pt>
                <c:pt idx="2">
                  <c:v>506</c:v>
                </c:pt>
                <c:pt idx="3">
                  <c:v>449</c:v>
                </c:pt>
                <c:pt idx="4">
                  <c:v>88</c:v>
                </c:pt>
                <c:pt idx="5">
                  <c:v>249</c:v>
                </c:pt>
                <c:pt idx="6">
                  <c:v>518</c:v>
                </c:pt>
              </c:numCache>
            </c:numRef>
          </c:val>
        </c:ser>
        <c:ser>
          <c:idx val="13"/>
          <c:order val="13"/>
          <c:tx>
            <c:strRef>
              <c:f>'Sales by LGA'!$P$41</c:f>
              <c:strCache>
                <c:ptCount val="1"/>
                <c:pt idx="0">
                  <c:v>Jun-16</c:v>
                </c:pt>
              </c:strCache>
            </c:strRef>
          </c:tx>
          <c:spPr>
            <a:ln>
              <a:solidFill>
                <a:prstClr val="black"/>
              </a:solidFill>
            </a:ln>
          </c:spPr>
          <c:invertIfNegative val="0"/>
          <c:dLbls>
            <c:spPr>
              <a:noFill/>
              <a:ln>
                <a:noFill/>
              </a:ln>
              <a:effectLst/>
            </c:spPr>
            <c:txPr>
              <a:bodyPr rot="-5400000" vert="horz" wrap="square" lIns="38100" tIns="19050" rIns="38100" bIns="19050" anchor="ctr">
                <a:spAutoFit/>
              </a:bodyPr>
              <a:lstStyle/>
              <a:p>
                <a:pPr>
                  <a:defRPr sz="8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'Sales by LGA'!$P$42:$P$48</c:f>
              <c:numCache>
                <c:formatCode>0</c:formatCode>
                <c:ptCount val="7"/>
                <c:pt idx="0">
                  <c:v>398</c:v>
                </c:pt>
                <c:pt idx="1">
                  <c:v>500</c:v>
                </c:pt>
                <c:pt idx="2">
                  <c:v>337</c:v>
                </c:pt>
                <c:pt idx="3">
                  <c:v>625</c:v>
                </c:pt>
                <c:pt idx="4">
                  <c:v>94</c:v>
                </c:pt>
                <c:pt idx="5">
                  <c:v>315</c:v>
                </c:pt>
                <c:pt idx="6">
                  <c:v>433</c:v>
                </c:pt>
              </c:numCache>
            </c:numRef>
          </c:val>
        </c:ser>
        <c:dLbls>
          <c:showLegendKey val="0"/>
          <c:showVal val="0"/>
          <c:showCatName val="0"/>
          <c:showSerName val="0"/>
          <c:showPercent val="0"/>
          <c:showBubbleSize val="0"/>
        </c:dLbls>
        <c:gapWidth val="150"/>
        <c:axId val="771252800"/>
        <c:axId val="771253360"/>
      </c:barChart>
      <c:catAx>
        <c:axId val="771252800"/>
        <c:scaling>
          <c:orientation val="minMax"/>
        </c:scaling>
        <c:delete val="0"/>
        <c:axPos val="b"/>
        <c:numFmt formatCode="General" sourceLinked="1"/>
        <c:majorTickMark val="out"/>
        <c:minorTickMark val="none"/>
        <c:tickLblPos val="nextTo"/>
        <c:crossAx val="771253360"/>
        <c:crosses val="autoZero"/>
        <c:auto val="1"/>
        <c:lblAlgn val="ctr"/>
        <c:lblOffset val="100"/>
        <c:noMultiLvlLbl val="0"/>
      </c:catAx>
      <c:valAx>
        <c:axId val="771253360"/>
        <c:scaling>
          <c:orientation val="minMax"/>
        </c:scaling>
        <c:delete val="0"/>
        <c:axPos val="l"/>
        <c:majorGridlines/>
        <c:title>
          <c:tx>
            <c:rich>
              <a:bodyPr rot="-5400000" vert="horz"/>
              <a:lstStyle/>
              <a:p>
                <a:pPr>
                  <a:defRPr sz="700"/>
                </a:pPr>
                <a:r>
                  <a:rPr lang="en-AU" sz="700"/>
                  <a:t>Total Months Supply </a:t>
                </a:r>
              </a:p>
            </c:rich>
          </c:tx>
          <c:overlay val="0"/>
        </c:title>
        <c:numFmt formatCode="#,##0" sourceLinked="0"/>
        <c:majorTickMark val="out"/>
        <c:minorTickMark val="none"/>
        <c:tickLblPos val="nextTo"/>
        <c:txPr>
          <a:bodyPr/>
          <a:lstStyle/>
          <a:p>
            <a:pPr>
              <a:defRPr sz="800"/>
            </a:pPr>
            <a:endParaRPr lang="en-US"/>
          </a:p>
        </c:txPr>
        <c:crossAx val="771252800"/>
        <c:crosses val="autoZero"/>
        <c:crossBetween val="between"/>
      </c:valAx>
      <c:spPr>
        <a:solidFill>
          <a:schemeClr val="bg1">
            <a:lumMod val="95000"/>
          </a:schemeClr>
        </a:solidFill>
      </c:spPr>
    </c:plotArea>
    <c:legend>
      <c:legendPos val="r"/>
      <c:layout>
        <c:manualLayout>
          <c:xMode val="edge"/>
          <c:yMode val="edge"/>
          <c:x val="0.45083156659819812"/>
          <c:y val="1.238991871142992E-2"/>
          <c:w val="0.54466352049587219"/>
          <c:h val="0.12408480550195264"/>
        </c:manualLayout>
      </c:layout>
      <c:overlay val="0"/>
      <c:txPr>
        <a:bodyPr/>
        <a:lstStyle/>
        <a:p>
          <a:pPr>
            <a:defRPr sz="800"/>
          </a:pPr>
          <a:endParaRPr lang="en-US"/>
        </a:p>
      </c:txPr>
    </c:legend>
    <c:plotVisOnly val="1"/>
    <c:dispBlanksAs val="gap"/>
    <c:showDLblsOverMax val="0"/>
  </c:chart>
  <c:spPr>
    <a:solidFill>
      <a:schemeClr val="bg1"/>
    </a:solidFill>
    <a:ln>
      <a:noFill/>
    </a:ln>
  </c:sp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l">
              <a:defRPr b="0"/>
            </a:pPr>
            <a:r>
              <a:rPr lang="en-AU" sz="1200" b="0"/>
              <a:t>Average</a:t>
            </a:r>
            <a:r>
              <a:rPr lang="en-AU" sz="1200" b="0" baseline="0"/>
              <a:t> number of months </a:t>
            </a:r>
          </a:p>
          <a:p>
            <a:pPr algn="l">
              <a:defRPr b="0"/>
            </a:pPr>
            <a:r>
              <a:rPr lang="en-AU" sz="1200" b="0" baseline="0"/>
              <a:t>Supply of Serviced Vacant Lots</a:t>
            </a:r>
          </a:p>
          <a:p>
            <a:pPr algn="l">
              <a:defRPr b="0"/>
            </a:pPr>
            <a:r>
              <a:rPr lang="en-AU" sz="800" b="0" baseline="0"/>
              <a:t>Source: MPA analysis of Charter Keck Cramer Research 4 Data</a:t>
            </a:r>
            <a:endParaRPr lang="en-AU" sz="800" b="0"/>
          </a:p>
        </c:rich>
      </c:tx>
      <c:layout>
        <c:manualLayout>
          <c:xMode val="edge"/>
          <c:yMode val="edge"/>
          <c:x val="8.6932648063342858E-4"/>
          <c:y val="0"/>
        </c:manualLayout>
      </c:layout>
      <c:overlay val="0"/>
    </c:title>
    <c:autoTitleDeleted val="0"/>
    <c:plotArea>
      <c:layout>
        <c:manualLayout>
          <c:layoutTarget val="inner"/>
          <c:xMode val="edge"/>
          <c:yMode val="edge"/>
          <c:x val="7.2350637332930012E-2"/>
          <c:y val="0.15571878689988997"/>
          <c:w val="0.91407339693438283"/>
          <c:h val="0.74128980339721684"/>
        </c:manualLayout>
      </c:layout>
      <c:barChart>
        <c:barDir val="col"/>
        <c:grouping val="clustered"/>
        <c:varyColors val="0"/>
        <c:ser>
          <c:idx val="0"/>
          <c:order val="0"/>
          <c:tx>
            <c:strRef>
              <c:f>'Sales by LGA'!$C$29</c:f>
              <c:strCache>
                <c:ptCount val="1"/>
                <c:pt idx="0">
                  <c:v>Mar-13</c:v>
                </c:pt>
              </c:strCache>
            </c:strRef>
          </c:tx>
          <c:spPr>
            <a:ln>
              <a:solidFill>
                <a:schemeClr val="tx1"/>
              </a:solidFill>
            </a:ln>
          </c:spPr>
          <c:invertIfNegative val="0"/>
          <c:dLbls>
            <c:spPr>
              <a:noFill/>
              <a:ln>
                <a:noFill/>
              </a:ln>
              <a:effectLst/>
            </c:spPr>
            <c:txPr>
              <a:bodyPr rot="-5400000" vert="horz"/>
              <a:lstStyle/>
              <a:p>
                <a:pPr>
                  <a:defRPr sz="6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LGA'!$B$53:$B$60</c:f>
              <c:strCache>
                <c:ptCount val="8"/>
                <c:pt idx="0">
                  <c:v>Cardinia</c:v>
                </c:pt>
                <c:pt idx="1">
                  <c:v>Casey </c:v>
                </c:pt>
                <c:pt idx="2">
                  <c:v>Hume</c:v>
                </c:pt>
                <c:pt idx="3">
                  <c:v>Melton</c:v>
                </c:pt>
                <c:pt idx="4">
                  <c:v>Mitchell</c:v>
                </c:pt>
                <c:pt idx="5">
                  <c:v>Whittlesea</c:v>
                </c:pt>
                <c:pt idx="6">
                  <c:v>Wyndham </c:v>
                </c:pt>
                <c:pt idx="7">
                  <c:v>All growth areas</c:v>
                </c:pt>
              </c:strCache>
            </c:strRef>
          </c:cat>
          <c:val>
            <c:numRef>
              <c:f>'Sales by LGA'!$C$53:$C$60</c:f>
              <c:numCache>
                <c:formatCode>0.0</c:formatCode>
                <c:ptCount val="8"/>
                <c:pt idx="0">
                  <c:v>10.991379310344827</c:v>
                </c:pt>
                <c:pt idx="1">
                  <c:v>8.6413043478260878</c:v>
                </c:pt>
                <c:pt idx="2">
                  <c:v>4.7688679245283021</c:v>
                </c:pt>
                <c:pt idx="3">
                  <c:v>16.508670520231213</c:v>
                </c:pt>
                <c:pt idx="4">
                  <c:v>16.404255319148938</c:v>
                </c:pt>
                <c:pt idx="5">
                  <c:v>12.204878048780488</c:v>
                </c:pt>
                <c:pt idx="6">
                  <c:v>9.8056537102473502</c:v>
                </c:pt>
                <c:pt idx="7">
                  <c:v>10.235042735042734</c:v>
                </c:pt>
              </c:numCache>
            </c:numRef>
          </c:val>
        </c:ser>
        <c:ser>
          <c:idx val="1"/>
          <c:order val="1"/>
          <c:tx>
            <c:strRef>
              <c:f>'Sales by LGA'!$D$29</c:f>
              <c:strCache>
                <c:ptCount val="1"/>
                <c:pt idx="0">
                  <c:v>Jun-13</c:v>
                </c:pt>
              </c:strCache>
            </c:strRef>
          </c:tx>
          <c:spPr>
            <a:ln>
              <a:solidFill>
                <a:prstClr val="black"/>
              </a:solidFill>
            </a:ln>
          </c:spPr>
          <c:invertIfNegative val="0"/>
          <c:dLbls>
            <c:spPr>
              <a:noFill/>
              <a:ln>
                <a:noFill/>
              </a:ln>
              <a:effectLst/>
            </c:spPr>
            <c:txPr>
              <a:bodyPr rot="-5400000" vert="horz"/>
              <a:lstStyle/>
              <a:p>
                <a:pPr>
                  <a:defRPr sz="6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LGA'!$B$53:$B$60</c:f>
              <c:strCache>
                <c:ptCount val="8"/>
                <c:pt idx="0">
                  <c:v>Cardinia</c:v>
                </c:pt>
                <c:pt idx="1">
                  <c:v>Casey </c:v>
                </c:pt>
                <c:pt idx="2">
                  <c:v>Hume</c:v>
                </c:pt>
                <c:pt idx="3">
                  <c:v>Melton</c:v>
                </c:pt>
                <c:pt idx="4">
                  <c:v>Mitchell</c:v>
                </c:pt>
                <c:pt idx="5">
                  <c:v>Whittlesea</c:v>
                </c:pt>
                <c:pt idx="6">
                  <c:v>Wyndham </c:v>
                </c:pt>
                <c:pt idx="7">
                  <c:v>All growth areas</c:v>
                </c:pt>
              </c:strCache>
            </c:strRef>
          </c:cat>
          <c:val>
            <c:numRef>
              <c:f>'Sales by LGA'!$D$53:$D$60</c:f>
              <c:numCache>
                <c:formatCode>0.0</c:formatCode>
                <c:ptCount val="8"/>
                <c:pt idx="0">
                  <c:v>9.3195266272189343</c:v>
                </c:pt>
                <c:pt idx="1">
                  <c:v>6.3544857768052516</c:v>
                </c:pt>
                <c:pt idx="2">
                  <c:v>3.0081967213114753</c:v>
                </c:pt>
                <c:pt idx="3">
                  <c:v>12.442857142857143</c:v>
                </c:pt>
                <c:pt idx="4">
                  <c:v>16.649999999999999</c:v>
                </c:pt>
                <c:pt idx="5">
                  <c:v>11.797619047619047</c:v>
                </c:pt>
                <c:pt idx="6">
                  <c:v>6.5642201834862384</c:v>
                </c:pt>
                <c:pt idx="7">
                  <c:v>7.6134715025906736</c:v>
                </c:pt>
              </c:numCache>
            </c:numRef>
          </c:val>
        </c:ser>
        <c:ser>
          <c:idx val="2"/>
          <c:order val="2"/>
          <c:tx>
            <c:strRef>
              <c:f>'Sales by LGA'!$E$29</c:f>
              <c:strCache>
                <c:ptCount val="1"/>
                <c:pt idx="0">
                  <c:v>Sep-13</c:v>
                </c:pt>
              </c:strCache>
            </c:strRef>
          </c:tx>
          <c:spPr>
            <a:ln>
              <a:solidFill>
                <a:prstClr val="black"/>
              </a:solidFill>
            </a:ln>
          </c:spPr>
          <c:invertIfNegative val="0"/>
          <c:dLbls>
            <c:spPr>
              <a:noFill/>
              <a:ln>
                <a:noFill/>
              </a:ln>
              <a:effectLst/>
            </c:spPr>
            <c:txPr>
              <a:bodyPr rot="-5400000" vert="horz"/>
              <a:lstStyle/>
              <a:p>
                <a:pPr>
                  <a:defRPr sz="6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LGA'!$B$53:$B$60</c:f>
              <c:strCache>
                <c:ptCount val="8"/>
                <c:pt idx="0">
                  <c:v>Cardinia</c:v>
                </c:pt>
                <c:pt idx="1">
                  <c:v>Casey </c:v>
                </c:pt>
                <c:pt idx="2">
                  <c:v>Hume</c:v>
                </c:pt>
                <c:pt idx="3">
                  <c:v>Melton</c:v>
                </c:pt>
                <c:pt idx="4">
                  <c:v>Mitchell</c:v>
                </c:pt>
                <c:pt idx="5">
                  <c:v>Whittlesea</c:v>
                </c:pt>
                <c:pt idx="6">
                  <c:v>Wyndham </c:v>
                </c:pt>
                <c:pt idx="7">
                  <c:v>All growth areas</c:v>
                </c:pt>
              </c:strCache>
            </c:strRef>
          </c:cat>
          <c:val>
            <c:numRef>
              <c:f>'Sales by LGA'!$E$53:$E$60</c:f>
              <c:numCache>
                <c:formatCode>0.0</c:formatCode>
                <c:ptCount val="8"/>
                <c:pt idx="0">
                  <c:v>5.5795454545454541</c:v>
                </c:pt>
                <c:pt idx="1">
                  <c:v>3.0675675675675675</c:v>
                </c:pt>
                <c:pt idx="2">
                  <c:v>2.248062015503876</c:v>
                </c:pt>
                <c:pt idx="3">
                  <c:v>5.734285714285714</c:v>
                </c:pt>
                <c:pt idx="4">
                  <c:v>8.71875</c:v>
                </c:pt>
                <c:pt idx="5">
                  <c:v>4.7064220183486238</c:v>
                </c:pt>
                <c:pt idx="6">
                  <c:v>4.6920000000000002</c:v>
                </c:pt>
                <c:pt idx="7">
                  <c:v>4.2730547550432281</c:v>
                </c:pt>
              </c:numCache>
            </c:numRef>
          </c:val>
        </c:ser>
        <c:ser>
          <c:idx val="3"/>
          <c:order val="3"/>
          <c:tx>
            <c:strRef>
              <c:f>'Sales by LGA'!$F$29</c:f>
              <c:strCache>
                <c:ptCount val="1"/>
                <c:pt idx="0">
                  <c:v>Dec-13</c:v>
                </c:pt>
              </c:strCache>
            </c:strRef>
          </c:tx>
          <c:spPr>
            <a:ln>
              <a:solidFill>
                <a:prstClr val="black"/>
              </a:solidFill>
            </a:ln>
          </c:spPr>
          <c:invertIfNegative val="0"/>
          <c:dLbls>
            <c:spPr>
              <a:noFill/>
              <a:ln>
                <a:noFill/>
              </a:ln>
              <a:effectLst/>
            </c:spPr>
            <c:txPr>
              <a:bodyPr rot="-5400000" vert="horz"/>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LGA'!$B$53:$B$60</c:f>
              <c:strCache>
                <c:ptCount val="8"/>
                <c:pt idx="0">
                  <c:v>Cardinia</c:v>
                </c:pt>
                <c:pt idx="1">
                  <c:v>Casey </c:v>
                </c:pt>
                <c:pt idx="2">
                  <c:v>Hume</c:v>
                </c:pt>
                <c:pt idx="3">
                  <c:v>Melton</c:v>
                </c:pt>
                <c:pt idx="4">
                  <c:v>Mitchell</c:v>
                </c:pt>
                <c:pt idx="5">
                  <c:v>Whittlesea</c:v>
                </c:pt>
                <c:pt idx="6">
                  <c:v>Wyndham </c:v>
                </c:pt>
                <c:pt idx="7">
                  <c:v>All growth areas</c:v>
                </c:pt>
              </c:strCache>
            </c:strRef>
          </c:cat>
          <c:val>
            <c:numRef>
              <c:f>'Sales by LGA'!$F$53:$F$60</c:f>
              <c:numCache>
                <c:formatCode>0.0</c:formatCode>
                <c:ptCount val="8"/>
                <c:pt idx="0">
                  <c:v>4.6307053941908718</c:v>
                </c:pt>
                <c:pt idx="1">
                  <c:v>3.7723292469352012</c:v>
                </c:pt>
                <c:pt idx="2">
                  <c:v>2.4684466019417477</c:v>
                </c:pt>
                <c:pt idx="3">
                  <c:v>5.431192660550459</c:v>
                </c:pt>
                <c:pt idx="4">
                  <c:v>4.8</c:v>
                </c:pt>
                <c:pt idx="5">
                  <c:v>6.0942028985507246</c:v>
                </c:pt>
                <c:pt idx="6">
                  <c:v>3.6208695652173915</c:v>
                </c:pt>
                <c:pt idx="7">
                  <c:v>4.2172084130019121</c:v>
                </c:pt>
              </c:numCache>
            </c:numRef>
          </c:val>
        </c:ser>
        <c:ser>
          <c:idx val="4"/>
          <c:order val="4"/>
          <c:tx>
            <c:strRef>
              <c:f>'Sales by LGA'!$G$29</c:f>
              <c:strCache>
                <c:ptCount val="1"/>
                <c:pt idx="0">
                  <c:v>Mar-14</c:v>
                </c:pt>
              </c:strCache>
            </c:strRef>
          </c:tx>
          <c:spPr>
            <a:ln>
              <a:solidFill>
                <a:schemeClr val="tx1"/>
              </a:solidFill>
            </a:ln>
          </c:spPr>
          <c:invertIfNegative val="0"/>
          <c:dLbls>
            <c:spPr>
              <a:noFill/>
              <a:ln>
                <a:noFill/>
              </a:ln>
              <a:effectLst/>
            </c:spPr>
            <c:txPr>
              <a:bodyPr rot="-5400000" vert="horz"/>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LGA'!$B$53:$B$60</c:f>
              <c:strCache>
                <c:ptCount val="8"/>
                <c:pt idx="0">
                  <c:v>Cardinia</c:v>
                </c:pt>
                <c:pt idx="1">
                  <c:v>Casey </c:v>
                </c:pt>
                <c:pt idx="2">
                  <c:v>Hume</c:v>
                </c:pt>
                <c:pt idx="3">
                  <c:v>Melton</c:v>
                </c:pt>
                <c:pt idx="4">
                  <c:v>Mitchell</c:v>
                </c:pt>
                <c:pt idx="5">
                  <c:v>Whittlesea</c:v>
                </c:pt>
                <c:pt idx="6">
                  <c:v>Wyndham </c:v>
                </c:pt>
                <c:pt idx="7">
                  <c:v>All growth areas</c:v>
                </c:pt>
              </c:strCache>
            </c:strRef>
          </c:cat>
          <c:val>
            <c:numRef>
              <c:f>'Sales by LGA'!$G$53:$G$60</c:f>
              <c:numCache>
                <c:formatCode>0.0</c:formatCode>
                <c:ptCount val="8"/>
                <c:pt idx="0">
                  <c:v>4.4564315352697097</c:v>
                </c:pt>
                <c:pt idx="1">
                  <c:v>3.6661562021439509</c:v>
                </c:pt>
                <c:pt idx="2">
                  <c:v>2.564625850340136</c:v>
                </c:pt>
                <c:pt idx="3">
                  <c:v>5.7811550151975686</c:v>
                </c:pt>
                <c:pt idx="4">
                  <c:v>12.441176470588236</c:v>
                </c:pt>
                <c:pt idx="5">
                  <c:v>5.7575057736720554</c:v>
                </c:pt>
                <c:pt idx="6">
                  <c:v>3.2003338898163607</c:v>
                </c:pt>
                <c:pt idx="7">
                  <c:v>4.151648351648352</c:v>
                </c:pt>
              </c:numCache>
            </c:numRef>
          </c:val>
        </c:ser>
        <c:ser>
          <c:idx val="5"/>
          <c:order val="5"/>
          <c:tx>
            <c:strRef>
              <c:f>'Sales by LGA'!$H$29</c:f>
              <c:strCache>
                <c:ptCount val="1"/>
                <c:pt idx="0">
                  <c:v>Jun-14</c:v>
                </c:pt>
              </c:strCache>
            </c:strRef>
          </c:tx>
          <c:spPr>
            <a:ln>
              <a:solidFill>
                <a:prstClr val="black"/>
              </a:solidFill>
            </a:ln>
          </c:spPr>
          <c:invertIfNegative val="0"/>
          <c:dLbls>
            <c:spPr>
              <a:noFill/>
              <a:ln>
                <a:noFill/>
              </a:ln>
              <a:effectLst/>
            </c:spPr>
            <c:txPr>
              <a:bodyPr rot="-5400000" vert="horz"/>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LGA'!$B$53:$B$60</c:f>
              <c:strCache>
                <c:ptCount val="8"/>
                <c:pt idx="0">
                  <c:v>Cardinia</c:v>
                </c:pt>
                <c:pt idx="1">
                  <c:v>Casey </c:v>
                </c:pt>
                <c:pt idx="2">
                  <c:v>Hume</c:v>
                </c:pt>
                <c:pt idx="3">
                  <c:v>Melton</c:v>
                </c:pt>
                <c:pt idx="4">
                  <c:v>Mitchell</c:v>
                </c:pt>
                <c:pt idx="5">
                  <c:v>Whittlesea</c:v>
                </c:pt>
                <c:pt idx="6">
                  <c:v>Wyndham </c:v>
                </c:pt>
                <c:pt idx="7">
                  <c:v>All growth areas</c:v>
                </c:pt>
              </c:strCache>
            </c:strRef>
          </c:cat>
          <c:val>
            <c:numRef>
              <c:f>'Sales by LGA'!$H$53:$H$60</c:f>
              <c:numCache>
                <c:formatCode>0.0</c:formatCode>
                <c:ptCount val="8"/>
                <c:pt idx="0">
                  <c:v>3.4103773584905661</c:v>
                </c:pt>
                <c:pt idx="1">
                  <c:v>3.9009287925696596</c:v>
                </c:pt>
                <c:pt idx="2">
                  <c:v>3.4962406015037595</c:v>
                </c:pt>
                <c:pt idx="3">
                  <c:v>7.5991735537190079</c:v>
                </c:pt>
                <c:pt idx="4">
                  <c:v>6.6617647058823533</c:v>
                </c:pt>
                <c:pt idx="5">
                  <c:v>3.3378378378378377</c:v>
                </c:pt>
                <c:pt idx="6">
                  <c:v>2.6139860139860138</c:v>
                </c:pt>
                <c:pt idx="7">
                  <c:v>3.7167721518987342</c:v>
                </c:pt>
              </c:numCache>
            </c:numRef>
          </c:val>
        </c:ser>
        <c:ser>
          <c:idx val="6"/>
          <c:order val="6"/>
          <c:tx>
            <c:strRef>
              <c:f>'Sales by LGA'!$I$29</c:f>
              <c:strCache>
                <c:ptCount val="1"/>
                <c:pt idx="0">
                  <c:v>Sep-14</c:v>
                </c:pt>
              </c:strCache>
            </c:strRef>
          </c:tx>
          <c:spPr>
            <a:ln>
              <a:solidFill>
                <a:schemeClr val="tx1"/>
              </a:solidFill>
            </a:ln>
          </c:spPr>
          <c:invertIfNegative val="0"/>
          <c:dLbls>
            <c:spPr>
              <a:noFill/>
              <a:ln>
                <a:noFill/>
              </a:ln>
              <a:effectLst/>
            </c:spPr>
            <c:txPr>
              <a:bodyPr rot="-5400000" vert="horz"/>
              <a:lstStyle/>
              <a:p>
                <a:pPr>
                  <a:defRPr sz="6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LGA'!$B$53:$B$60</c:f>
              <c:strCache>
                <c:ptCount val="8"/>
                <c:pt idx="0">
                  <c:v>Cardinia</c:v>
                </c:pt>
                <c:pt idx="1">
                  <c:v>Casey </c:v>
                </c:pt>
                <c:pt idx="2">
                  <c:v>Hume</c:v>
                </c:pt>
                <c:pt idx="3">
                  <c:v>Melton</c:v>
                </c:pt>
                <c:pt idx="4">
                  <c:v>Mitchell</c:v>
                </c:pt>
                <c:pt idx="5">
                  <c:v>Whittlesea</c:v>
                </c:pt>
                <c:pt idx="6">
                  <c:v>Wyndham </c:v>
                </c:pt>
                <c:pt idx="7">
                  <c:v>All growth areas</c:v>
                </c:pt>
              </c:strCache>
            </c:strRef>
          </c:cat>
          <c:val>
            <c:numRef>
              <c:f>'Sales by LGA'!$I$53:$I$60</c:f>
              <c:numCache>
                <c:formatCode>0.0</c:formatCode>
                <c:ptCount val="8"/>
                <c:pt idx="0">
                  <c:v>3.9375</c:v>
                </c:pt>
                <c:pt idx="1">
                  <c:v>3.0241610738255034</c:v>
                </c:pt>
                <c:pt idx="2">
                  <c:v>2.3733826247689462</c:v>
                </c:pt>
                <c:pt idx="3">
                  <c:v>5.8444444444444441</c:v>
                </c:pt>
                <c:pt idx="4">
                  <c:v>7.1304347826086953</c:v>
                </c:pt>
                <c:pt idx="5">
                  <c:v>3.9470338983050848</c:v>
                </c:pt>
                <c:pt idx="6">
                  <c:v>2.3356258596973865</c:v>
                </c:pt>
                <c:pt idx="7">
                  <c:v>3.3199367088607596</c:v>
                </c:pt>
              </c:numCache>
            </c:numRef>
          </c:val>
        </c:ser>
        <c:ser>
          <c:idx val="7"/>
          <c:order val="7"/>
          <c:tx>
            <c:strRef>
              <c:f>'Sales by LGA'!$J$29</c:f>
              <c:strCache>
                <c:ptCount val="1"/>
                <c:pt idx="0">
                  <c:v>Dec-14</c:v>
                </c:pt>
              </c:strCache>
            </c:strRef>
          </c:tx>
          <c:spPr>
            <a:ln>
              <a:solidFill>
                <a:prstClr val="black"/>
              </a:solidFill>
            </a:ln>
          </c:spPr>
          <c:invertIfNegative val="0"/>
          <c:dLbls>
            <c:spPr>
              <a:noFill/>
              <a:ln>
                <a:noFill/>
              </a:ln>
              <a:effectLst/>
            </c:spPr>
            <c:txPr>
              <a:bodyPr rot="-5400000" vert="horz"/>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LGA'!$B$53:$B$60</c:f>
              <c:strCache>
                <c:ptCount val="8"/>
                <c:pt idx="0">
                  <c:v>Cardinia</c:v>
                </c:pt>
                <c:pt idx="1">
                  <c:v>Casey </c:v>
                </c:pt>
                <c:pt idx="2">
                  <c:v>Hume</c:v>
                </c:pt>
                <c:pt idx="3">
                  <c:v>Melton</c:v>
                </c:pt>
                <c:pt idx="4">
                  <c:v>Mitchell</c:v>
                </c:pt>
                <c:pt idx="5">
                  <c:v>Whittlesea</c:v>
                </c:pt>
                <c:pt idx="6">
                  <c:v>Wyndham </c:v>
                </c:pt>
                <c:pt idx="7">
                  <c:v>All growth areas</c:v>
                </c:pt>
              </c:strCache>
            </c:strRef>
          </c:cat>
          <c:val>
            <c:numRef>
              <c:f>'Sales by LGA'!$J$53:$J$60</c:f>
              <c:numCache>
                <c:formatCode>0.0</c:formatCode>
                <c:ptCount val="8"/>
                <c:pt idx="0">
                  <c:v>3.5610687022900773</c:v>
                </c:pt>
                <c:pt idx="1">
                  <c:v>2.6207759699624531</c:v>
                </c:pt>
                <c:pt idx="2">
                  <c:v>1.6350931677018639</c:v>
                </c:pt>
                <c:pt idx="3">
                  <c:v>4.7045454545454541</c:v>
                </c:pt>
                <c:pt idx="4">
                  <c:v>8.1818181818181799</c:v>
                </c:pt>
                <c:pt idx="5">
                  <c:v>2.9255079006772009</c:v>
                </c:pt>
                <c:pt idx="6">
                  <c:v>2.1776649746192893</c:v>
                </c:pt>
                <c:pt idx="7">
                  <c:v>2.6335276967930028</c:v>
                </c:pt>
              </c:numCache>
            </c:numRef>
          </c:val>
        </c:ser>
        <c:ser>
          <c:idx val="8"/>
          <c:order val="8"/>
          <c:tx>
            <c:strRef>
              <c:f>'Sales by LGA'!$K$29</c:f>
              <c:strCache>
                <c:ptCount val="1"/>
                <c:pt idx="0">
                  <c:v>Mar-15</c:v>
                </c:pt>
              </c:strCache>
            </c:strRef>
          </c:tx>
          <c:spPr>
            <a:solidFill>
              <a:prstClr val="black">
                <a:lumMod val="85000"/>
                <a:lumOff val="15000"/>
              </a:prstClr>
            </a:solidFill>
            <a:ln>
              <a:solidFill>
                <a:schemeClr val="tx1"/>
              </a:solidFill>
            </a:ln>
          </c:spPr>
          <c:invertIfNegative val="0"/>
          <c:dLbls>
            <c:spPr>
              <a:noFill/>
              <a:ln>
                <a:noFill/>
              </a:ln>
              <a:effectLst/>
            </c:spPr>
            <c:txPr>
              <a:bodyPr rot="-5400000" vert="horz"/>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'Sales by LGA'!$B$53:$B$60</c:f>
              <c:strCache>
                <c:ptCount val="8"/>
                <c:pt idx="0">
                  <c:v>Cardinia</c:v>
                </c:pt>
                <c:pt idx="1">
                  <c:v>Casey </c:v>
                </c:pt>
                <c:pt idx="2">
                  <c:v>Hume</c:v>
                </c:pt>
                <c:pt idx="3">
                  <c:v>Melton</c:v>
                </c:pt>
                <c:pt idx="4">
                  <c:v>Mitchell</c:v>
                </c:pt>
                <c:pt idx="5">
                  <c:v>Whittlesea</c:v>
                </c:pt>
                <c:pt idx="6">
                  <c:v>Wyndham </c:v>
                </c:pt>
                <c:pt idx="7">
                  <c:v>All growth areas</c:v>
                </c:pt>
              </c:strCache>
            </c:strRef>
          </c:cat>
          <c:val>
            <c:numRef>
              <c:f>'Sales by LGA'!$K$53:$K$60</c:f>
              <c:numCache>
                <c:formatCode>0.0</c:formatCode>
                <c:ptCount val="8"/>
                <c:pt idx="0">
                  <c:v>3.473684210526315</c:v>
                </c:pt>
                <c:pt idx="1">
                  <c:v>2.331125827814569</c:v>
                </c:pt>
                <c:pt idx="2">
                  <c:v>2.4067164179104479</c:v>
                </c:pt>
                <c:pt idx="3">
                  <c:v>2.488565488565488</c:v>
                </c:pt>
                <c:pt idx="4">
                  <c:v>7.4444444444444446</c:v>
                </c:pt>
                <c:pt idx="5">
                  <c:v>1.5524017467248907</c:v>
                </c:pt>
                <c:pt idx="6">
                  <c:v>1.5370539798719123</c:v>
                </c:pt>
                <c:pt idx="7">
                  <c:v>2.1608557844690965</c:v>
                </c:pt>
              </c:numCache>
            </c:numRef>
          </c:val>
        </c:ser>
        <c:ser>
          <c:idx val="9"/>
          <c:order val="9"/>
          <c:tx>
            <c:strRef>
              <c:f>'Sales by LGA'!$L$29</c:f>
              <c:strCache>
                <c:ptCount val="1"/>
                <c:pt idx="0">
                  <c:v>Jun-15</c:v>
                </c:pt>
              </c:strCache>
            </c:strRef>
          </c:tx>
          <c:spPr>
            <a:solidFill>
              <a:srgbClr val="7030A0"/>
            </a:solidFill>
            <a:ln>
              <a:solidFill>
                <a:schemeClr val="tx1"/>
              </a:solidFill>
            </a:ln>
          </c:spPr>
          <c:invertIfNegative val="0"/>
          <c:dLbls>
            <c:spPr>
              <a:noFill/>
              <a:ln>
                <a:noFill/>
              </a:ln>
              <a:effectLst/>
            </c:spPr>
            <c:txPr>
              <a:bodyPr rot="-5400000" vert="horz" wrap="square" lIns="38100" tIns="19050" rIns="38100" bIns="19050" anchor="ctr">
                <a:spAutoFit/>
              </a:bodyPr>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'Sales by LGA'!$B$53:$B$60</c:f>
              <c:strCache>
                <c:ptCount val="8"/>
                <c:pt idx="0">
                  <c:v>Cardinia</c:v>
                </c:pt>
                <c:pt idx="1">
                  <c:v>Casey </c:v>
                </c:pt>
                <c:pt idx="2">
                  <c:v>Hume</c:v>
                </c:pt>
                <c:pt idx="3">
                  <c:v>Melton</c:v>
                </c:pt>
                <c:pt idx="4">
                  <c:v>Mitchell</c:v>
                </c:pt>
                <c:pt idx="5">
                  <c:v>Whittlesea</c:v>
                </c:pt>
                <c:pt idx="6">
                  <c:v>Wyndham </c:v>
                </c:pt>
                <c:pt idx="7">
                  <c:v>All growth areas</c:v>
                </c:pt>
              </c:strCache>
            </c:strRef>
          </c:cat>
          <c:val>
            <c:numRef>
              <c:f>'Sales by LGA'!$L$53:$L$60</c:f>
              <c:numCache>
                <c:formatCode>0.0</c:formatCode>
                <c:ptCount val="8"/>
                <c:pt idx="0">
                  <c:v>2.4617067833698032</c:v>
                </c:pt>
                <c:pt idx="1">
                  <c:v>1.6330645161290323</c:v>
                </c:pt>
                <c:pt idx="2">
                  <c:v>1.2691029900332227</c:v>
                </c:pt>
                <c:pt idx="3">
                  <c:v>4.2402826855123674</c:v>
                </c:pt>
                <c:pt idx="4">
                  <c:v>3.8028169014084505</c:v>
                </c:pt>
                <c:pt idx="5">
                  <c:v>0.9274553571428571</c:v>
                </c:pt>
                <c:pt idx="6">
                  <c:v>1.0665829145728642</c:v>
                </c:pt>
                <c:pt idx="7">
                  <c:v>1.5190604543704274</c:v>
                </c:pt>
              </c:numCache>
            </c:numRef>
          </c:val>
        </c:ser>
        <c:ser>
          <c:idx val="10"/>
          <c:order val="10"/>
          <c:tx>
            <c:strRef>
              <c:f>'Sales by LGA'!$M$52</c:f>
              <c:strCache>
                <c:ptCount val="1"/>
                <c:pt idx="0">
                  <c:v>Sep-15</c:v>
                </c:pt>
              </c:strCache>
            </c:strRef>
          </c:tx>
          <c:spPr>
            <a:ln>
              <a:solidFill>
                <a:schemeClr val="tx1"/>
              </a:solidFill>
            </a:ln>
          </c:spPr>
          <c:invertIfNegative val="0"/>
          <c:dLbls>
            <c:spPr>
              <a:noFill/>
              <a:ln>
                <a:noFill/>
              </a:ln>
              <a:effectLst/>
            </c:spPr>
            <c:txPr>
              <a:bodyPr rot="-5400000" vert="horz" wrap="square" lIns="38100" tIns="19050" rIns="38100" bIns="19050" anchor="ctr">
                <a:spAutoFit/>
              </a:bodyPr>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'Sales by LGA'!$M$53:$M$60</c:f>
              <c:numCache>
                <c:formatCode>0.0</c:formatCode>
                <c:ptCount val="8"/>
                <c:pt idx="0">
                  <c:v>1.821963394342762</c:v>
                </c:pt>
                <c:pt idx="1">
                  <c:v>0.99920697858842189</c:v>
                </c:pt>
                <c:pt idx="2">
                  <c:v>1.17451205510907</c:v>
                </c:pt>
                <c:pt idx="3">
                  <c:v>2.1636952998379257</c:v>
                </c:pt>
                <c:pt idx="4">
                  <c:v>9.84</c:v>
                </c:pt>
                <c:pt idx="5">
                  <c:v>1.0036764705882353</c:v>
                </c:pt>
                <c:pt idx="6">
                  <c:v>0.66373350094280337</c:v>
                </c:pt>
                <c:pt idx="7">
                  <c:v>1.1907441016333937</c:v>
                </c:pt>
              </c:numCache>
            </c:numRef>
          </c:val>
        </c:ser>
        <c:ser>
          <c:idx val="11"/>
          <c:order val="11"/>
          <c:tx>
            <c:strRef>
              <c:f>'Sales by LGA'!$N$41</c:f>
              <c:strCache>
                <c:ptCount val="1"/>
                <c:pt idx="0">
                  <c:v>Dec-15</c:v>
                </c:pt>
              </c:strCache>
            </c:strRef>
          </c:tx>
          <c:spPr>
            <a:solidFill>
              <a:srgbClr val="FF3399"/>
            </a:solidFill>
            <a:ln>
              <a:solidFill>
                <a:schemeClr val="tx1"/>
              </a:solidFill>
            </a:ln>
          </c:spPr>
          <c:invertIfNegative val="0"/>
          <c:dLbls>
            <c:spPr>
              <a:noFill/>
              <a:ln>
                <a:noFill/>
              </a:ln>
              <a:effectLst/>
            </c:spPr>
            <c:txPr>
              <a:bodyPr rot="-5400000" vert="horz" wrap="square" lIns="38100" tIns="19050" rIns="38100" bIns="19050" anchor="ctr">
                <a:spAutoFit/>
              </a:bodyPr>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'Sales by LGA'!$N$53:$N$60</c:f>
              <c:numCache>
                <c:formatCode>0.0</c:formatCode>
                <c:ptCount val="8"/>
                <c:pt idx="0">
                  <c:v>2.5962877030162415</c:v>
                </c:pt>
                <c:pt idx="1">
                  <c:v>1.4383177570093457</c:v>
                </c:pt>
                <c:pt idx="2">
                  <c:v>1.2439759036144578</c:v>
                </c:pt>
                <c:pt idx="3">
                  <c:v>1.9816513761467891</c:v>
                </c:pt>
                <c:pt idx="4">
                  <c:v>7.5384615384615401</c:v>
                </c:pt>
                <c:pt idx="5">
                  <c:v>1.1312292358803988</c:v>
                </c:pt>
                <c:pt idx="6">
                  <c:v>1.2565180824222033</c:v>
                </c:pt>
                <c:pt idx="7">
                  <c:v>1.538245332262598</c:v>
                </c:pt>
              </c:numCache>
            </c:numRef>
          </c:val>
        </c:ser>
        <c:ser>
          <c:idx val="12"/>
          <c:order val="12"/>
          <c:tx>
            <c:strRef>
              <c:f>'Sales by LGA'!$O$52</c:f>
              <c:strCache>
                <c:ptCount val="1"/>
                <c:pt idx="0">
                  <c:v>Mar-16</c:v>
                </c:pt>
              </c:strCache>
            </c:strRef>
          </c:tx>
          <c:spPr>
            <a:solidFill>
              <a:schemeClr val="accent3">
                <a:lumMod val="50000"/>
              </a:schemeClr>
            </a:solidFill>
            <a:ln>
              <a:solidFill>
                <a:schemeClr val="tx1"/>
              </a:solidFill>
            </a:ln>
          </c:spPr>
          <c:invertIfNegative val="0"/>
          <c:dLbls>
            <c:spPr>
              <a:noFill/>
              <a:ln>
                <a:noFill/>
              </a:ln>
              <a:effectLst/>
            </c:spPr>
            <c:txPr>
              <a:bodyPr rot="-5400000" vert="horz" wrap="square" lIns="38100" tIns="19050" rIns="38100" bIns="19050" anchor="ctr">
                <a:spAutoFit/>
              </a:bodyPr>
              <a:lstStyle/>
              <a:p>
                <a:pPr>
                  <a:defRPr sz="6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'Sales by LGA'!$O$53:$O$60</c:f>
              <c:numCache>
                <c:formatCode>0.0</c:formatCode>
                <c:ptCount val="8"/>
                <c:pt idx="0">
                  <c:v>2.1608391608391608</c:v>
                </c:pt>
                <c:pt idx="1">
                  <c:v>1.0775193798449612</c:v>
                </c:pt>
                <c:pt idx="2">
                  <c:v>1.6166134185303513</c:v>
                </c:pt>
                <c:pt idx="3">
                  <c:v>1.8326530612244898</c:v>
                </c:pt>
                <c:pt idx="4">
                  <c:v>6.2857142857142856</c:v>
                </c:pt>
                <c:pt idx="5">
                  <c:v>1.5660377358490567</c:v>
                </c:pt>
                <c:pt idx="6">
                  <c:v>0.93670886075949367</c:v>
                </c:pt>
                <c:pt idx="7">
                  <c:v>1.3980154355016539</c:v>
                </c:pt>
              </c:numCache>
            </c:numRef>
          </c:val>
        </c:ser>
        <c:ser>
          <c:idx val="13"/>
          <c:order val="13"/>
          <c:tx>
            <c:strRef>
              <c:f>'Sales by LGA'!$P$52</c:f>
              <c:strCache>
                <c:ptCount val="1"/>
                <c:pt idx="0">
                  <c:v>Jun-16</c:v>
                </c:pt>
              </c:strCache>
            </c:strRef>
          </c:tx>
          <c:spPr>
            <a:ln>
              <a:solidFill>
                <a:schemeClr val="tx1"/>
              </a:solidFill>
            </a:ln>
          </c:spPr>
          <c:invertIfNegative val="0"/>
          <c:dLbls>
            <c:spPr>
              <a:noFill/>
              <a:ln>
                <a:noFill/>
              </a:ln>
              <a:effectLst/>
            </c:spPr>
            <c:txPr>
              <a:bodyPr rot="-5400000" vert="horz" wrap="square" lIns="38100" tIns="19050" rIns="38100" bIns="19050" anchor="ctr">
                <a:spAutoFit/>
              </a:bodyPr>
              <a:lstStyle/>
              <a:p>
                <a:pPr>
                  <a:defRPr sz="8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'Sales by LGA'!$P$53:$P$60</c:f>
              <c:numCache>
                <c:formatCode>0.0</c:formatCode>
                <c:ptCount val="8"/>
                <c:pt idx="0">
                  <c:v>2.3737574552683895</c:v>
                </c:pt>
                <c:pt idx="1">
                  <c:v>1.4177693761814743</c:v>
                </c:pt>
                <c:pt idx="2">
                  <c:v>1.0721102863202543</c:v>
                </c:pt>
                <c:pt idx="3">
                  <c:v>1.7201834862385321</c:v>
                </c:pt>
                <c:pt idx="4">
                  <c:v>2.9072164948453607</c:v>
                </c:pt>
                <c:pt idx="5">
                  <c:v>1.4742589703588143</c:v>
                </c:pt>
                <c:pt idx="6">
                  <c:v>0.69576861274772372</c:v>
                </c:pt>
                <c:pt idx="7">
                  <c:v>1.3076302629456364</c:v>
                </c:pt>
              </c:numCache>
            </c:numRef>
          </c:val>
        </c:ser>
        <c:dLbls>
          <c:showLegendKey val="0"/>
          <c:showVal val="0"/>
          <c:showCatName val="0"/>
          <c:showSerName val="0"/>
          <c:showPercent val="0"/>
          <c:showBubbleSize val="0"/>
        </c:dLbls>
        <c:gapWidth val="150"/>
        <c:axId val="723763648"/>
        <c:axId val="723764208"/>
      </c:barChart>
      <c:catAx>
        <c:axId val="723763648"/>
        <c:scaling>
          <c:orientation val="minMax"/>
        </c:scaling>
        <c:delete val="0"/>
        <c:axPos val="b"/>
        <c:numFmt formatCode="General" sourceLinked="1"/>
        <c:majorTickMark val="out"/>
        <c:minorTickMark val="none"/>
        <c:tickLblPos val="nextTo"/>
        <c:crossAx val="723764208"/>
        <c:crosses val="autoZero"/>
        <c:auto val="1"/>
        <c:lblAlgn val="ctr"/>
        <c:lblOffset val="100"/>
        <c:noMultiLvlLbl val="0"/>
      </c:catAx>
      <c:valAx>
        <c:axId val="723764208"/>
        <c:scaling>
          <c:orientation val="minMax"/>
        </c:scaling>
        <c:delete val="0"/>
        <c:axPos val="l"/>
        <c:majorGridlines/>
        <c:title>
          <c:tx>
            <c:rich>
              <a:bodyPr rot="-5400000" vert="horz"/>
              <a:lstStyle/>
              <a:p>
                <a:pPr>
                  <a:defRPr/>
                </a:pPr>
                <a:r>
                  <a:rPr lang="en-AU"/>
                  <a:t>Total Months Supply </a:t>
                </a:r>
              </a:p>
            </c:rich>
          </c:tx>
          <c:overlay val="0"/>
        </c:title>
        <c:numFmt formatCode="#,##0" sourceLinked="0"/>
        <c:majorTickMark val="out"/>
        <c:minorTickMark val="none"/>
        <c:tickLblPos val="nextTo"/>
        <c:crossAx val="723763648"/>
        <c:crosses val="autoZero"/>
        <c:crossBetween val="between"/>
      </c:valAx>
      <c:spPr>
        <a:solidFill>
          <a:schemeClr val="bg1">
            <a:lumMod val="95000"/>
          </a:schemeClr>
        </a:solidFill>
      </c:spPr>
    </c:plotArea>
    <c:legend>
      <c:legendPos val="r"/>
      <c:layout>
        <c:manualLayout>
          <c:xMode val="edge"/>
          <c:yMode val="edge"/>
          <c:x val="0.57343689232833006"/>
          <c:y val="1.2390094884548271E-2"/>
          <c:w val="0.4087486200946428"/>
          <c:h val="0.13452021066073111"/>
        </c:manualLayout>
      </c:layout>
      <c:overlay val="0"/>
      <c:txPr>
        <a:bodyPr/>
        <a:lstStyle/>
        <a:p>
          <a:pPr>
            <a:defRPr sz="900"/>
          </a:pPr>
          <a:endParaRPr lang="en-US"/>
        </a:p>
      </c:txPr>
    </c:legend>
    <c:plotVisOnly val="1"/>
    <c:dispBlanksAs val="gap"/>
    <c:showDLblsOverMax val="0"/>
  </c:chart>
  <c:spPr>
    <a:solidFill>
      <a:schemeClr val="bg1"/>
    </a:solidFill>
    <a:ln>
      <a:noFill/>
    </a:ln>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l">
              <a:defRPr b="1"/>
            </a:pPr>
            <a:r>
              <a:rPr lang="en-AU" sz="1200" b="1"/>
              <a:t>Median</a:t>
            </a:r>
            <a:r>
              <a:rPr lang="en-AU" sz="1200" b="1" baseline="0"/>
              <a:t> Price for Vacant Serviced Lot </a:t>
            </a:r>
          </a:p>
          <a:p>
            <a:pPr algn="l">
              <a:defRPr b="1"/>
            </a:pPr>
            <a:r>
              <a:rPr lang="en-AU" sz="800" b="1" baseline="0"/>
              <a:t>Source: MPA analysis of Charter Keck Cramer Research4 Data</a:t>
            </a:r>
            <a:endParaRPr lang="en-AU" sz="800" b="1"/>
          </a:p>
        </c:rich>
      </c:tx>
      <c:layout>
        <c:manualLayout>
          <c:xMode val="edge"/>
          <c:yMode val="edge"/>
          <c:x val="1.2522347750009671E-3"/>
          <c:y val="0"/>
        </c:manualLayout>
      </c:layout>
      <c:overlay val="1"/>
    </c:title>
    <c:autoTitleDeleted val="0"/>
    <c:plotArea>
      <c:layout>
        <c:manualLayout>
          <c:layoutTarget val="inner"/>
          <c:xMode val="edge"/>
          <c:yMode val="edge"/>
          <c:x val="9.0903446097015644E-2"/>
          <c:y val="0.14416463176358463"/>
          <c:w val="0.86497546567106065"/>
          <c:h val="0.76359502393258372"/>
        </c:manualLayout>
      </c:layout>
      <c:barChart>
        <c:barDir val="col"/>
        <c:grouping val="clustered"/>
        <c:varyColors val="0"/>
        <c:ser>
          <c:idx val="0"/>
          <c:order val="0"/>
          <c:tx>
            <c:strRef>
              <c:f>'Price by LGA'!$C$38</c:f>
              <c:strCache>
                <c:ptCount val="1"/>
                <c:pt idx="0">
                  <c:v>Mar-13</c:v>
                </c:pt>
              </c:strCache>
            </c:strRef>
          </c:tx>
          <c:spPr>
            <a:ln>
              <a:solidFill>
                <a:prstClr val="black"/>
              </a:solidFill>
            </a:ln>
          </c:spPr>
          <c:invertIfNegative val="0"/>
          <c:dLbls>
            <c:spPr>
              <a:noFill/>
              <a:ln>
                <a:noFill/>
              </a:ln>
              <a:effectLst/>
            </c:spPr>
            <c:txPr>
              <a:bodyPr rot="-5400000" vert="horz"/>
              <a:lstStyle/>
              <a:p>
                <a:pPr>
                  <a:defRPr sz="8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'Price by LGA'!$B$39:$B$46</c:f>
              <c:strCache>
                <c:ptCount val="8"/>
                <c:pt idx="0">
                  <c:v>Mitchell (S)</c:v>
                </c:pt>
                <c:pt idx="1">
                  <c:v>Melton (S)</c:v>
                </c:pt>
                <c:pt idx="2">
                  <c:v>Whittlesea (C)</c:v>
                </c:pt>
                <c:pt idx="3">
                  <c:v>Growth Area Average</c:v>
                </c:pt>
                <c:pt idx="4">
                  <c:v>Hume (C)</c:v>
                </c:pt>
                <c:pt idx="5">
                  <c:v>Cardinia (S)</c:v>
                </c:pt>
                <c:pt idx="6">
                  <c:v>Casey (C)</c:v>
                </c:pt>
                <c:pt idx="7">
                  <c:v>Wyndham (C)</c:v>
                </c:pt>
              </c:strCache>
            </c:strRef>
          </c:cat>
          <c:val>
            <c:numRef>
              <c:f>'Price by LGA'!$C$39:$C$46</c:f>
              <c:numCache>
                <c:formatCode>_-"$"* #,##0_-;\-"$"* #,##0_-;_-"$"* "-"??_-;_-@_-</c:formatCode>
                <c:ptCount val="8"/>
                <c:pt idx="0">
                  <c:v>155000</c:v>
                </c:pt>
                <c:pt idx="1">
                  <c:v>170000</c:v>
                </c:pt>
                <c:pt idx="2">
                  <c:v>194000</c:v>
                </c:pt>
                <c:pt idx="3">
                  <c:v>202000</c:v>
                </c:pt>
                <c:pt idx="4">
                  <c:v>205000</c:v>
                </c:pt>
                <c:pt idx="5">
                  <c:v>176000</c:v>
                </c:pt>
                <c:pt idx="6">
                  <c:v>216000</c:v>
                </c:pt>
                <c:pt idx="7">
                  <c:v>217000</c:v>
                </c:pt>
              </c:numCache>
            </c:numRef>
          </c:val>
        </c:ser>
        <c:ser>
          <c:idx val="1"/>
          <c:order val="1"/>
          <c:tx>
            <c:strRef>
              <c:f>'Price by LGA'!$D$38</c:f>
              <c:strCache>
                <c:ptCount val="1"/>
                <c:pt idx="0">
                  <c:v>Jun-13</c:v>
                </c:pt>
              </c:strCache>
            </c:strRef>
          </c:tx>
          <c:spPr>
            <a:ln>
              <a:solidFill>
                <a:prstClr val="black"/>
              </a:solidFill>
            </a:ln>
          </c:spPr>
          <c:invertIfNegative val="0"/>
          <c:cat>
            <c:strRef>
              <c:f>'Price by LGA'!$B$39:$B$46</c:f>
              <c:strCache>
                <c:ptCount val="8"/>
                <c:pt idx="0">
                  <c:v>Mitchell (S)</c:v>
                </c:pt>
                <c:pt idx="1">
                  <c:v>Melton (S)</c:v>
                </c:pt>
                <c:pt idx="2">
                  <c:v>Whittlesea (C)</c:v>
                </c:pt>
                <c:pt idx="3">
                  <c:v>Growth Area Average</c:v>
                </c:pt>
                <c:pt idx="4">
                  <c:v>Hume (C)</c:v>
                </c:pt>
                <c:pt idx="5">
                  <c:v>Cardinia (S)</c:v>
                </c:pt>
                <c:pt idx="6">
                  <c:v>Casey (C)</c:v>
                </c:pt>
                <c:pt idx="7">
                  <c:v>Wyndham (C)</c:v>
                </c:pt>
              </c:strCache>
            </c:strRef>
          </c:cat>
          <c:val>
            <c:numRef>
              <c:f>'Price by LGA'!$D$39:$D$46</c:f>
              <c:numCache>
                <c:formatCode>_-"$"* #,##0_-;\-"$"* #,##0_-;_-"$"* "-"??_-;_-@_-</c:formatCode>
                <c:ptCount val="8"/>
                <c:pt idx="0">
                  <c:v>152000</c:v>
                </c:pt>
                <c:pt idx="1">
                  <c:v>164000</c:v>
                </c:pt>
                <c:pt idx="2">
                  <c:v>190000</c:v>
                </c:pt>
                <c:pt idx="3">
                  <c:v>199000</c:v>
                </c:pt>
                <c:pt idx="4">
                  <c:v>208250</c:v>
                </c:pt>
                <c:pt idx="5">
                  <c:v>175000</c:v>
                </c:pt>
                <c:pt idx="6">
                  <c:v>215000</c:v>
                </c:pt>
                <c:pt idx="7">
                  <c:v>213200</c:v>
                </c:pt>
              </c:numCache>
            </c:numRef>
          </c:val>
        </c:ser>
        <c:ser>
          <c:idx val="2"/>
          <c:order val="2"/>
          <c:tx>
            <c:strRef>
              <c:f>'Price by LGA'!$E$38</c:f>
              <c:strCache>
                <c:ptCount val="1"/>
                <c:pt idx="0">
                  <c:v>Sep-13</c:v>
                </c:pt>
              </c:strCache>
            </c:strRef>
          </c:tx>
          <c:spPr>
            <a:ln>
              <a:solidFill>
                <a:prstClr val="black"/>
              </a:solidFill>
            </a:ln>
          </c:spPr>
          <c:invertIfNegative val="0"/>
          <c:cat>
            <c:strRef>
              <c:f>'Price by LGA'!$B$39:$B$46</c:f>
              <c:strCache>
                <c:ptCount val="8"/>
                <c:pt idx="0">
                  <c:v>Mitchell (S)</c:v>
                </c:pt>
                <c:pt idx="1">
                  <c:v>Melton (S)</c:v>
                </c:pt>
                <c:pt idx="2">
                  <c:v>Whittlesea (C)</c:v>
                </c:pt>
                <c:pt idx="3">
                  <c:v>Growth Area Average</c:v>
                </c:pt>
                <c:pt idx="4">
                  <c:v>Hume (C)</c:v>
                </c:pt>
                <c:pt idx="5">
                  <c:v>Cardinia (S)</c:v>
                </c:pt>
                <c:pt idx="6">
                  <c:v>Casey (C)</c:v>
                </c:pt>
                <c:pt idx="7">
                  <c:v>Wyndham (C)</c:v>
                </c:pt>
              </c:strCache>
            </c:strRef>
          </c:cat>
          <c:val>
            <c:numRef>
              <c:f>'Price by LGA'!$E$39:$E$46</c:f>
              <c:numCache>
                <c:formatCode>_-"$"* #,##0_-;\-"$"* #,##0_-;_-"$"* "-"??_-;_-@_-</c:formatCode>
                <c:ptCount val="8"/>
                <c:pt idx="0">
                  <c:v>154000</c:v>
                </c:pt>
                <c:pt idx="1">
                  <c:v>159000</c:v>
                </c:pt>
                <c:pt idx="2">
                  <c:v>192000</c:v>
                </c:pt>
                <c:pt idx="3">
                  <c:v>203000</c:v>
                </c:pt>
                <c:pt idx="4">
                  <c:v>202000</c:v>
                </c:pt>
                <c:pt idx="5">
                  <c:v>178000</c:v>
                </c:pt>
                <c:pt idx="6">
                  <c:v>220000</c:v>
                </c:pt>
                <c:pt idx="7">
                  <c:v>214000</c:v>
                </c:pt>
              </c:numCache>
            </c:numRef>
          </c:val>
        </c:ser>
        <c:ser>
          <c:idx val="3"/>
          <c:order val="3"/>
          <c:tx>
            <c:strRef>
              <c:f>'Price by LGA'!$F$38</c:f>
              <c:strCache>
                <c:ptCount val="1"/>
                <c:pt idx="0">
                  <c:v>Dec-13</c:v>
                </c:pt>
              </c:strCache>
            </c:strRef>
          </c:tx>
          <c:spPr>
            <a:ln>
              <a:solidFill>
                <a:prstClr val="black"/>
              </a:solidFill>
            </a:ln>
          </c:spPr>
          <c:invertIfNegative val="0"/>
          <c:cat>
            <c:strRef>
              <c:f>'Price by LGA'!$B$39:$B$46</c:f>
              <c:strCache>
                <c:ptCount val="8"/>
                <c:pt idx="0">
                  <c:v>Mitchell (S)</c:v>
                </c:pt>
                <c:pt idx="1">
                  <c:v>Melton (S)</c:v>
                </c:pt>
                <c:pt idx="2">
                  <c:v>Whittlesea (C)</c:v>
                </c:pt>
                <c:pt idx="3">
                  <c:v>Growth Area Average</c:v>
                </c:pt>
                <c:pt idx="4">
                  <c:v>Hume (C)</c:v>
                </c:pt>
                <c:pt idx="5">
                  <c:v>Cardinia (S)</c:v>
                </c:pt>
                <c:pt idx="6">
                  <c:v>Casey (C)</c:v>
                </c:pt>
                <c:pt idx="7">
                  <c:v>Wyndham (C)</c:v>
                </c:pt>
              </c:strCache>
            </c:strRef>
          </c:cat>
          <c:val>
            <c:numRef>
              <c:f>'Price by LGA'!$F$39:$F$46</c:f>
              <c:numCache>
                <c:formatCode>_-"$"* #,##0_-;\-"$"* #,##0_-;_-"$"* "-"??_-;_-@_-</c:formatCode>
                <c:ptCount val="8"/>
                <c:pt idx="0">
                  <c:v>153500</c:v>
                </c:pt>
                <c:pt idx="1">
                  <c:v>158000</c:v>
                </c:pt>
                <c:pt idx="2">
                  <c:v>192000</c:v>
                </c:pt>
                <c:pt idx="3">
                  <c:v>201000</c:v>
                </c:pt>
                <c:pt idx="4">
                  <c:v>206000</c:v>
                </c:pt>
                <c:pt idx="5">
                  <c:v>181000</c:v>
                </c:pt>
                <c:pt idx="6">
                  <c:v>216000</c:v>
                </c:pt>
                <c:pt idx="7">
                  <c:v>216000</c:v>
                </c:pt>
              </c:numCache>
            </c:numRef>
          </c:val>
        </c:ser>
        <c:ser>
          <c:idx val="4"/>
          <c:order val="4"/>
          <c:tx>
            <c:strRef>
              <c:f>'Price by LGA'!$G$38</c:f>
              <c:strCache>
                <c:ptCount val="1"/>
                <c:pt idx="0">
                  <c:v>Mar-14</c:v>
                </c:pt>
              </c:strCache>
            </c:strRef>
          </c:tx>
          <c:spPr>
            <a:ln>
              <a:solidFill>
                <a:schemeClr val="tx1"/>
              </a:solidFill>
            </a:ln>
          </c:spPr>
          <c:invertIfNegative val="0"/>
          <c:cat>
            <c:strRef>
              <c:f>'Price by LGA'!$B$39:$B$46</c:f>
              <c:strCache>
                <c:ptCount val="8"/>
                <c:pt idx="0">
                  <c:v>Mitchell (S)</c:v>
                </c:pt>
                <c:pt idx="1">
                  <c:v>Melton (S)</c:v>
                </c:pt>
                <c:pt idx="2">
                  <c:v>Whittlesea (C)</c:v>
                </c:pt>
                <c:pt idx="3">
                  <c:v>Growth Area Average</c:v>
                </c:pt>
                <c:pt idx="4">
                  <c:v>Hume (C)</c:v>
                </c:pt>
                <c:pt idx="5">
                  <c:v>Cardinia (S)</c:v>
                </c:pt>
                <c:pt idx="6">
                  <c:v>Casey (C)</c:v>
                </c:pt>
                <c:pt idx="7">
                  <c:v>Wyndham (C)</c:v>
                </c:pt>
              </c:strCache>
            </c:strRef>
          </c:cat>
          <c:val>
            <c:numRef>
              <c:f>'Price by LGA'!$G$39:$G$46</c:f>
              <c:numCache>
                <c:formatCode>_-"$"* #,##0_-;\-"$"* #,##0_-;_-"$"* "-"??_-;_-@_-</c:formatCode>
                <c:ptCount val="8"/>
                <c:pt idx="0">
                  <c:v>154000</c:v>
                </c:pt>
                <c:pt idx="1">
                  <c:v>149000</c:v>
                </c:pt>
                <c:pt idx="2">
                  <c:v>189000</c:v>
                </c:pt>
                <c:pt idx="3">
                  <c:v>203000</c:v>
                </c:pt>
                <c:pt idx="4">
                  <c:v>194500</c:v>
                </c:pt>
                <c:pt idx="5">
                  <c:v>180000</c:v>
                </c:pt>
                <c:pt idx="6">
                  <c:v>212000</c:v>
                </c:pt>
                <c:pt idx="7">
                  <c:v>207000</c:v>
                </c:pt>
              </c:numCache>
            </c:numRef>
          </c:val>
        </c:ser>
        <c:ser>
          <c:idx val="5"/>
          <c:order val="5"/>
          <c:tx>
            <c:strRef>
              <c:f>'Price by LGA'!$H$38</c:f>
              <c:strCache>
                <c:ptCount val="1"/>
                <c:pt idx="0">
                  <c:v>Jun-14</c:v>
                </c:pt>
              </c:strCache>
            </c:strRef>
          </c:tx>
          <c:spPr>
            <a:ln>
              <a:solidFill>
                <a:schemeClr val="tx1"/>
              </a:solidFill>
            </a:ln>
          </c:spPr>
          <c:invertIfNegative val="0"/>
          <c:cat>
            <c:strRef>
              <c:f>'Price by LGA'!$B$39:$B$46</c:f>
              <c:strCache>
                <c:ptCount val="8"/>
                <c:pt idx="0">
                  <c:v>Mitchell (S)</c:v>
                </c:pt>
                <c:pt idx="1">
                  <c:v>Melton (S)</c:v>
                </c:pt>
                <c:pt idx="2">
                  <c:v>Whittlesea (C)</c:v>
                </c:pt>
                <c:pt idx="3">
                  <c:v>Growth Area Average</c:v>
                </c:pt>
                <c:pt idx="4">
                  <c:v>Hume (C)</c:v>
                </c:pt>
                <c:pt idx="5">
                  <c:v>Cardinia (S)</c:v>
                </c:pt>
                <c:pt idx="6">
                  <c:v>Casey (C)</c:v>
                </c:pt>
                <c:pt idx="7">
                  <c:v>Wyndham (C)</c:v>
                </c:pt>
              </c:strCache>
            </c:strRef>
          </c:cat>
          <c:val>
            <c:numRef>
              <c:f>'Price by LGA'!$H$39:$H$46</c:f>
              <c:numCache>
                <c:formatCode>_-"$"* #,##0_-;\-"$"* #,##0_-;_-"$"* "-"??_-;_-@_-</c:formatCode>
                <c:ptCount val="8"/>
                <c:pt idx="0">
                  <c:v>152000</c:v>
                </c:pt>
                <c:pt idx="1">
                  <c:v>150000</c:v>
                </c:pt>
                <c:pt idx="2">
                  <c:v>188000</c:v>
                </c:pt>
                <c:pt idx="3">
                  <c:v>200000</c:v>
                </c:pt>
                <c:pt idx="4">
                  <c:v>199000</c:v>
                </c:pt>
                <c:pt idx="5">
                  <c:v>181950</c:v>
                </c:pt>
                <c:pt idx="6">
                  <c:v>214450</c:v>
                </c:pt>
                <c:pt idx="7">
                  <c:v>200000</c:v>
                </c:pt>
              </c:numCache>
            </c:numRef>
          </c:val>
        </c:ser>
        <c:ser>
          <c:idx val="6"/>
          <c:order val="6"/>
          <c:tx>
            <c:strRef>
              <c:f>'Price by LGA'!$I$38</c:f>
              <c:strCache>
                <c:ptCount val="1"/>
                <c:pt idx="0">
                  <c:v>Sep-14</c:v>
                </c:pt>
              </c:strCache>
            </c:strRef>
          </c:tx>
          <c:spPr>
            <a:ln>
              <a:solidFill>
                <a:prstClr val="black"/>
              </a:solidFill>
            </a:ln>
          </c:spPr>
          <c:invertIfNegative val="0"/>
          <c:cat>
            <c:strRef>
              <c:f>'Price by LGA'!$B$39:$B$46</c:f>
              <c:strCache>
                <c:ptCount val="8"/>
                <c:pt idx="0">
                  <c:v>Mitchell (S)</c:v>
                </c:pt>
                <c:pt idx="1">
                  <c:v>Melton (S)</c:v>
                </c:pt>
                <c:pt idx="2">
                  <c:v>Whittlesea (C)</c:v>
                </c:pt>
                <c:pt idx="3">
                  <c:v>Growth Area Average</c:v>
                </c:pt>
                <c:pt idx="4">
                  <c:v>Hume (C)</c:v>
                </c:pt>
                <c:pt idx="5">
                  <c:v>Cardinia (S)</c:v>
                </c:pt>
                <c:pt idx="6">
                  <c:v>Casey (C)</c:v>
                </c:pt>
                <c:pt idx="7">
                  <c:v>Wyndham (C)</c:v>
                </c:pt>
              </c:strCache>
            </c:strRef>
          </c:cat>
          <c:val>
            <c:numRef>
              <c:f>'Price by LGA'!$I$39:$I$46</c:f>
              <c:numCache>
                <c:formatCode>_-"$"* #,##0_-;\-"$"* #,##0_-;_-"$"* "-"??_-;_-@_-</c:formatCode>
                <c:ptCount val="8"/>
                <c:pt idx="0">
                  <c:v>154000</c:v>
                </c:pt>
                <c:pt idx="1">
                  <c:v>153850</c:v>
                </c:pt>
                <c:pt idx="2">
                  <c:v>193000</c:v>
                </c:pt>
                <c:pt idx="3">
                  <c:v>203300</c:v>
                </c:pt>
                <c:pt idx="4">
                  <c:v>206000</c:v>
                </c:pt>
                <c:pt idx="5">
                  <c:v>185000</c:v>
                </c:pt>
                <c:pt idx="6">
                  <c:v>221800</c:v>
                </c:pt>
                <c:pt idx="7">
                  <c:v>212000</c:v>
                </c:pt>
              </c:numCache>
            </c:numRef>
          </c:val>
        </c:ser>
        <c:ser>
          <c:idx val="7"/>
          <c:order val="7"/>
          <c:tx>
            <c:strRef>
              <c:f>'Price by LGA'!$J$38</c:f>
              <c:strCache>
                <c:ptCount val="1"/>
                <c:pt idx="0">
                  <c:v>Dec-14</c:v>
                </c:pt>
              </c:strCache>
            </c:strRef>
          </c:tx>
          <c:spPr>
            <a:ln>
              <a:solidFill>
                <a:prstClr val="black"/>
              </a:solidFill>
            </a:ln>
          </c:spPr>
          <c:invertIfNegative val="0"/>
          <c:cat>
            <c:strRef>
              <c:f>'Price by LGA'!$B$39:$B$46</c:f>
              <c:strCache>
                <c:ptCount val="8"/>
                <c:pt idx="0">
                  <c:v>Mitchell (S)</c:v>
                </c:pt>
                <c:pt idx="1">
                  <c:v>Melton (S)</c:v>
                </c:pt>
                <c:pt idx="2">
                  <c:v>Whittlesea (C)</c:v>
                </c:pt>
                <c:pt idx="3">
                  <c:v>Growth Area Average</c:v>
                </c:pt>
                <c:pt idx="4">
                  <c:v>Hume (C)</c:v>
                </c:pt>
                <c:pt idx="5">
                  <c:v>Cardinia (S)</c:v>
                </c:pt>
                <c:pt idx="6">
                  <c:v>Casey (C)</c:v>
                </c:pt>
                <c:pt idx="7">
                  <c:v>Wyndham (C)</c:v>
                </c:pt>
              </c:strCache>
            </c:strRef>
          </c:cat>
          <c:val>
            <c:numRef>
              <c:f>'Price by LGA'!$J$39:$J$46</c:f>
              <c:numCache>
                <c:formatCode>_-"$"* #,##0_-;\-"$"* #,##0_-;_-"$"* "-"??_-;_-@_-</c:formatCode>
                <c:ptCount val="8"/>
                <c:pt idx="0">
                  <c:v>155000</c:v>
                </c:pt>
                <c:pt idx="1">
                  <c:v>149900</c:v>
                </c:pt>
                <c:pt idx="2">
                  <c:v>195000</c:v>
                </c:pt>
                <c:pt idx="3">
                  <c:v>210000</c:v>
                </c:pt>
                <c:pt idx="4">
                  <c:v>201000</c:v>
                </c:pt>
                <c:pt idx="5">
                  <c:v>197750</c:v>
                </c:pt>
                <c:pt idx="6">
                  <c:v>232000</c:v>
                </c:pt>
                <c:pt idx="7">
                  <c:v>215340</c:v>
                </c:pt>
              </c:numCache>
            </c:numRef>
          </c:val>
        </c:ser>
        <c:ser>
          <c:idx val="8"/>
          <c:order val="8"/>
          <c:tx>
            <c:strRef>
              <c:f>'Price by LGA'!$K$38</c:f>
              <c:strCache>
                <c:ptCount val="1"/>
                <c:pt idx="0">
                  <c:v>Mar-15</c:v>
                </c:pt>
              </c:strCache>
            </c:strRef>
          </c:tx>
          <c:spPr>
            <a:solidFill>
              <a:prstClr val="black">
                <a:lumMod val="85000"/>
                <a:lumOff val="15000"/>
              </a:prstClr>
            </a:solidFill>
            <a:ln>
              <a:solidFill>
                <a:prstClr val="black"/>
              </a:solidFill>
            </a:ln>
          </c:spPr>
          <c:invertIfNegative val="0"/>
          <c:cat>
            <c:strRef>
              <c:f>'Price by LGA'!$B$39:$B$46</c:f>
              <c:strCache>
                <c:ptCount val="8"/>
                <c:pt idx="0">
                  <c:v>Mitchell (S)</c:v>
                </c:pt>
                <c:pt idx="1">
                  <c:v>Melton (S)</c:v>
                </c:pt>
                <c:pt idx="2">
                  <c:v>Whittlesea (C)</c:v>
                </c:pt>
                <c:pt idx="3">
                  <c:v>Growth Area Average</c:v>
                </c:pt>
                <c:pt idx="4">
                  <c:v>Hume (C)</c:v>
                </c:pt>
                <c:pt idx="5">
                  <c:v>Cardinia (S)</c:v>
                </c:pt>
                <c:pt idx="6">
                  <c:v>Casey (C)</c:v>
                </c:pt>
                <c:pt idx="7">
                  <c:v>Wyndham (C)</c:v>
                </c:pt>
              </c:strCache>
            </c:strRef>
          </c:cat>
          <c:val>
            <c:numRef>
              <c:f>'Price by LGA'!$K$39:$K$46</c:f>
              <c:numCache>
                <c:formatCode>_-"$"* #,##0_-;\-"$"* #,##0_-;_-"$"* "-"??_-;_-@_-</c:formatCode>
                <c:ptCount val="8"/>
                <c:pt idx="0">
                  <c:v>147000</c:v>
                </c:pt>
                <c:pt idx="1">
                  <c:v>150000</c:v>
                </c:pt>
                <c:pt idx="2">
                  <c:v>194000</c:v>
                </c:pt>
                <c:pt idx="3">
                  <c:v>210000</c:v>
                </c:pt>
                <c:pt idx="4">
                  <c:v>208000</c:v>
                </c:pt>
                <c:pt idx="5">
                  <c:v>195000</c:v>
                </c:pt>
                <c:pt idx="6">
                  <c:v>236000</c:v>
                </c:pt>
                <c:pt idx="7">
                  <c:v>228000</c:v>
                </c:pt>
              </c:numCache>
            </c:numRef>
          </c:val>
        </c:ser>
        <c:ser>
          <c:idx val="9"/>
          <c:order val="9"/>
          <c:tx>
            <c:strRef>
              <c:f>'Price by LGA'!$L$38</c:f>
              <c:strCache>
                <c:ptCount val="1"/>
                <c:pt idx="0">
                  <c:v>Jun-15</c:v>
                </c:pt>
              </c:strCache>
            </c:strRef>
          </c:tx>
          <c:spPr>
            <a:ln>
              <a:solidFill>
                <a:schemeClr val="tx1"/>
              </a:solidFill>
            </a:ln>
          </c:spPr>
          <c:invertIfNegative val="0"/>
          <c:cat>
            <c:strRef>
              <c:f>'Price by LGA'!$B$39:$B$46</c:f>
              <c:strCache>
                <c:ptCount val="8"/>
                <c:pt idx="0">
                  <c:v>Mitchell (S)</c:v>
                </c:pt>
                <c:pt idx="1">
                  <c:v>Melton (S)</c:v>
                </c:pt>
                <c:pt idx="2">
                  <c:v>Whittlesea (C)</c:v>
                </c:pt>
                <c:pt idx="3">
                  <c:v>Growth Area Average</c:v>
                </c:pt>
                <c:pt idx="4">
                  <c:v>Hume (C)</c:v>
                </c:pt>
                <c:pt idx="5">
                  <c:v>Cardinia (S)</c:v>
                </c:pt>
                <c:pt idx="6">
                  <c:v>Casey (C)</c:v>
                </c:pt>
                <c:pt idx="7">
                  <c:v>Wyndham (C)</c:v>
                </c:pt>
              </c:strCache>
            </c:strRef>
          </c:cat>
          <c:val>
            <c:numRef>
              <c:f>'Price by LGA'!$L$39:$L$46</c:f>
              <c:numCache>
                <c:formatCode>_-"$"* #,##0_-;\-"$"* #,##0_-;_-"$"* "-"??_-;_-@_-</c:formatCode>
                <c:ptCount val="8"/>
                <c:pt idx="0">
                  <c:v>159936.61971830987</c:v>
                </c:pt>
                <c:pt idx="1">
                  <c:v>178440.92783505149</c:v>
                </c:pt>
                <c:pt idx="2">
                  <c:v>200794.36936936935</c:v>
                </c:pt>
                <c:pt idx="3">
                  <c:v>212000</c:v>
                </c:pt>
                <c:pt idx="4">
                  <c:v>213252.49169435209</c:v>
                </c:pt>
                <c:pt idx="5">
                  <c:v>210786.98030634577</c:v>
                </c:pt>
                <c:pt idx="6">
                  <c:v>234998.99396378265</c:v>
                </c:pt>
                <c:pt idx="7">
                  <c:v>231907.53380553768</c:v>
                </c:pt>
              </c:numCache>
            </c:numRef>
          </c:val>
        </c:ser>
        <c:ser>
          <c:idx val="10"/>
          <c:order val="10"/>
          <c:tx>
            <c:strRef>
              <c:f>'Price by LGA'!$M$38</c:f>
              <c:strCache>
                <c:ptCount val="1"/>
                <c:pt idx="0">
                  <c:v>Sep-15</c:v>
                </c:pt>
              </c:strCache>
            </c:strRef>
          </c:tx>
          <c:spPr>
            <a:ln>
              <a:solidFill>
                <a:schemeClr val="tx1"/>
              </a:solidFill>
            </a:ln>
          </c:spPr>
          <c:invertIfNegative val="0"/>
          <c:cat>
            <c:strRef>
              <c:f>'Price by LGA'!$B$39:$B$46</c:f>
              <c:strCache>
                <c:ptCount val="8"/>
                <c:pt idx="0">
                  <c:v>Mitchell (S)</c:v>
                </c:pt>
                <c:pt idx="1">
                  <c:v>Melton (S)</c:v>
                </c:pt>
                <c:pt idx="2">
                  <c:v>Whittlesea (C)</c:v>
                </c:pt>
                <c:pt idx="3">
                  <c:v>Growth Area Average</c:v>
                </c:pt>
                <c:pt idx="4">
                  <c:v>Hume (C)</c:v>
                </c:pt>
                <c:pt idx="5">
                  <c:v>Cardinia (S)</c:v>
                </c:pt>
                <c:pt idx="6">
                  <c:v>Casey (C)</c:v>
                </c:pt>
                <c:pt idx="7">
                  <c:v>Wyndham (C)</c:v>
                </c:pt>
              </c:strCache>
            </c:strRef>
          </c:cat>
          <c:val>
            <c:numRef>
              <c:f>'Price by LGA'!$M$39:$M$46</c:f>
              <c:numCache>
                <c:formatCode>_-"$"* #,##0_-;\-"$"* #,##0_-;_-"$"* "-"??_-;_-@_-</c:formatCode>
                <c:ptCount val="8"/>
                <c:pt idx="0">
                  <c:v>146880</c:v>
                </c:pt>
                <c:pt idx="1">
                  <c:v>179656.56401944897</c:v>
                </c:pt>
                <c:pt idx="2">
                  <c:v>198213.82113821138</c:v>
                </c:pt>
                <c:pt idx="3">
                  <c:v>211000</c:v>
                </c:pt>
                <c:pt idx="4">
                  <c:v>216733.98392652124</c:v>
                </c:pt>
                <c:pt idx="5">
                  <c:v>224878.61896838609</c:v>
                </c:pt>
                <c:pt idx="6">
                  <c:v>237861.37985725616</c:v>
                </c:pt>
                <c:pt idx="7">
                  <c:v>216074.69764481223</c:v>
                </c:pt>
              </c:numCache>
            </c:numRef>
          </c:val>
        </c:ser>
        <c:ser>
          <c:idx val="11"/>
          <c:order val="11"/>
          <c:tx>
            <c:strRef>
              <c:f>'Price by LGA'!$N$38</c:f>
              <c:strCache>
                <c:ptCount val="1"/>
                <c:pt idx="0">
                  <c:v>Dec-15</c:v>
                </c:pt>
              </c:strCache>
            </c:strRef>
          </c:tx>
          <c:spPr>
            <a:solidFill>
              <a:srgbClr val="FFC000"/>
            </a:solidFill>
            <a:ln>
              <a:solidFill>
                <a:schemeClr val="tx1"/>
              </a:solidFill>
            </a:ln>
          </c:spPr>
          <c:invertIfNegative val="0"/>
          <c:cat>
            <c:strRef>
              <c:f>'Price by LGA'!$B$39:$B$46</c:f>
              <c:strCache>
                <c:ptCount val="8"/>
                <c:pt idx="0">
                  <c:v>Mitchell (S)</c:v>
                </c:pt>
                <c:pt idx="1">
                  <c:v>Melton (S)</c:v>
                </c:pt>
                <c:pt idx="2">
                  <c:v>Whittlesea (C)</c:v>
                </c:pt>
                <c:pt idx="3">
                  <c:v>Growth Area Average</c:v>
                </c:pt>
                <c:pt idx="4">
                  <c:v>Hume (C)</c:v>
                </c:pt>
                <c:pt idx="5">
                  <c:v>Cardinia (S)</c:v>
                </c:pt>
                <c:pt idx="6">
                  <c:v>Casey (C)</c:v>
                </c:pt>
                <c:pt idx="7">
                  <c:v>Wyndham (C)</c:v>
                </c:pt>
              </c:strCache>
            </c:strRef>
          </c:cat>
          <c:val>
            <c:numRef>
              <c:f>'Price by LGA'!$N$39:$N$46</c:f>
              <c:numCache>
                <c:formatCode>_-"$"* #,##0_-;\-"$"* #,##0_-;_-"$"* "-"??_-;_-@_-</c:formatCode>
                <c:ptCount val="8"/>
                <c:pt idx="0">
                  <c:v>148993.58974358975</c:v>
                </c:pt>
                <c:pt idx="1">
                  <c:v>182229.28571428574</c:v>
                </c:pt>
                <c:pt idx="2">
                  <c:v>212530.06644518281</c:v>
                </c:pt>
                <c:pt idx="3">
                  <c:v>213000</c:v>
                </c:pt>
                <c:pt idx="4">
                  <c:v>215533.78514056225</c:v>
                </c:pt>
                <c:pt idx="5">
                  <c:v>225220.77102803742</c:v>
                </c:pt>
                <c:pt idx="6">
                  <c:v>239569.36389148733</c:v>
                </c:pt>
                <c:pt idx="7">
                  <c:v>231484.8269742679</c:v>
                </c:pt>
              </c:numCache>
            </c:numRef>
          </c:val>
        </c:ser>
        <c:ser>
          <c:idx val="12"/>
          <c:order val="12"/>
          <c:tx>
            <c:strRef>
              <c:f>'Price by LGA'!$O$38</c:f>
              <c:strCache>
                <c:ptCount val="1"/>
                <c:pt idx="0">
                  <c:v>Mar-16</c:v>
                </c:pt>
              </c:strCache>
            </c:strRef>
          </c:tx>
          <c:spPr>
            <a:solidFill>
              <a:schemeClr val="accent3">
                <a:lumMod val="50000"/>
              </a:schemeClr>
            </a:solidFill>
            <a:ln>
              <a:solidFill>
                <a:schemeClr val="tx1"/>
              </a:solidFill>
            </a:ln>
          </c:spPr>
          <c:invertIfNegative val="0"/>
          <c:cat>
            <c:strRef>
              <c:f>'Price by LGA'!$B$39:$B$46</c:f>
              <c:strCache>
                <c:ptCount val="8"/>
                <c:pt idx="0">
                  <c:v>Mitchell (S)</c:v>
                </c:pt>
                <c:pt idx="1">
                  <c:v>Melton (S)</c:v>
                </c:pt>
                <c:pt idx="2">
                  <c:v>Whittlesea (C)</c:v>
                </c:pt>
                <c:pt idx="3">
                  <c:v>Growth Area Average</c:v>
                </c:pt>
                <c:pt idx="4">
                  <c:v>Hume (C)</c:v>
                </c:pt>
                <c:pt idx="5">
                  <c:v>Cardinia (S)</c:v>
                </c:pt>
                <c:pt idx="6">
                  <c:v>Casey (C)</c:v>
                </c:pt>
                <c:pt idx="7">
                  <c:v>Wyndham (C)</c:v>
                </c:pt>
              </c:strCache>
            </c:strRef>
          </c:cat>
          <c:val>
            <c:numRef>
              <c:f>'Price by LGA'!$O$39:$O$46</c:f>
              <c:numCache>
                <c:formatCode>_-"$"* #,##0_-;\-"$"* #,##0_-;_-"$"* "-"??_-;_-@_-</c:formatCode>
                <c:ptCount val="8"/>
                <c:pt idx="0">
                  <c:v>148721</c:v>
                </c:pt>
                <c:pt idx="1">
                  <c:v>183933</c:v>
                </c:pt>
                <c:pt idx="2">
                  <c:v>214577</c:v>
                </c:pt>
                <c:pt idx="3">
                  <c:v>218000</c:v>
                </c:pt>
                <c:pt idx="4">
                  <c:v>215805</c:v>
                </c:pt>
                <c:pt idx="5">
                  <c:v>227059</c:v>
                </c:pt>
                <c:pt idx="6">
                  <c:v>235340</c:v>
                </c:pt>
                <c:pt idx="7">
                  <c:v>235573</c:v>
                </c:pt>
              </c:numCache>
            </c:numRef>
          </c:val>
        </c:ser>
        <c:ser>
          <c:idx val="13"/>
          <c:order val="13"/>
          <c:tx>
            <c:strRef>
              <c:f>'Price by LGA'!$P$38</c:f>
              <c:strCache>
                <c:ptCount val="1"/>
                <c:pt idx="0">
                  <c:v>Jun-16</c:v>
                </c:pt>
              </c:strCache>
            </c:strRef>
          </c:tx>
          <c:spPr>
            <a:ln>
              <a:solidFill>
                <a:schemeClr val="tx1"/>
              </a:solidFill>
            </a:ln>
          </c:spPr>
          <c:invertIfNegative val="0"/>
          <c:dLbls>
            <c:spPr>
              <a:noFill/>
              <a:ln>
                <a:noFill/>
              </a:ln>
              <a:effectLst/>
            </c:spPr>
            <c:txPr>
              <a:bodyPr rot="-5400000" vert="horz" wrap="square" lIns="38100" tIns="19050" rIns="38100" bIns="19050" anchor="ctr">
                <a:spAutoFit/>
              </a:bodyPr>
              <a:lstStyle/>
              <a:p>
                <a:pPr>
                  <a:defRPr sz="8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'Price by LGA'!$B$39:$B$46</c:f>
              <c:strCache>
                <c:ptCount val="8"/>
                <c:pt idx="0">
                  <c:v>Mitchell (S)</c:v>
                </c:pt>
                <c:pt idx="1">
                  <c:v>Melton (S)</c:v>
                </c:pt>
                <c:pt idx="2">
                  <c:v>Whittlesea (C)</c:v>
                </c:pt>
                <c:pt idx="3">
                  <c:v>Growth Area Average</c:v>
                </c:pt>
                <c:pt idx="4">
                  <c:v>Hume (C)</c:v>
                </c:pt>
                <c:pt idx="5">
                  <c:v>Cardinia (S)</c:v>
                </c:pt>
                <c:pt idx="6">
                  <c:v>Casey (C)</c:v>
                </c:pt>
                <c:pt idx="7">
                  <c:v>Wyndham (C)</c:v>
                </c:pt>
              </c:strCache>
            </c:strRef>
          </c:cat>
          <c:val>
            <c:numRef>
              <c:f>'Price by LGA'!$P$39:$P$46</c:f>
              <c:numCache>
                <c:formatCode>_-"$"* #,##0_-;\-"$"* #,##0_-;_-"$"* "-"??_-;_-@_-</c:formatCode>
                <c:ptCount val="8"/>
                <c:pt idx="0">
                  <c:v>146837.62886597938</c:v>
                </c:pt>
                <c:pt idx="1">
                  <c:v>197366.87155963303</c:v>
                </c:pt>
                <c:pt idx="2">
                  <c:v>213197.50390015604</c:v>
                </c:pt>
                <c:pt idx="3">
                  <c:v>221730</c:v>
                </c:pt>
                <c:pt idx="4">
                  <c:v>228337.22163308581</c:v>
                </c:pt>
                <c:pt idx="5">
                  <c:v>237685.24850894633</c:v>
                </c:pt>
                <c:pt idx="6">
                  <c:v>247789.88657844992</c:v>
                </c:pt>
                <c:pt idx="7">
                  <c:v>248970.07616974978</c:v>
                </c:pt>
              </c:numCache>
            </c:numRef>
          </c:val>
        </c:ser>
        <c:dLbls>
          <c:showLegendKey val="0"/>
          <c:showVal val="0"/>
          <c:showCatName val="0"/>
          <c:showSerName val="0"/>
          <c:showPercent val="0"/>
          <c:showBubbleSize val="0"/>
        </c:dLbls>
        <c:gapWidth val="50"/>
        <c:axId val="723773728"/>
        <c:axId val="723774288"/>
      </c:barChart>
      <c:catAx>
        <c:axId val="723773728"/>
        <c:scaling>
          <c:orientation val="minMax"/>
        </c:scaling>
        <c:delete val="0"/>
        <c:axPos val="b"/>
        <c:numFmt formatCode="General" sourceLinked="1"/>
        <c:majorTickMark val="out"/>
        <c:minorTickMark val="none"/>
        <c:tickLblPos val="nextTo"/>
        <c:txPr>
          <a:bodyPr/>
          <a:lstStyle/>
          <a:p>
            <a:pPr>
              <a:defRPr sz="800"/>
            </a:pPr>
            <a:endParaRPr lang="en-US"/>
          </a:p>
        </c:txPr>
        <c:crossAx val="723774288"/>
        <c:crosses val="autoZero"/>
        <c:auto val="1"/>
        <c:lblAlgn val="ctr"/>
        <c:lblOffset val="100"/>
        <c:noMultiLvlLbl val="0"/>
      </c:catAx>
      <c:valAx>
        <c:axId val="723774288"/>
        <c:scaling>
          <c:orientation val="minMax"/>
          <c:max val="300000"/>
        </c:scaling>
        <c:delete val="0"/>
        <c:axPos val="l"/>
        <c:majorGridlines/>
        <c:numFmt formatCode="_-&quot;$&quot;* #,##0_-;\-&quot;$&quot;* #,##0_-;_-&quot;$&quot;* &quot;-&quot;??_-;_-@_-" sourceLinked="1"/>
        <c:majorTickMark val="out"/>
        <c:minorTickMark val="none"/>
        <c:tickLblPos val="nextTo"/>
        <c:txPr>
          <a:bodyPr/>
          <a:lstStyle/>
          <a:p>
            <a:pPr>
              <a:defRPr sz="800"/>
            </a:pPr>
            <a:endParaRPr lang="en-US"/>
          </a:p>
        </c:txPr>
        <c:crossAx val="723773728"/>
        <c:crosses val="autoZero"/>
        <c:crossBetween val="between"/>
      </c:valAx>
      <c:spPr>
        <a:solidFill>
          <a:schemeClr val="bg2"/>
        </a:solidFill>
      </c:spPr>
    </c:plotArea>
    <c:legend>
      <c:legendPos val="r"/>
      <c:layout>
        <c:manualLayout>
          <c:xMode val="edge"/>
          <c:yMode val="edge"/>
          <c:x val="0.45326555054404605"/>
          <c:y val="1.1981983813900551E-2"/>
          <c:w val="0.54402218230002808"/>
          <c:h val="0.12806728395800865"/>
        </c:manualLayout>
      </c:layout>
      <c:overlay val="0"/>
      <c:spPr>
        <a:noFill/>
        <a:ln>
          <a:noFill/>
        </a:ln>
      </c:spPr>
      <c:txPr>
        <a:bodyPr/>
        <a:lstStyle/>
        <a:p>
          <a:pPr>
            <a:defRPr sz="800">
              <a:solidFill>
                <a:schemeClr val="tx1"/>
              </a:solidFill>
            </a:defRPr>
          </a:pPr>
          <a:endParaRPr lang="en-US"/>
        </a:p>
      </c:txPr>
    </c:legend>
    <c:plotVisOnly val="1"/>
    <c:dispBlanksAs val="gap"/>
    <c:showDLblsOverMax val="0"/>
  </c:chart>
  <c:spPr>
    <a:noFill/>
    <a:ln>
      <a:noFill/>
    </a:ln>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l">
              <a:defRPr/>
            </a:pPr>
            <a:r>
              <a:rPr lang="en-AU" sz="1200"/>
              <a:t>Australian Cities - </a:t>
            </a:r>
          </a:p>
          <a:p>
            <a:pPr algn="l">
              <a:defRPr/>
            </a:pPr>
            <a:r>
              <a:rPr lang="en-AU" sz="1200"/>
              <a:t>Median Lot Price for Vacant Serviced Lots in Greenfield Areas</a:t>
            </a:r>
          </a:p>
          <a:p>
            <a:pPr algn="l">
              <a:defRPr/>
            </a:pPr>
            <a:r>
              <a:rPr lang="en-AU" sz="1200"/>
              <a:t>2nd Quarter 2016</a:t>
            </a:r>
          </a:p>
          <a:p>
            <a:pPr algn="l">
              <a:defRPr/>
            </a:pPr>
            <a:r>
              <a:rPr lang="en-AU" sz="800"/>
              <a:t>Source: MPA analysis of CKC Research 4 National Land Survey Program</a:t>
            </a:r>
          </a:p>
        </c:rich>
      </c:tx>
      <c:layout>
        <c:manualLayout>
          <c:xMode val="edge"/>
          <c:yMode val="edge"/>
          <c:x val="7.8796521229406097E-4"/>
          <c:y val="1.2149511966395321E-3"/>
        </c:manualLayout>
      </c:layout>
      <c:overlay val="0"/>
      <c:spPr>
        <a:noFill/>
        <a:ln w="25400">
          <a:noFill/>
        </a:ln>
      </c:spPr>
    </c:title>
    <c:autoTitleDeleted val="0"/>
    <c:plotArea>
      <c:layout>
        <c:manualLayout>
          <c:layoutTarget val="inner"/>
          <c:xMode val="edge"/>
          <c:yMode val="edge"/>
          <c:x val="0.39943781186263672"/>
          <c:y val="0.26393156986454919"/>
          <c:w val="0.54716687615193416"/>
          <c:h val="0.71891262006625489"/>
        </c:manualLayout>
      </c:layout>
      <c:barChart>
        <c:barDir val="bar"/>
        <c:grouping val="clustered"/>
        <c:varyColors val="0"/>
        <c:ser>
          <c:idx val="0"/>
          <c:order val="0"/>
          <c:spPr>
            <a:solidFill>
              <a:schemeClr val="accent1"/>
            </a:solidFill>
            <a:ln>
              <a:solidFill>
                <a:schemeClr val="tx1"/>
              </a:solidFill>
            </a:ln>
          </c:spPr>
          <c:invertIfNegative val="0"/>
          <c:dPt>
            <c:idx val="3"/>
            <c:invertIfNegative val="0"/>
            <c:bubble3D val="0"/>
            <c:spPr>
              <a:solidFill>
                <a:srgbClr val="0000FF"/>
              </a:solidFill>
              <a:ln>
                <a:solidFill>
                  <a:schemeClr val="tx1"/>
                </a:solidFill>
              </a:ln>
            </c:spPr>
          </c:dPt>
          <c:dPt>
            <c:idx val="4"/>
            <c:invertIfNegative val="0"/>
            <c:bubble3D val="0"/>
          </c:dPt>
          <c:dPt>
            <c:idx val="5"/>
            <c:invertIfNegative val="0"/>
            <c:bubble3D val="0"/>
            <c:spPr>
              <a:solidFill>
                <a:srgbClr val="008000"/>
              </a:solidFill>
              <a:ln>
                <a:solidFill>
                  <a:schemeClr val="tx1"/>
                </a:solidFill>
              </a:ln>
            </c:spPr>
          </c:dPt>
          <c:dLbls>
            <c:spPr>
              <a:noFill/>
              <a:ln w="25400">
                <a:noFill/>
              </a:ln>
            </c:spPr>
            <c:txPr>
              <a:bodyPr/>
              <a:lstStyle/>
              <a:p>
                <a:pPr>
                  <a:defRPr sz="80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'CKC Research 4 Prices'!$AC$32:$AC$38</c:f>
              <c:strCache>
                <c:ptCount val="7"/>
                <c:pt idx="0">
                  <c:v>Metro Sydney</c:v>
                </c:pt>
                <c:pt idx="1">
                  <c:v>Canberra</c:v>
                </c:pt>
                <c:pt idx="2">
                  <c:v>Brisbane / Sunshine Coast / Gold Coast</c:v>
                </c:pt>
                <c:pt idx="3">
                  <c:v>National Median</c:v>
                </c:pt>
                <c:pt idx="4">
                  <c:v>Perth </c:v>
                </c:pt>
                <c:pt idx="5">
                  <c:v>Melbourne</c:v>
                </c:pt>
                <c:pt idx="6">
                  <c:v>Adelaide</c:v>
                </c:pt>
              </c:strCache>
            </c:strRef>
          </c:cat>
          <c:val>
            <c:numRef>
              <c:f>'CKC Research 4 Prices'!$AB$32:$AB$38</c:f>
              <c:numCache>
                <c:formatCode>_-"$"* #,##0_-;\-"$"* #,##0_-;_-"$"* "-"??_-;_-@_-</c:formatCode>
                <c:ptCount val="7"/>
                <c:pt idx="0">
                  <c:v>460375</c:v>
                </c:pt>
                <c:pt idx="1">
                  <c:v>420000</c:v>
                </c:pt>
                <c:pt idx="2">
                  <c:v>264000</c:v>
                </c:pt>
                <c:pt idx="3">
                  <c:v>276984</c:v>
                </c:pt>
                <c:pt idx="4">
                  <c:v>242500</c:v>
                </c:pt>
                <c:pt idx="5">
                  <c:v>221730</c:v>
                </c:pt>
                <c:pt idx="6">
                  <c:v>169250</c:v>
                </c:pt>
              </c:numCache>
            </c:numRef>
          </c:val>
        </c:ser>
        <c:dLbls>
          <c:showLegendKey val="0"/>
          <c:showVal val="0"/>
          <c:showCatName val="0"/>
          <c:showSerName val="0"/>
          <c:showPercent val="0"/>
          <c:showBubbleSize val="0"/>
        </c:dLbls>
        <c:gapWidth val="60"/>
        <c:axId val="723776528"/>
        <c:axId val="723777088"/>
      </c:barChart>
      <c:catAx>
        <c:axId val="723776528"/>
        <c:scaling>
          <c:orientation val="maxMin"/>
        </c:scaling>
        <c:delete val="0"/>
        <c:axPos val="l"/>
        <c:numFmt formatCode="General" sourceLinked="1"/>
        <c:majorTickMark val="out"/>
        <c:minorTickMark val="none"/>
        <c:tickLblPos val="nextTo"/>
        <c:spPr>
          <a:ln w="3175">
            <a:solidFill>
              <a:srgbClr val="000000"/>
            </a:solidFill>
            <a:prstDash val="solid"/>
          </a:ln>
        </c:spPr>
        <c:txPr>
          <a:bodyPr rot="0" vert="horz"/>
          <a:lstStyle/>
          <a:p>
            <a:pPr>
              <a:defRPr sz="1000"/>
            </a:pPr>
            <a:endParaRPr lang="en-US"/>
          </a:p>
        </c:txPr>
        <c:crossAx val="723777088"/>
        <c:crosses val="autoZero"/>
        <c:auto val="1"/>
        <c:lblAlgn val="ctr"/>
        <c:lblOffset val="100"/>
        <c:tickLblSkip val="1"/>
        <c:tickMarkSkip val="1"/>
        <c:noMultiLvlLbl val="0"/>
      </c:catAx>
      <c:valAx>
        <c:axId val="723777088"/>
        <c:scaling>
          <c:orientation val="minMax"/>
          <c:max val="500000"/>
        </c:scaling>
        <c:delete val="0"/>
        <c:axPos val="t"/>
        <c:majorGridlines>
          <c:spPr>
            <a:ln w="3175">
              <a:solidFill>
                <a:srgbClr val="000000"/>
              </a:solidFill>
              <a:prstDash val="solid"/>
            </a:ln>
          </c:spPr>
        </c:majorGridlines>
        <c:numFmt formatCode="_-&quot;$&quot;* #,##0_-;\-&quot;$&quot;* #,##0_-;_-&quot;$&quot;* &quot;-&quot;??_-;_-@_-" sourceLinked="1"/>
        <c:majorTickMark val="out"/>
        <c:minorTickMark val="none"/>
        <c:tickLblPos val="nextTo"/>
        <c:spPr>
          <a:ln w="3175">
            <a:solidFill>
              <a:srgbClr val="000000"/>
            </a:solidFill>
            <a:prstDash val="solid"/>
          </a:ln>
        </c:spPr>
        <c:txPr>
          <a:bodyPr rot="0" vert="horz"/>
          <a:lstStyle/>
          <a:p>
            <a:pPr>
              <a:defRPr sz="800"/>
            </a:pPr>
            <a:endParaRPr lang="en-US"/>
          </a:p>
        </c:txPr>
        <c:crossAx val="723776528"/>
        <c:crosses val="autoZero"/>
        <c:crossBetween val="between"/>
        <c:majorUnit val="100000"/>
      </c:valAx>
      <c:spPr>
        <a:solidFill>
          <a:schemeClr val="bg1">
            <a:lumMod val="95000"/>
          </a:schemeClr>
        </a:solidFill>
        <a:ln w="12700">
          <a:solidFill>
            <a:srgbClr val="808080"/>
          </a:solidFill>
          <a:prstDash val="solid"/>
        </a:ln>
      </c:spPr>
    </c:plotArea>
    <c:plotVisOnly val="1"/>
    <c:dispBlanksAs val="gap"/>
    <c:showDLblsOverMax val="0"/>
  </c:chart>
  <c:spPr>
    <a:solidFill>
      <a:schemeClr val="bg1"/>
    </a:solidFill>
    <a:ln w="3175">
      <a:noFill/>
      <a:prstDash val="solid"/>
    </a:ln>
  </c:spPr>
  <c:txPr>
    <a:bodyPr/>
    <a:lstStyle/>
    <a:p>
      <a:pPr>
        <a:defRPr sz="1600" b="0" i="0" u="none" strike="noStrike" baseline="0">
          <a:solidFill>
            <a:srgbClr val="000000"/>
          </a:solidFill>
          <a:latin typeface="Trebuchet MS"/>
          <a:ea typeface="Trebuchet MS"/>
          <a:cs typeface="Trebuchet MS"/>
        </a:defRPr>
      </a:pPr>
      <a:endParaRPr lang="en-US"/>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cap="none" spc="20" baseline="0">
                <a:solidFill>
                  <a:sysClr val="windowText" lastClr="000000"/>
                </a:solidFill>
                <a:latin typeface="+mn-lt"/>
                <a:ea typeface="+mn-ea"/>
                <a:cs typeface="+mn-cs"/>
              </a:defRPr>
            </a:pPr>
            <a:r>
              <a:rPr lang="en-AU" sz="1200" b="1">
                <a:solidFill>
                  <a:sysClr val="windowText" lastClr="000000"/>
                </a:solidFill>
              </a:rPr>
              <a:t>Supply of 'PSP Approved Land' in Melbourne Greenfields</a:t>
            </a:r>
          </a:p>
          <a:p>
            <a:pPr algn="l">
              <a:defRPr>
                <a:solidFill>
                  <a:sysClr val="windowText" lastClr="000000"/>
                </a:solidFill>
              </a:defRPr>
            </a:pPr>
            <a:r>
              <a:rPr lang="en-AU" sz="900">
                <a:solidFill>
                  <a:sysClr val="windowText" lastClr="000000"/>
                </a:solidFill>
              </a:rPr>
              <a:t>Source: MPA modelling</a:t>
            </a:r>
          </a:p>
        </c:rich>
      </c:tx>
      <c:layout>
        <c:manualLayout>
          <c:xMode val="edge"/>
          <c:yMode val="edge"/>
          <c:x val="6.940724193813456E-5"/>
          <c:y val="0"/>
        </c:manualLayout>
      </c:layout>
      <c:overlay val="0"/>
      <c:spPr>
        <a:noFill/>
        <a:ln>
          <a:noFill/>
        </a:ln>
        <a:effectLst/>
      </c:spPr>
      <c:txPr>
        <a:bodyPr rot="0" spcFirstLastPara="1" vertOverflow="ellipsis" vert="horz" wrap="square" anchor="ctr" anchorCtr="1"/>
        <a:lstStyle/>
        <a:p>
          <a:pPr algn="l">
            <a:defRPr sz="1400" b="0" i="0" u="none" strike="noStrike" kern="1200" cap="none" spc="2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1782503565007126E-2"/>
          <c:y val="0.14607596833270459"/>
          <c:w val="0.87934610535887736"/>
          <c:h val="0.64995036935367789"/>
        </c:manualLayout>
      </c:layout>
      <c:barChart>
        <c:barDir val="col"/>
        <c:grouping val="clustered"/>
        <c:varyColors val="1"/>
        <c:ser>
          <c:idx val="0"/>
          <c:order val="0"/>
          <c:invertIfNegative val="0"/>
          <c:dPt>
            <c:idx val="0"/>
            <c:invertIfNegative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dPt>
          <c:dPt>
            <c:idx val="1"/>
            <c:invertIfNegative val="0"/>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dPt>
          <c:dPt>
            <c:idx val="2"/>
            <c:invertIfNegative val="0"/>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dPt>
          <c:dPt>
            <c:idx val="3"/>
            <c:invertIfNegative val="0"/>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dPt>
          <c:dPt>
            <c:idx val="4"/>
            <c:invertIfNegative val="0"/>
            <c:bubble3D val="0"/>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chemeClr>
                </a:solidFill>
                <a:round/>
              </a:ln>
              <a:effectLst>
                <a:outerShdw blurRad="40000" dist="20000" dir="5400000" rotWithShape="0">
                  <a:srgbClr val="000000">
                    <a:alpha val="38000"/>
                  </a:srgbClr>
                </a:outerShdw>
              </a:effectLst>
            </c:spPr>
          </c:dPt>
          <c:dPt>
            <c:idx val="5"/>
            <c:invertIfNegative val="0"/>
            <c:bubble3D val="0"/>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chemeClr>
                </a:solidFill>
                <a:round/>
              </a:ln>
              <a:effectLst>
                <a:outerShdw blurRad="40000" dist="20000" dir="5400000" rotWithShape="0">
                  <a:srgbClr val="000000">
                    <a:alpha val="38000"/>
                  </a:srgbClr>
                </a:outerShdw>
              </a:effectLst>
            </c:spPr>
          </c:dPt>
          <c:dPt>
            <c:idx val="6"/>
            <c:invertIfNegative val="0"/>
            <c:bubble3D val="0"/>
            <c:spPr>
              <a:gradFill rotWithShape="1">
                <a:gsLst>
                  <a:gs pos="0">
                    <a:schemeClr val="accent1">
                      <a:lumMod val="60000"/>
                      <a:tint val="50000"/>
                      <a:satMod val="300000"/>
                    </a:schemeClr>
                  </a:gs>
                  <a:gs pos="35000">
                    <a:schemeClr val="accent1">
                      <a:lumMod val="60000"/>
                      <a:tint val="37000"/>
                      <a:satMod val="300000"/>
                    </a:schemeClr>
                  </a:gs>
                  <a:gs pos="100000">
                    <a:schemeClr val="accent1">
                      <a:lumMod val="60000"/>
                      <a:tint val="15000"/>
                      <a:satMod val="350000"/>
                    </a:schemeClr>
                  </a:gs>
                </a:gsLst>
                <a:lin ang="16200000" scaled="1"/>
              </a:gradFill>
              <a:ln w="9525" cap="flat" cmpd="sng" algn="ctr">
                <a:solidFill>
                  <a:schemeClr val="accent1">
                    <a:lumMod val="60000"/>
                    <a:shade val="95000"/>
                  </a:schemeClr>
                </a:solidFill>
                <a:round/>
              </a:ln>
              <a:effectLst>
                <a:outerShdw blurRad="40000" dist="20000" dir="5400000" rotWithShape="0">
                  <a:srgbClr val="000000">
                    <a:alpha val="38000"/>
                  </a:srgbClr>
                </a:outerShdw>
              </a:effectLst>
            </c:spPr>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'Corridor Estimates'!$R$141:$R$147</c:f>
              <c:strCache>
                <c:ptCount val="7"/>
                <c:pt idx="0">
                  <c:v>End of 2009</c:v>
                </c:pt>
                <c:pt idx="1">
                  <c:v>End of 2010</c:v>
                </c:pt>
                <c:pt idx="2">
                  <c:v>End of 2011</c:v>
                </c:pt>
                <c:pt idx="3">
                  <c:v>End of 2012</c:v>
                </c:pt>
                <c:pt idx="4">
                  <c:v>End of 2013</c:v>
                </c:pt>
                <c:pt idx="5">
                  <c:v>End of 2014</c:v>
                </c:pt>
                <c:pt idx="6">
                  <c:v>End of 2015</c:v>
                </c:pt>
              </c:strCache>
            </c:strRef>
          </c:cat>
          <c:val>
            <c:numRef>
              <c:f>'Corridor Estimates'!$S$141:$S$147</c:f>
              <c:numCache>
                <c:formatCode>General</c:formatCode>
                <c:ptCount val="7"/>
                <c:pt idx="0">
                  <c:v>4.4000000000000004</c:v>
                </c:pt>
                <c:pt idx="1">
                  <c:v>6.1</c:v>
                </c:pt>
                <c:pt idx="2">
                  <c:v>6.7</c:v>
                </c:pt>
                <c:pt idx="3">
                  <c:v>8.1</c:v>
                </c:pt>
                <c:pt idx="4">
                  <c:v>8.3000000000000007</c:v>
                </c:pt>
                <c:pt idx="5">
                  <c:v>11.3</c:v>
                </c:pt>
                <c:pt idx="6">
                  <c:v>10.8</c:v>
                </c:pt>
              </c:numCache>
            </c:numRef>
          </c:val>
        </c:ser>
        <c:dLbls>
          <c:dLblPos val="inEnd"/>
          <c:showLegendKey val="0"/>
          <c:showVal val="1"/>
          <c:showCatName val="0"/>
          <c:showSerName val="0"/>
          <c:showPercent val="0"/>
          <c:showBubbleSize val="0"/>
        </c:dLbls>
        <c:gapWidth val="100"/>
        <c:overlap val="-24"/>
        <c:axId val="503062128"/>
        <c:axId val="503062688"/>
      </c:barChart>
      <c:catAx>
        <c:axId val="503062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n-US"/>
          </a:p>
        </c:txPr>
        <c:crossAx val="503062688"/>
        <c:crosses val="autoZero"/>
        <c:auto val="1"/>
        <c:lblAlgn val="ctr"/>
        <c:lblOffset val="100"/>
        <c:noMultiLvlLbl val="0"/>
      </c:catAx>
      <c:valAx>
        <c:axId val="503062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ysClr val="windowText" lastClr="000000"/>
                    </a:solidFill>
                    <a:latin typeface="+mn-lt"/>
                    <a:ea typeface="+mn-ea"/>
                    <a:cs typeface="+mn-cs"/>
                  </a:defRPr>
                </a:pPr>
                <a:r>
                  <a:rPr lang="en-AU" b="1">
                    <a:solidFill>
                      <a:sysClr val="windowText" lastClr="000000"/>
                    </a:solidFill>
                  </a:rPr>
                  <a:t>Years of Supply of 'PSP approved land'</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03062128"/>
        <c:crosses val="autoZero"/>
        <c:crossBetween val="between"/>
      </c:valAx>
      <c:spPr>
        <a:solidFill>
          <a:srgbClr val="F8F8F8"/>
        </a:solidFill>
        <a:ln>
          <a:noFill/>
        </a:ln>
        <a:effectLst/>
      </c:spPr>
    </c:plotArea>
    <c:plotVisOnly val="1"/>
    <c:dispBlanksAs val="gap"/>
    <c:showDLblsOverMax val="0"/>
  </c:chart>
  <c:spPr>
    <a:solidFill>
      <a:sysClr val="window" lastClr="FFFFFF"/>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Sales of Property Recorded</a:t>
            </a:r>
            <a:r>
              <a:rPr lang="en-AU" baseline="0"/>
              <a:t> - 2016 So far</a:t>
            </a:r>
          </a:p>
          <a:p>
            <a:pPr algn="l">
              <a:defRPr/>
            </a:pPr>
            <a:r>
              <a:rPr lang="en-AU" baseline="0"/>
              <a:t>Metropolitan Melbourne</a:t>
            </a:r>
          </a:p>
          <a:p>
            <a:pPr algn="l">
              <a:defRPr/>
            </a:pPr>
            <a:r>
              <a:rPr lang="en-AU" sz="800" baseline="0"/>
              <a:t>Source: MPA analysis of Landata as of 1/8/16</a:t>
            </a:r>
            <a:endParaRPr lang="en-AU"/>
          </a:p>
        </c:rich>
      </c:tx>
      <c:layout>
        <c:manualLayout>
          <c:xMode val="edge"/>
          <c:yMode val="edge"/>
          <c:x val="1.6522423288748897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5175580432461681"/>
          <c:y val="0.12949730738698537"/>
          <c:w val="0.69809995229746558"/>
          <c:h val="0.83083038325931324"/>
        </c:manualLayout>
      </c:layout>
      <c:barChart>
        <c:barDir val="bar"/>
        <c:grouping val="stacked"/>
        <c:varyColors val="0"/>
        <c:ser>
          <c:idx val="0"/>
          <c:order val="0"/>
          <c:tx>
            <c:strRef>
              <c:f>Sheet1!$B$2</c:f>
              <c:strCache>
                <c:ptCount val="1"/>
                <c:pt idx="0">
                  <c:v>Houses</c:v>
                </c:pt>
              </c:strCache>
            </c:strRef>
          </c:tx>
          <c:spPr>
            <a:solidFill>
              <a:schemeClr val="accent1"/>
            </a:solidFill>
            <a:ln>
              <a:solidFill>
                <a:schemeClr val="tx1"/>
              </a:solidFill>
            </a:ln>
            <a:effectLst/>
          </c:spPr>
          <c:invertIfNegative val="0"/>
          <c:cat>
            <c:strRef>
              <c:f>Sheet1!$A$3:$A$43</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Sheet1!$B$3:$B$43</c:f>
              <c:numCache>
                <c:formatCode>General</c:formatCode>
                <c:ptCount val="41"/>
                <c:pt idx="1">
                  <c:v>231</c:v>
                </c:pt>
                <c:pt idx="2">
                  <c:v>93</c:v>
                </c:pt>
                <c:pt idx="3">
                  <c:v>145</c:v>
                </c:pt>
                <c:pt idx="4">
                  <c:v>170</c:v>
                </c:pt>
                <c:pt idx="5">
                  <c:v>155</c:v>
                </c:pt>
                <c:pt idx="8">
                  <c:v>373</c:v>
                </c:pt>
                <c:pt idx="9">
                  <c:v>511</c:v>
                </c:pt>
                <c:pt idx="10">
                  <c:v>247</c:v>
                </c:pt>
                <c:pt idx="11">
                  <c:v>368</c:v>
                </c:pt>
                <c:pt idx="12">
                  <c:v>394</c:v>
                </c:pt>
                <c:pt idx="13">
                  <c:v>386</c:v>
                </c:pt>
                <c:pt idx="14">
                  <c:v>598</c:v>
                </c:pt>
                <c:pt idx="17">
                  <c:v>277</c:v>
                </c:pt>
                <c:pt idx="18">
                  <c:v>307</c:v>
                </c:pt>
                <c:pt idx="19">
                  <c:v>920</c:v>
                </c:pt>
                <c:pt idx="20">
                  <c:v>164</c:v>
                </c:pt>
                <c:pt idx="21">
                  <c:v>355</c:v>
                </c:pt>
                <c:pt idx="22">
                  <c:v>164</c:v>
                </c:pt>
                <c:pt idx="23">
                  <c:v>745</c:v>
                </c:pt>
                <c:pt idx="26">
                  <c:v>256</c:v>
                </c:pt>
                <c:pt idx="27">
                  <c:v>515</c:v>
                </c:pt>
                <c:pt idx="28">
                  <c:v>1645</c:v>
                </c:pt>
                <c:pt idx="29">
                  <c:v>704</c:v>
                </c:pt>
                <c:pt idx="30">
                  <c:v>248</c:v>
                </c:pt>
                <c:pt idx="31">
                  <c:v>407</c:v>
                </c:pt>
                <c:pt idx="32">
                  <c:v>392</c:v>
                </c:pt>
                <c:pt idx="33">
                  <c:v>1264</c:v>
                </c:pt>
                <c:pt idx="36">
                  <c:v>667</c:v>
                </c:pt>
                <c:pt idx="37">
                  <c:v>293</c:v>
                </c:pt>
                <c:pt idx="38">
                  <c:v>743</c:v>
                </c:pt>
                <c:pt idx="39">
                  <c:v>311</c:v>
                </c:pt>
                <c:pt idx="40">
                  <c:v>1266</c:v>
                </c:pt>
              </c:numCache>
            </c:numRef>
          </c:val>
        </c:ser>
        <c:ser>
          <c:idx val="1"/>
          <c:order val="1"/>
          <c:tx>
            <c:strRef>
              <c:f>Sheet1!$C$2</c:f>
              <c:strCache>
                <c:ptCount val="1"/>
                <c:pt idx="0">
                  <c:v>Semi-detached Dwelling</c:v>
                </c:pt>
              </c:strCache>
            </c:strRef>
          </c:tx>
          <c:spPr>
            <a:solidFill>
              <a:srgbClr val="C00000"/>
            </a:solidFill>
            <a:ln>
              <a:solidFill>
                <a:schemeClr val="tx1"/>
              </a:solidFill>
            </a:ln>
            <a:effectLst/>
          </c:spPr>
          <c:invertIfNegative val="0"/>
          <c:cat>
            <c:strRef>
              <c:f>Sheet1!$A$3:$A$43</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Sheet1!$C$3:$C$43</c:f>
              <c:numCache>
                <c:formatCode>General</c:formatCode>
                <c:ptCount val="41"/>
                <c:pt idx="1">
                  <c:v>16</c:v>
                </c:pt>
                <c:pt idx="2">
                  <c:v>22</c:v>
                </c:pt>
                <c:pt idx="3">
                  <c:v>29</c:v>
                </c:pt>
                <c:pt idx="4">
                  <c:v>33</c:v>
                </c:pt>
                <c:pt idx="5">
                  <c:v>31</c:v>
                </c:pt>
                <c:pt idx="8">
                  <c:v>47</c:v>
                </c:pt>
                <c:pt idx="9">
                  <c:v>19</c:v>
                </c:pt>
                <c:pt idx="10">
                  <c:v>5</c:v>
                </c:pt>
                <c:pt idx="11">
                  <c:v>19</c:v>
                </c:pt>
                <c:pt idx="12">
                  <c:v>18</c:v>
                </c:pt>
                <c:pt idx="13">
                  <c:v>18</c:v>
                </c:pt>
                <c:pt idx="14">
                  <c:v>8</c:v>
                </c:pt>
                <c:pt idx="17">
                  <c:v>12</c:v>
                </c:pt>
                <c:pt idx="18">
                  <c:v>102</c:v>
                </c:pt>
                <c:pt idx="19">
                  <c:v>32</c:v>
                </c:pt>
                <c:pt idx="20">
                  <c:v>4</c:v>
                </c:pt>
                <c:pt idx="21">
                  <c:v>81</c:v>
                </c:pt>
                <c:pt idx="22">
                  <c:v>6</c:v>
                </c:pt>
                <c:pt idx="23">
                  <c:v>35</c:v>
                </c:pt>
                <c:pt idx="26">
                  <c:v>19</c:v>
                </c:pt>
                <c:pt idx="27">
                  <c:v>7</c:v>
                </c:pt>
                <c:pt idx="28">
                  <c:v>15</c:v>
                </c:pt>
                <c:pt idx="29">
                  <c:v>47</c:v>
                </c:pt>
                <c:pt idx="30">
                  <c:v>43</c:v>
                </c:pt>
                <c:pt idx="31">
                  <c:v>44</c:v>
                </c:pt>
                <c:pt idx="32">
                  <c:v>30</c:v>
                </c:pt>
                <c:pt idx="33">
                  <c:v>31</c:v>
                </c:pt>
                <c:pt idx="36">
                  <c:v>9</c:v>
                </c:pt>
                <c:pt idx="37">
                  <c:v>14</c:v>
                </c:pt>
                <c:pt idx="38">
                  <c:v>13</c:v>
                </c:pt>
                <c:pt idx="39">
                  <c:v>21</c:v>
                </c:pt>
                <c:pt idx="40">
                  <c:v>13</c:v>
                </c:pt>
              </c:numCache>
            </c:numRef>
          </c:val>
        </c:ser>
        <c:ser>
          <c:idx val="2"/>
          <c:order val="2"/>
          <c:tx>
            <c:strRef>
              <c:f>Sheet1!$D$2</c:f>
              <c:strCache>
                <c:ptCount val="1"/>
                <c:pt idx="0">
                  <c:v>Strata Dwelling</c:v>
                </c:pt>
              </c:strCache>
            </c:strRef>
          </c:tx>
          <c:spPr>
            <a:solidFill>
              <a:schemeClr val="accent6">
                <a:lumMod val="50000"/>
              </a:schemeClr>
            </a:solidFill>
            <a:ln>
              <a:solidFill>
                <a:schemeClr val="tx1"/>
              </a:solidFill>
            </a:ln>
            <a:effectLst/>
          </c:spPr>
          <c:invertIfNegative val="0"/>
          <c:cat>
            <c:strRef>
              <c:f>Sheet1!$A$3:$A$43</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Sheet1!$D$3:$D$43</c:f>
              <c:numCache>
                <c:formatCode>General</c:formatCode>
                <c:ptCount val="41"/>
                <c:pt idx="1">
                  <c:v>177</c:v>
                </c:pt>
                <c:pt idx="2">
                  <c:v>1078</c:v>
                </c:pt>
                <c:pt idx="3">
                  <c:v>203</c:v>
                </c:pt>
                <c:pt idx="4">
                  <c:v>397</c:v>
                </c:pt>
                <c:pt idx="5">
                  <c:v>231</c:v>
                </c:pt>
                <c:pt idx="8">
                  <c:v>335</c:v>
                </c:pt>
                <c:pt idx="9">
                  <c:v>129</c:v>
                </c:pt>
                <c:pt idx="10">
                  <c:v>203</c:v>
                </c:pt>
                <c:pt idx="11">
                  <c:v>214</c:v>
                </c:pt>
                <c:pt idx="12">
                  <c:v>230</c:v>
                </c:pt>
                <c:pt idx="13">
                  <c:v>210</c:v>
                </c:pt>
                <c:pt idx="14">
                  <c:v>94</c:v>
                </c:pt>
                <c:pt idx="17">
                  <c:v>172</c:v>
                </c:pt>
                <c:pt idx="18">
                  <c:v>194</c:v>
                </c:pt>
                <c:pt idx="19">
                  <c:v>106</c:v>
                </c:pt>
                <c:pt idx="20">
                  <c:v>23</c:v>
                </c:pt>
                <c:pt idx="21">
                  <c:v>205</c:v>
                </c:pt>
                <c:pt idx="22">
                  <c:v>30</c:v>
                </c:pt>
                <c:pt idx="23">
                  <c:v>59</c:v>
                </c:pt>
                <c:pt idx="26">
                  <c:v>202</c:v>
                </c:pt>
                <c:pt idx="27">
                  <c:v>57</c:v>
                </c:pt>
                <c:pt idx="28">
                  <c:v>157</c:v>
                </c:pt>
                <c:pt idx="29">
                  <c:v>246</c:v>
                </c:pt>
                <c:pt idx="30">
                  <c:v>309</c:v>
                </c:pt>
                <c:pt idx="31">
                  <c:v>85</c:v>
                </c:pt>
                <c:pt idx="32">
                  <c:v>363</c:v>
                </c:pt>
                <c:pt idx="33">
                  <c:v>262</c:v>
                </c:pt>
                <c:pt idx="36">
                  <c:v>156</c:v>
                </c:pt>
                <c:pt idx="37">
                  <c:v>132</c:v>
                </c:pt>
                <c:pt idx="38">
                  <c:v>80</c:v>
                </c:pt>
                <c:pt idx="39">
                  <c:v>161</c:v>
                </c:pt>
                <c:pt idx="40">
                  <c:v>135</c:v>
                </c:pt>
              </c:numCache>
            </c:numRef>
          </c:val>
        </c:ser>
        <c:dLbls>
          <c:showLegendKey val="0"/>
          <c:showVal val="0"/>
          <c:showCatName val="0"/>
          <c:showSerName val="0"/>
          <c:showPercent val="0"/>
          <c:showBubbleSize val="0"/>
        </c:dLbls>
        <c:gapWidth val="50"/>
        <c:overlap val="100"/>
        <c:axId val="503066048"/>
        <c:axId val="503066608"/>
      </c:barChart>
      <c:catAx>
        <c:axId val="503066048"/>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3066608"/>
        <c:crosses val="autoZero"/>
        <c:auto val="1"/>
        <c:lblAlgn val="ctr"/>
        <c:lblOffset val="100"/>
        <c:noMultiLvlLbl val="0"/>
      </c:catAx>
      <c:valAx>
        <c:axId val="503066608"/>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3066048"/>
        <c:crosses val="autoZero"/>
        <c:crossBetween val="between"/>
      </c:valAx>
      <c:spPr>
        <a:noFill/>
        <a:ln>
          <a:noFill/>
        </a:ln>
        <a:effectLst/>
      </c:spPr>
    </c:plotArea>
    <c:legend>
      <c:legendPos val="b"/>
      <c:layout>
        <c:manualLayout>
          <c:xMode val="edge"/>
          <c:yMode val="edge"/>
          <c:x val="0.66724797677237635"/>
          <c:y val="1.1351169659650948E-3"/>
          <c:w val="0.33164598524319"/>
          <c:h val="8.333354788417116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Sales of Property Recorded</a:t>
            </a:r>
            <a:r>
              <a:rPr lang="en-AU" baseline="0"/>
              <a:t> - 2016 So far</a:t>
            </a:r>
          </a:p>
          <a:p>
            <a:pPr algn="l">
              <a:defRPr/>
            </a:pPr>
            <a:r>
              <a:rPr lang="en-AU" baseline="0"/>
              <a:t>Regional Victoria</a:t>
            </a:r>
          </a:p>
          <a:p>
            <a:pPr algn="l">
              <a:defRPr/>
            </a:pPr>
            <a:r>
              <a:rPr lang="en-AU" sz="800" baseline="0"/>
              <a:t>Source: MPA analysis of Landata as of 1/8/16</a:t>
            </a:r>
            <a:endParaRPr lang="en-AU"/>
          </a:p>
        </c:rich>
      </c:tx>
      <c:layout>
        <c:manualLayout>
          <c:xMode val="edge"/>
          <c:yMode val="edge"/>
          <c:x val="1.6522423288748897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7535926616568679"/>
          <c:y val="0.12949730738698537"/>
          <c:w val="0.67449649045639559"/>
          <c:h val="0.83083038325931324"/>
        </c:manualLayout>
      </c:layout>
      <c:barChart>
        <c:barDir val="bar"/>
        <c:grouping val="stacked"/>
        <c:varyColors val="0"/>
        <c:ser>
          <c:idx val="0"/>
          <c:order val="0"/>
          <c:tx>
            <c:strRef>
              <c:f>Sheet1!$B$2</c:f>
              <c:strCache>
                <c:ptCount val="1"/>
                <c:pt idx="0">
                  <c:v>Houses</c:v>
                </c:pt>
              </c:strCache>
            </c:strRef>
          </c:tx>
          <c:spPr>
            <a:solidFill>
              <a:schemeClr val="accent1"/>
            </a:solidFill>
            <a:ln>
              <a:solidFill>
                <a:schemeClr val="tx1"/>
              </a:solidFill>
            </a:ln>
            <a:effectLst/>
          </c:spPr>
          <c:invertIfNegative val="0"/>
          <c:cat>
            <c:strRef>
              <c:f>Sheet1!$A$45:$A$96</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Sheet1!$B$45:$B$96</c:f>
              <c:numCache>
                <c:formatCode>General</c:formatCode>
                <c:ptCount val="52"/>
                <c:pt idx="1">
                  <c:v>660</c:v>
                </c:pt>
                <c:pt idx="2">
                  <c:v>553</c:v>
                </c:pt>
                <c:pt idx="3">
                  <c:v>1483</c:v>
                </c:pt>
                <c:pt idx="4">
                  <c:v>245</c:v>
                </c:pt>
                <c:pt idx="5">
                  <c:v>110</c:v>
                </c:pt>
                <c:pt idx="6">
                  <c:v>352</c:v>
                </c:pt>
                <c:pt idx="7">
                  <c:v>304</c:v>
                </c:pt>
                <c:pt idx="8">
                  <c:v>128</c:v>
                </c:pt>
                <c:pt idx="9">
                  <c:v>153</c:v>
                </c:pt>
                <c:pt idx="10">
                  <c:v>193</c:v>
                </c:pt>
                <c:pt idx="13">
                  <c:v>461</c:v>
                </c:pt>
                <c:pt idx="14">
                  <c:v>251</c:v>
                </c:pt>
                <c:pt idx="15">
                  <c:v>36</c:v>
                </c:pt>
                <c:pt idx="16">
                  <c:v>165</c:v>
                </c:pt>
                <c:pt idx="17">
                  <c:v>125</c:v>
                </c:pt>
                <c:pt idx="18">
                  <c:v>67</c:v>
                </c:pt>
                <c:pt idx="19">
                  <c:v>26</c:v>
                </c:pt>
                <c:pt idx="20">
                  <c:v>141</c:v>
                </c:pt>
                <c:pt idx="21">
                  <c:v>232</c:v>
                </c:pt>
                <c:pt idx="24">
                  <c:v>70</c:v>
                </c:pt>
                <c:pt idx="25">
                  <c:v>49</c:v>
                </c:pt>
                <c:pt idx="26">
                  <c:v>70</c:v>
                </c:pt>
                <c:pt idx="27">
                  <c:v>32</c:v>
                </c:pt>
                <c:pt idx="28">
                  <c:v>145</c:v>
                </c:pt>
                <c:pt idx="29">
                  <c:v>63</c:v>
                </c:pt>
                <c:pt idx="30">
                  <c:v>104</c:v>
                </c:pt>
                <c:pt idx="31">
                  <c:v>53</c:v>
                </c:pt>
                <c:pt idx="32">
                  <c:v>260</c:v>
                </c:pt>
                <c:pt idx="33">
                  <c:v>51</c:v>
                </c:pt>
                <c:pt idx="34">
                  <c:v>80</c:v>
                </c:pt>
                <c:pt idx="35">
                  <c:v>88</c:v>
                </c:pt>
                <c:pt idx="36">
                  <c:v>27</c:v>
                </c:pt>
                <c:pt idx="37">
                  <c:v>63</c:v>
                </c:pt>
                <c:pt idx="38">
                  <c:v>22</c:v>
                </c:pt>
                <c:pt idx="39">
                  <c:v>48</c:v>
                </c:pt>
                <c:pt idx="40">
                  <c:v>193</c:v>
                </c:pt>
                <c:pt idx="41">
                  <c:v>86</c:v>
                </c:pt>
                <c:pt idx="42">
                  <c:v>67</c:v>
                </c:pt>
                <c:pt idx="43">
                  <c:v>57</c:v>
                </c:pt>
                <c:pt idx="44">
                  <c:v>21</c:v>
                </c:pt>
                <c:pt idx="45">
                  <c:v>69</c:v>
                </c:pt>
                <c:pt idx="46">
                  <c:v>46</c:v>
                </c:pt>
                <c:pt idx="47">
                  <c:v>95</c:v>
                </c:pt>
                <c:pt idx="48">
                  <c:v>29</c:v>
                </c:pt>
                <c:pt idx="49">
                  <c:v>268</c:v>
                </c:pt>
                <c:pt idx="50">
                  <c:v>26</c:v>
                </c:pt>
                <c:pt idx="51">
                  <c:v>42</c:v>
                </c:pt>
              </c:numCache>
            </c:numRef>
          </c:val>
        </c:ser>
        <c:ser>
          <c:idx val="1"/>
          <c:order val="1"/>
          <c:tx>
            <c:strRef>
              <c:f>Sheet1!$C$2</c:f>
              <c:strCache>
                <c:ptCount val="1"/>
                <c:pt idx="0">
                  <c:v>Semi-detached Dwelling</c:v>
                </c:pt>
              </c:strCache>
            </c:strRef>
          </c:tx>
          <c:spPr>
            <a:solidFill>
              <a:srgbClr val="C00000"/>
            </a:solidFill>
            <a:ln>
              <a:solidFill>
                <a:schemeClr val="tx1"/>
              </a:solidFill>
            </a:ln>
            <a:effectLst/>
          </c:spPr>
          <c:invertIfNegative val="0"/>
          <c:cat>
            <c:strRef>
              <c:f>Sheet1!$A$45:$A$96</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Sheet1!$C$45:$C$96</c:f>
              <c:numCache>
                <c:formatCode>General</c:formatCode>
                <c:ptCount val="52"/>
                <c:pt idx="1">
                  <c:v>10</c:v>
                </c:pt>
                <c:pt idx="2">
                  <c:v>10</c:v>
                </c:pt>
                <c:pt idx="3">
                  <c:v>34</c:v>
                </c:pt>
                <c:pt idx="4">
                  <c:v>2</c:v>
                </c:pt>
                <c:pt idx="5">
                  <c:v>2</c:v>
                </c:pt>
                <c:pt idx="6">
                  <c:v>8</c:v>
                </c:pt>
                <c:pt idx="7">
                  <c:v>3</c:v>
                </c:pt>
                <c:pt idx="8">
                  <c:v>5</c:v>
                </c:pt>
                <c:pt idx="9">
                  <c:v>8</c:v>
                </c:pt>
                <c:pt idx="10">
                  <c:v>3</c:v>
                </c:pt>
                <c:pt idx="13">
                  <c:v>5</c:v>
                </c:pt>
                <c:pt idx="14">
                  <c:v>6</c:v>
                </c:pt>
                <c:pt idx="15">
                  <c:v>0</c:v>
                </c:pt>
                <c:pt idx="16">
                  <c:v>3</c:v>
                </c:pt>
                <c:pt idx="17">
                  <c:v>1</c:v>
                </c:pt>
                <c:pt idx="18">
                  <c:v>0</c:v>
                </c:pt>
                <c:pt idx="19">
                  <c:v>0</c:v>
                </c:pt>
                <c:pt idx="20">
                  <c:v>1</c:v>
                </c:pt>
                <c:pt idx="21">
                  <c:v>3</c:v>
                </c:pt>
                <c:pt idx="24">
                  <c:v>1</c:v>
                </c:pt>
                <c:pt idx="25">
                  <c:v>0</c:v>
                </c:pt>
                <c:pt idx="26">
                  <c:v>2</c:v>
                </c:pt>
                <c:pt idx="27">
                  <c:v>0</c:v>
                </c:pt>
                <c:pt idx="28">
                  <c:v>5</c:v>
                </c:pt>
                <c:pt idx="29">
                  <c:v>2</c:v>
                </c:pt>
                <c:pt idx="30">
                  <c:v>0</c:v>
                </c:pt>
                <c:pt idx="31">
                  <c:v>1</c:v>
                </c:pt>
                <c:pt idx="32">
                  <c:v>7</c:v>
                </c:pt>
                <c:pt idx="33">
                  <c:v>0</c:v>
                </c:pt>
                <c:pt idx="34">
                  <c:v>0</c:v>
                </c:pt>
                <c:pt idx="35">
                  <c:v>0</c:v>
                </c:pt>
                <c:pt idx="36">
                  <c:v>0</c:v>
                </c:pt>
                <c:pt idx="37">
                  <c:v>0</c:v>
                </c:pt>
                <c:pt idx="38">
                  <c:v>0</c:v>
                </c:pt>
                <c:pt idx="39">
                  <c:v>0</c:v>
                </c:pt>
                <c:pt idx="40">
                  <c:v>2</c:v>
                </c:pt>
                <c:pt idx="41">
                  <c:v>1</c:v>
                </c:pt>
                <c:pt idx="42">
                  <c:v>0</c:v>
                </c:pt>
                <c:pt idx="43">
                  <c:v>1</c:v>
                </c:pt>
                <c:pt idx="44">
                  <c:v>0</c:v>
                </c:pt>
                <c:pt idx="45">
                  <c:v>3</c:v>
                </c:pt>
                <c:pt idx="46">
                  <c:v>0</c:v>
                </c:pt>
                <c:pt idx="47">
                  <c:v>3</c:v>
                </c:pt>
                <c:pt idx="48">
                  <c:v>0</c:v>
                </c:pt>
                <c:pt idx="49">
                  <c:v>10</c:v>
                </c:pt>
                <c:pt idx="50">
                  <c:v>1</c:v>
                </c:pt>
                <c:pt idx="51">
                  <c:v>0</c:v>
                </c:pt>
              </c:numCache>
            </c:numRef>
          </c:val>
        </c:ser>
        <c:ser>
          <c:idx val="2"/>
          <c:order val="2"/>
          <c:tx>
            <c:strRef>
              <c:f>Sheet1!$D$2</c:f>
              <c:strCache>
                <c:ptCount val="1"/>
                <c:pt idx="0">
                  <c:v>Strata Dwelling</c:v>
                </c:pt>
              </c:strCache>
            </c:strRef>
          </c:tx>
          <c:spPr>
            <a:solidFill>
              <a:schemeClr val="accent6">
                <a:lumMod val="50000"/>
              </a:schemeClr>
            </a:solidFill>
            <a:ln>
              <a:solidFill>
                <a:schemeClr val="tx1"/>
              </a:solidFill>
            </a:ln>
            <a:effectLst/>
          </c:spPr>
          <c:invertIfNegative val="0"/>
          <c:cat>
            <c:strRef>
              <c:f>Sheet1!$A$45:$A$96</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Sheet1!$D$45:$D$96</c:f>
              <c:numCache>
                <c:formatCode>General</c:formatCode>
                <c:ptCount val="52"/>
                <c:pt idx="1">
                  <c:v>102</c:v>
                </c:pt>
                <c:pt idx="2">
                  <c:v>34</c:v>
                </c:pt>
                <c:pt idx="3">
                  <c:v>253</c:v>
                </c:pt>
                <c:pt idx="4">
                  <c:v>20</c:v>
                </c:pt>
                <c:pt idx="5">
                  <c:v>8</c:v>
                </c:pt>
                <c:pt idx="6">
                  <c:v>32</c:v>
                </c:pt>
                <c:pt idx="7">
                  <c:v>51</c:v>
                </c:pt>
                <c:pt idx="8">
                  <c:v>21</c:v>
                </c:pt>
                <c:pt idx="9">
                  <c:v>14</c:v>
                </c:pt>
                <c:pt idx="10">
                  <c:v>35</c:v>
                </c:pt>
                <c:pt idx="13">
                  <c:v>65</c:v>
                </c:pt>
                <c:pt idx="14">
                  <c:v>31</c:v>
                </c:pt>
                <c:pt idx="15">
                  <c:v>2</c:v>
                </c:pt>
                <c:pt idx="16">
                  <c:v>26</c:v>
                </c:pt>
                <c:pt idx="17">
                  <c:v>8</c:v>
                </c:pt>
                <c:pt idx="18">
                  <c:v>4</c:v>
                </c:pt>
                <c:pt idx="19">
                  <c:v>6</c:v>
                </c:pt>
                <c:pt idx="20">
                  <c:v>4</c:v>
                </c:pt>
                <c:pt idx="21">
                  <c:v>40</c:v>
                </c:pt>
                <c:pt idx="24">
                  <c:v>15</c:v>
                </c:pt>
                <c:pt idx="25">
                  <c:v>4</c:v>
                </c:pt>
                <c:pt idx="26">
                  <c:v>4</c:v>
                </c:pt>
                <c:pt idx="27">
                  <c:v>0</c:v>
                </c:pt>
                <c:pt idx="28">
                  <c:v>17</c:v>
                </c:pt>
                <c:pt idx="29">
                  <c:v>2</c:v>
                </c:pt>
                <c:pt idx="30">
                  <c:v>16</c:v>
                </c:pt>
                <c:pt idx="31">
                  <c:v>7</c:v>
                </c:pt>
                <c:pt idx="32">
                  <c:v>16</c:v>
                </c:pt>
                <c:pt idx="33">
                  <c:v>0</c:v>
                </c:pt>
                <c:pt idx="34">
                  <c:v>2</c:v>
                </c:pt>
                <c:pt idx="35">
                  <c:v>8</c:v>
                </c:pt>
                <c:pt idx="36">
                  <c:v>0</c:v>
                </c:pt>
                <c:pt idx="37">
                  <c:v>3</c:v>
                </c:pt>
                <c:pt idx="38">
                  <c:v>0</c:v>
                </c:pt>
                <c:pt idx="39">
                  <c:v>4</c:v>
                </c:pt>
                <c:pt idx="40">
                  <c:v>20</c:v>
                </c:pt>
                <c:pt idx="41">
                  <c:v>4</c:v>
                </c:pt>
                <c:pt idx="42">
                  <c:v>4</c:v>
                </c:pt>
                <c:pt idx="43">
                  <c:v>2</c:v>
                </c:pt>
                <c:pt idx="44">
                  <c:v>1</c:v>
                </c:pt>
                <c:pt idx="45">
                  <c:v>4</c:v>
                </c:pt>
                <c:pt idx="46">
                  <c:v>4</c:v>
                </c:pt>
                <c:pt idx="47">
                  <c:v>8</c:v>
                </c:pt>
                <c:pt idx="48">
                  <c:v>0</c:v>
                </c:pt>
                <c:pt idx="49">
                  <c:v>22</c:v>
                </c:pt>
                <c:pt idx="50">
                  <c:v>0</c:v>
                </c:pt>
                <c:pt idx="51">
                  <c:v>2</c:v>
                </c:pt>
              </c:numCache>
            </c:numRef>
          </c:val>
        </c:ser>
        <c:dLbls>
          <c:showLegendKey val="0"/>
          <c:showVal val="0"/>
          <c:showCatName val="0"/>
          <c:showSerName val="0"/>
          <c:showPercent val="0"/>
          <c:showBubbleSize val="0"/>
        </c:dLbls>
        <c:gapWidth val="20"/>
        <c:overlap val="100"/>
        <c:axId val="503069968"/>
        <c:axId val="503070528"/>
      </c:barChart>
      <c:catAx>
        <c:axId val="503069968"/>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3070528"/>
        <c:crosses val="autoZero"/>
        <c:auto val="1"/>
        <c:lblAlgn val="ctr"/>
        <c:lblOffset val="100"/>
        <c:noMultiLvlLbl val="0"/>
      </c:catAx>
      <c:valAx>
        <c:axId val="503070528"/>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3069968"/>
        <c:crosses val="autoZero"/>
        <c:crossBetween val="between"/>
      </c:valAx>
      <c:spPr>
        <a:noFill/>
        <a:ln>
          <a:noFill/>
        </a:ln>
        <a:effectLst/>
      </c:spPr>
    </c:plotArea>
    <c:legend>
      <c:legendPos val="b"/>
      <c:layout>
        <c:manualLayout>
          <c:xMode val="edge"/>
          <c:yMode val="edge"/>
          <c:x val="0.66724797677237635"/>
          <c:y val="1.1351169659650948E-3"/>
          <c:w val="0.33164598524319"/>
          <c:h val="8.3333547884171161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Components of population change of states in 2015</a:t>
            </a:r>
          </a:p>
          <a:p>
            <a:pPr algn="l">
              <a:defRPr/>
            </a:pPr>
            <a:r>
              <a:rPr lang="en-AU" sz="1100"/>
              <a:t>Source: ABS</a:t>
            </a:r>
            <a:r>
              <a:rPr lang="en-AU" sz="1100" baseline="0"/>
              <a:t> demogrpahic statistics</a:t>
            </a:r>
            <a:endParaRPr lang="en-AU" sz="1100"/>
          </a:p>
        </c:rich>
      </c:tx>
      <c:layout>
        <c:manualLayout>
          <c:xMode val="edge"/>
          <c:yMode val="edge"/>
          <c:x val="7.4511622881774143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Sheet1!$P$7</c:f>
              <c:strCache>
                <c:ptCount val="1"/>
                <c:pt idx="0">
                  <c:v>Natural Increase</c:v>
                </c:pt>
              </c:strCache>
            </c:strRef>
          </c:tx>
          <c:spPr>
            <a:solidFill>
              <a:srgbClr val="C00000"/>
            </a:solidFill>
            <a:ln>
              <a:solidFill>
                <a:schemeClr val="tx1"/>
              </a:solidFill>
            </a:ln>
            <a:effectLst/>
          </c:spPr>
          <c:invertIfNegative val="0"/>
          <c:cat>
            <c:strRef>
              <c:f>Sheet1!$Q$6:$X$6</c:f>
              <c:strCache>
                <c:ptCount val="8"/>
                <c:pt idx="0">
                  <c:v>NSW</c:v>
                </c:pt>
                <c:pt idx="1">
                  <c:v>VIC</c:v>
                </c:pt>
                <c:pt idx="2">
                  <c:v>QLD</c:v>
                </c:pt>
                <c:pt idx="3">
                  <c:v>SA</c:v>
                </c:pt>
                <c:pt idx="4">
                  <c:v>WA</c:v>
                </c:pt>
                <c:pt idx="5">
                  <c:v>TAS</c:v>
                </c:pt>
                <c:pt idx="6">
                  <c:v>NT</c:v>
                </c:pt>
                <c:pt idx="7">
                  <c:v>ACT</c:v>
                </c:pt>
              </c:strCache>
            </c:strRef>
          </c:cat>
          <c:val>
            <c:numRef>
              <c:f>Sheet1!$Q$7:$X$7</c:f>
              <c:numCache>
                <c:formatCode>General</c:formatCode>
                <c:ptCount val="8"/>
                <c:pt idx="0">
                  <c:v>46497</c:v>
                </c:pt>
                <c:pt idx="1">
                  <c:v>36249</c:v>
                </c:pt>
                <c:pt idx="2">
                  <c:v>31981</c:v>
                </c:pt>
                <c:pt idx="3">
                  <c:v>5929</c:v>
                </c:pt>
                <c:pt idx="4">
                  <c:v>20683</c:v>
                </c:pt>
                <c:pt idx="5">
                  <c:v>1052</c:v>
                </c:pt>
                <c:pt idx="6">
                  <c:v>2833</c:v>
                </c:pt>
                <c:pt idx="7">
                  <c:v>3682</c:v>
                </c:pt>
              </c:numCache>
            </c:numRef>
          </c:val>
        </c:ser>
        <c:ser>
          <c:idx val="1"/>
          <c:order val="1"/>
          <c:tx>
            <c:strRef>
              <c:f>Sheet1!$P$8</c:f>
              <c:strCache>
                <c:ptCount val="1"/>
                <c:pt idx="0">
                  <c:v>Net Overseas Migration </c:v>
                </c:pt>
              </c:strCache>
            </c:strRef>
          </c:tx>
          <c:spPr>
            <a:solidFill>
              <a:schemeClr val="accent4">
                <a:lumMod val="60000"/>
                <a:lumOff val="40000"/>
              </a:schemeClr>
            </a:solidFill>
            <a:ln>
              <a:solidFill>
                <a:schemeClr val="tx1"/>
              </a:solidFill>
            </a:ln>
            <a:effectLst/>
          </c:spPr>
          <c:invertIfNegative val="0"/>
          <c:cat>
            <c:strRef>
              <c:f>Sheet1!$Q$6:$X$6</c:f>
              <c:strCache>
                <c:ptCount val="8"/>
                <c:pt idx="0">
                  <c:v>NSW</c:v>
                </c:pt>
                <c:pt idx="1">
                  <c:v>VIC</c:v>
                </c:pt>
                <c:pt idx="2">
                  <c:v>QLD</c:v>
                </c:pt>
                <c:pt idx="3">
                  <c:v>SA</c:v>
                </c:pt>
                <c:pt idx="4">
                  <c:v>WA</c:v>
                </c:pt>
                <c:pt idx="5">
                  <c:v>TAS</c:v>
                </c:pt>
                <c:pt idx="6">
                  <c:v>NT</c:v>
                </c:pt>
                <c:pt idx="7">
                  <c:v>ACT</c:v>
                </c:pt>
              </c:strCache>
            </c:strRef>
          </c:cat>
          <c:val>
            <c:numRef>
              <c:f>Sheet1!$Q$8:$X$8</c:f>
              <c:numCache>
                <c:formatCode>General</c:formatCode>
                <c:ptCount val="8"/>
                <c:pt idx="0">
                  <c:v>68368</c:v>
                </c:pt>
                <c:pt idx="1">
                  <c:v>60532</c:v>
                </c:pt>
                <c:pt idx="2">
                  <c:v>19407</c:v>
                </c:pt>
                <c:pt idx="3">
                  <c:v>10218</c:v>
                </c:pt>
                <c:pt idx="4">
                  <c:v>14610</c:v>
                </c:pt>
                <c:pt idx="5">
                  <c:v>1137</c:v>
                </c:pt>
                <c:pt idx="6">
                  <c:v>739</c:v>
                </c:pt>
                <c:pt idx="7">
                  <c:v>2124</c:v>
                </c:pt>
              </c:numCache>
            </c:numRef>
          </c:val>
        </c:ser>
        <c:ser>
          <c:idx val="2"/>
          <c:order val="2"/>
          <c:tx>
            <c:strRef>
              <c:f>Sheet1!$P$9</c:f>
              <c:strCache>
                <c:ptCount val="1"/>
                <c:pt idx="0">
                  <c:v>Net Interstate Migration</c:v>
                </c:pt>
              </c:strCache>
            </c:strRef>
          </c:tx>
          <c:spPr>
            <a:solidFill>
              <a:schemeClr val="accent5">
                <a:lumMod val="75000"/>
              </a:schemeClr>
            </a:solidFill>
            <a:ln>
              <a:solidFill>
                <a:schemeClr val="tx1"/>
              </a:solidFill>
            </a:ln>
            <a:effectLst/>
          </c:spPr>
          <c:invertIfNegative val="0"/>
          <c:cat>
            <c:strRef>
              <c:f>Sheet1!$Q$6:$X$6</c:f>
              <c:strCache>
                <c:ptCount val="8"/>
                <c:pt idx="0">
                  <c:v>NSW</c:v>
                </c:pt>
                <c:pt idx="1">
                  <c:v>VIC</c:v>
                </c:pt>
                <c:pt idx="2">
                  <c:v>QLD</c:v>
                </c:pt>
                <c:pt idx="3">
                  <c:v>SA</c:v>
                </c:pt>
                <c:pt idx="4">
                  <c:v>WA</c:v>
                </c:pt>
                <c:pt idx="5">
                  <c:v>TAS</c:v>
                </c:pt>
                <c:pt idx="6">
                  <c:v>NT</c:v>
                </c:pt>
                <c:pt idx="7">
                  <c:v>ACT</c:v>
                </c:pt>
              </c:strCache>
            </c:strRef>
          </c:cat>
          <c:val>
            <c:numRef>
              <c:f>Sheet1!$Q$9:$X$9</c:f>
              <c:numCache>
                <c:formatCode>General</c:formatCode>
                <c:ptCount val="8"/>
                <c:pt idx="0">
                  <c:v>-8749</c:v>
                </c:pt>
                <c:pt idx="1">
                  <c:v>13049</c:v>
                </c:pt>
                <c:pt idx="2">
                  <c:v>8326</c:v>
                </c:pt>
                <c:pt idx="3">
                  <c:v>-4967</c:v>
                </c:pt>
                <c:pt idx="4">
                  <c:v>-4313</c:v>
                </c:pt>
                <c:pt idx="5">
                  <c:v>-79</c:v>
                </c:pt>
                <c:pt idx="6">
                  <c:v>-2732</c:v>
                </c:pt>
                <c:pt idx="7">
                  <c:v>-535</c:v>
                </c:pt>
              </c:numCache>
            </c:numRef>
          </c:val>
        </c:ser>
        <c:dLbls>
          <c:showLegendKey val="0"/>
          <c:showVal val="0"/>
          <c:showCatName val="0"/>
          <c:showSerName val="0"/>
          <c:showPercent val="0"/>
          <c:showBubbleSize val="0"/>
        </c:dLbls>
        <c:gapWidth val="50"/>
        <c:overlap val="100"/>
        <c:axId val="718987616"/>
        <c:axId val="718988176"/>
      </c:barChart>
      <c:catAx>
        <c:axId val="718987616"/>
        <c:scaling>
          <c:orientation val="minMax"/>
        </c:scaling>
        <c:delete val="0"/>
        <c:axPos val="b"/>
        <c:numFmt formatCode="General" sourceLinked="1"/>
        <c:majorTickMark val="none"/>
        <c:minorTickMark val="none"/>
        <c:tickLblPos val="low"/>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8988176"/>
        <c:crosses val="autoZero"/>
        <c:auto val="1"/>
        <c:lblAlgn val="ctr"/>
        <c:lblOffset val="100"/>
        <c:noMultiLvlLbl val="0"/>
      </c:catAx>
      <c:valAx>
        <c:axId val="7189881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8987616"/>
        <c:crosses val="autoZero"/>
        <c:crossBetween val="between"/>
      </c:valAx>
      <c:spPr>
        <a:noFill/>
        <a:ln>
          <a:noFill/>
        </a:ln>
        <a:effectLst/>
      </c:spPr>
    </c:plotArea>
    <c:legend>
      <c:legendPos val="b"/>
      <c:layout>
        <c:manualLayout>
          <c:xMode val="edge"/>
          <c:yMode val="edge"/>
          <c:x val="0.66377066987408107"/>
          <c:y val="1.95581186154547E-3"/>
          <c:w val="0.3326272049031172"/>
          <c:h val="0.1373243133340726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Median</a:t>
            </a:r>
            <a:r>
              <a:rPr lang="en-AU" baseline="0"/>
              <a:t> Price - Detached Houses</a:t>
            </a:r>
          </a:p>
          <a:p>
            <a:pPr algn="l">
              <a:defRPr/>
            </a:pPr>
            <a:r>
              <a:rPr lang="en-AU" baseline="0"/>
              <a:t>Metropolitan Melbourne  - 2016 so far</a:t>
            </a:r>
          </a:p>
          <a:p>
            <a:pPr algn="l">
              <a:defRPr/>
            </a:pPr>
            <a:r>
              <a:rPr lang="en-AU" sz="700" baseline="0"/>
              <a:t>Source: MPA analysis of Landata data from 1/8/2016</a:t>
            </a:r>
            <a:endParaRPr lang="en-AU" sz="1600"/>
          </a:p>
        </c:rich>
      </c:tx>
      <c:layout>
        <c:manualLayout>
          <c:xMode val="edge"/>
          <c:yMode val="edge"/>
          <c:x val="1.8121911037891174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Sheet1!$Q$3:$Q$43</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Sheet1!$R$3:$R$43</c:f>
              <c:numCache>
                <c:formatCode>_-"$"* #,##0_-;\-"$"* #,##0_-;_-"$"* "-"??_-;_-@_-</c:formatCode>
                <c:ptCount val="41"/>
                <c:pt idx="1">
                  <c:v>725000</c:v>
                </c:pt>
                <c:pt idx="2">
                  <c:v>900000</c:v>
                </c:pt>
                <c:pt idx="3">
                  <c:v>1407000</c:v>
                </c:pt>
                <c:pt idx="4">
                  <c:v>1762500</c:v>
                </c:pt>
                <c:pt idx="5">
                  <c:v>1075000</c:v>
                </c:pt>
                <c:pt idx="8">
                  <c:v>1860000</c:v>
                </c:pt>
                <c:pt idx="9">
                  <c:v>670000</c:v>
                </c:pt>
                <c:pt idx="10">
                  <c:v>1101000</c:v>
                </c:pt>
                <c:pt idx="11">
                  <c:v>700600</c:v>
                </c:pt>
                <c:pt idx="12">
                  <c:v>1068500</c:v>
                </c:pt>
                <c:pt idx="13">
                  <c:v>990000</c:v>
                </c:pt>
                <c:pt idx="14">
                  <c:v>540000</c:v>
                </c:pt>
                <c:pt idx="17">
                  <c:v>701000</c:v>
                </c:pt>
                <c:pt idx="18">
                  <c:v>790000</c:v>
                </c:pt>
                <c:pt idx="19">
                  <c:v>410000</c:v>
                </c:pt>
                <c:pt idx="20">
                  <c:v>325000</c:v>
                </c:pt>
                <c:pt idx="21">
                  <c:v>700000</c:v>
                </c:pt>
                <c:pt idx="22">
                  <c:v>651750</c:v>
                </c:pt>
                <c:pt idx="23">
                  <c:v>461000</c:v>
                </c:pt>
                <c:pt idx="26">
                  <c:v>1555000</c:v>
                </c:pt>
                <c:pt idx="27">
                  <c:v>390000</c:v>
                </c:pt>
                <c:pt idx="28">
                  <c:v>455000</c:v>
                </c:pt>
                <c:pt idx="29">
                  <c:v>463000</c:v>
                </c:pt>
                <c:pt idx="30">
                  <c:v>1327000</c:v>
                </c:pt>
                <c:pt idx="31">
                  <c:v>570000</c:v>
                </c:pt>
                <c:pt idx="32">
                  <c:v>788500</c:v>
                </c:pt>
                <c:pt idx="33">
                  <c:v>575000</c:v>
                </c:pt>
                <c:pt idx="36">
                  <c:v>470000</c:v>
                </c:pt>
                <c:pt idx="37">
                  <c:v>635000</c:v>
                </c:pt>
                <c:pt idx="38">
                  <c:v>372500</c:v>
                </c:pt>
                <c:pt idx="39">
                  <c:v>850000</c:v>
                </c:pt>
                <c:pt idx="40">
                  <c:v>415000</c:v>
                </c:pt>
              </c:numCache>
            </c:numRef>
          </c:val>
        </c:ser>
        <c:dLbls>
          <c:showLegendKey val="0"/>
          <c:showVal val="0"/>
          <c:showCatName val="0"/>
          <c:showSerName val="0"/>
          <c:showPercent val="0"/>
          <c:showBubbleSize val="0"/>
        </c:dLbls>
        <c:gapWidth val="25"/>
        <c:axId val="503072768"/>
        <c:axId val="503073328"/>
      </c:barChart>
      <c:catAx>
        <c:axId val="5030727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3073328"/>
        <c:crosses val="autoZero"/>
        <c:auto val="1"/>
        <c:lblAlgn val="ctr"/>
        <c:lblOffset val="100"/>
        <c:noMultiLvlLbl val="0"/>
      </c:catAx>
      <c:valAx>
        <c:axId val="503073328"/>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_-&quot;$&quot;* #,##0_-;\-&quot;$&quot;* #,##0_-;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3072768"/>
        <c:crosses val="autoZero"/>
        <c:crossBetween val="between"/>
        <c:majorUnit val="500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Median</a:t>
            </a:r>
            <a:r>
              <a:rPr lang="en-AU" baseline="0"/>
              <a:t> Price - Detached Houses</a:t>
            </a:r>
          </a:p>
          <a:p>
            <a:pPr algn="l">
              <a:defRPr/>
            </a:pPr>
            <a:r>
              <a:rPr lang="en-AU" baseline="0"/>
              <a:t>Regional Victoria - 2016 so far</a:t>
            </a:r>
          </a:p>
          <a:p>
            <a:pPr algn="l">
              <a:defRPr/>
            </a:pPr>
            <a:r>
              <a:rPr lang="en-AU" sz="700" baseline="0"/>
              <a:t>Source: MPA analysis of Landata data from 1/8/2016</a:t>
            </a:r>
            <a:endParaRPr lang="en-AU" sz="1600"/>
          </a:p>
        </c:rich>
      </c:tx>
      <c:layout>
        <c:manualLayout>
          <c:xMode val="edge"/>
          <c:yMode val="edge"/>
          <c:x val="1.8121911037891174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Sheet1!$Q$45:$Q$96</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Sheet1!$R$45:$R$96</c:f>
              <c:numCache>
                <c:formatCode>_-"$"* #,##0_-;\-"$"* #,##0_-;_-"$"* "-"??_-;_-@_-</c:formatCode>
                <c:ptCount val="52"/>
                <c:pt idx="1">
                  <c:v>314500</c:v>
                </c:pt>
                <c:pt idx="2">
                  <c:v>320000</c:v>
                </c:pt>
                <c:pt idx="3">
                  <c:v>407000</c:v>
                </c:pt>
                <c:pt idx="4">
                  <c:v>267500</c:v>
                </c:pt>
                <c:pt idx="5">
                  <c:v>242500</c:v>
                </c:pt>
                <c:pt idx="6">
                  <c:v>195500</c:v>
                </c:pt>
                <c:pt idx="7">
                  <c:v>253250</c:v>
                </c:pt>
                <c:pt idx="8">
                  <c:v>259500</c:v>
                </c:pt>
                <c:pt idx="9">
                  <c:v>320000</c:v>
                </c:pt>
                <c:pt idx="10">
                  <c:v>300000</c:v>
                </c:pt>
                <c:pt idx="13">
                  <c:v>340000</c:v>
                </c:pt>
                <c:pt idx="14">
                  <c:v>335000</c:v>
                </c:pt>
                <c:pt idx="15">
                  <c:v>318500</c:v>
                </c:pt>
                <c:pt idx="16">
                  <c:v>460000</c:v>
                </c:pt>
                <c:pt idx="17">
                  <c:v>345000</c:v>
                </c:pt>
                <c:pt idx="18">
                  <c:v>255000</c:v>
                </c:pt>
                <c:pt idx="19">
                  <c:v>797500</c:v>
                </c:pt>
                <c:pt idx="20">
                  <c:v>272500</c:v>
                </c:pt>
                <c:pt idx="21">
                  <c:v>650000</c:v>
                </c:pt>
                <c:pt idx="24">
                  <c:v>295000</c:v>
                </c:pt>
                <c:pt idx="25">
                  <c:v>190000</c:v>
                </c:pt>
                <c:pt idx="26">
                  <c:v>226000</c:v>
                </c:pt>
                <c:pt idx="27">
                  <c:v>82750</c:v>
                </c:pt>
                <c:pt idx="28">
                  <c:v>265000</c:v>
                </c:pt>
                <c:pt idx="29">
                  <c:v>194000</c:v>
                </c:pt>
                <c:pt idx="30">
                  <c:v>315000</c:v>
                </c:pt>
                <c:pt idx="31">
                  <c:v>166000</c:v>
                </c:pt>
                <c:pt idx="32">
                  <c:v>280000</c:v>
                </c:pt>
                <c:pt idx="33">
                  <c:v>150000</c:v>
                </c:pt>
                <c:pt idx="34">
                  <c:v>205000</c:v>
                </c:pt>
                <c:pt idx="35">
                  <c:v>361500</c:v>
                </c:pt>
                <c:pt idx="36">
                  <c:v>108700</c:v>
                </c:pt>
                <c:pt idx="37">
                  <c:v>295000</c:v>
                </c:pt>
                <c:pt idx="38">
                  <c:v>123750</c:v>
                </c:pt>
                <c:pt idx="39">
                  <c:v>312500</c:v>
                </c:pt>
                <c:pt idx="40">
                  <c:v>250000</c:v>
                </c:pt>
                <c:pt idx="41">
                  <c:v>370000</c:v>
                </c:pt>
                <c:pt idx="42">
                  <c:v>350000</c:v>
                </c:pt>
                <c:pt idx="43">
                  <c:v>160000</c:v>
                </c:pt>
                <c:pt idx="44">
                  <c:v>190000</c:v>
                </c:pt>
                <c:pt idx="45">
                  <c:v>185000</c:v>
                </c:pt>
                <c:pt idx="46">
                  <c:v>290000</c:v>
                </c:pt>
                <c:pt idx="47">
                  <c:v>230000</c:v>
                </c:pt>
                <c:pt idx="48">
                  <c:v>200000</c:v>
                </c:pt>
                <c:pt idx="49">
                  <c:v>230000</c:v>
                </c:pt>
                <c:pt idx="50">
                  <c:v>117500</c:v>
                </c:pt>
                <c:pt idx="51">
                  <c:v>85000</c:v>
                </c:pt>
              </c:numCache>
            </c:numRef>
          </c:val>
        </c:ser>
        <c:dLbls>
          <c:showLegendKey val="0"/>
          <c:showVal val="0"/>
          <c:showCatName val="0"/>
          <c:showSerName val="0"/>
          <c:showPercent val="0"/>
          <c:showBubbleSize val="0"/>
        </c:dLbls>
        <c:gapWidth val="25"/>
        <c:axId val="503075568"/>
        <c:axId val="503076128"/>
      </c:barChart>
      <c:catAx>
        <c:axId val="5030755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3076128"/>
        <c:crosses val="autoZero"/>
        <c:auto val="1"/>
        <c:lblAlgn val="ctr"/>
        <c:lblOffset val="100"/>
        <c:noMultiLvlLbl val="0"/>
      </c:catAx>
      <c:valAx>
        <c:axId val="503076128"/>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_-&quot;$&quot;* #,##0_-;\-&quot;$&quot;* #,##0_-;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3075568"/>
        <c:crosses val="autoZero"/>
        <c:crossBetween val="between"/>
        <c:majorUnit val="200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Median</a:t>
            </a:r>
            <a:r>
              <a:rPr lang="en-AU" baseline="0"/>
              <a:t> Price - Strata Title Properties</a:t>
            </a:r>
          </a:p>
          <a:p>
            <a:pPr algn="l">
              <a:defRPr/>
            </a:pPr>
            <a:r>
              <a:rPr lang="en-AU" baseline="0"/>
              <a:t>Metropolitan Melbourne  - 2016 so far</a:t>
            </a:r>
          </a:p>
          <a:p>
            <a:pPr algn="l">
              <a:defRPr/>
            </a:pPr>
            <a:r>
              <a:rPr lang="en-AU" sz="700" baseline="0"/>
              <a:t>Source: MPA analysis of Landata data from 1/8/2016</a:t>
            </a:r>
            <a:endParaRPr lang="en-AU" sz="1600"/>
          </a:p>
        </c:rich>
      </c:tx>
      <c:layout>
        <c:manualLayout>
          <c:xMode val="edge"/>
          <c:yMode val="edge"/>
          <c:x val="1.8121911037891174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6">
                <a:lumMod val="5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Sheet1!$AH$2:$AH$42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Sheet1!$AI$2:$AI$42</c:f>
              <c:numCache>
                <c:formatCode>_-"$"* #,##0_-;\-"$"* #,##0_-;_-"$"* "-"??_-;_-@_-</c:formatCode>
                <c:ptCount val="41"/>
                <c:pt idx="1">
                  <c:v>435000</c:v>
                </c:pt>
                <c:pt idx="2">
                  <c:v>510000</c:v>
                </c:pt>
                <c:pt idx="3">
                  <c:v>508200</c:v>
                </c:pt>
                <c:pt idx="4">
                  <c:v>550000</c:v>
                </c:pt>
                <c:pt idx="5">
                  <c:v>540000</c:v>
                </c:pt>
                <c:pt idx="8">
                  <c:v>675000</c:v>
                </c:pt>
                <c:pt idx="9">
                  <c:v>490000</c:v>
                </c:pt>
                <c:pt idx="10">
                  <c:v>585000</c:v>
                </c:pt>
                <c:pt idx="11">
                  <c:v>489000</c:v>
                </c:pt>
                <c:pt idx="12">
                  <c:v>658077.5</c:v>
                </c:pt>
                <c:pt idx="13">
                  <c:v>635000</c:v>
                </c:pt>
                <c:pt idx="14">
                  <c:v>443750</c:v>
                </c:pt>
                <c:pt idx="17">
                  <c:v>537750</c:v>
                </c:pt>
                <c:pt idx="18">
                  <c:v>414000</c:v>
                </c:pt>
                <c:pt idx="19">
                  <c:v>336500</c:v>
                </c:pt>
                <c:pt idx="20">
                  <c:v>280000</c:v>
                </c:pt>
                <c:pt idx="21">
                  <c:v>445000</c:v>
                </c:pt>
                <c:pt idx="22">
                  <c:v>503250</c:v>
                </c:pt>
                <c:pt idx="23">
                  <c:v>341200</c:v>
                </c:pt>
                <c:pt idx="26">
                  <c:v>764000</c:v>
                </c:pt>
                <c:pt idx="27">
                  <c:v>295000</c:v>
                </c:pt>
                <c:pt idx="28">
                  <c:v>330000</c:v>
                </c:pt>
                <c:pt idx="29">
                  <c:v>330000</c:v>
                </c:pt>
                <c:pt idx="30">
                  <c:v>570000</c:v>
                </c:pt>
                <c:pt idx="31">
                  <c:v>350000</c:v>
                </c:pt>
                <c:pt idx="32">
                  <c:v>501000</c:v>
                </c:pt>
                <c:pt idx="33">
                  <c:v>416250</c:v>
                </c:pt>
                <c:pt idx="36">
                  <c:v>331500</c:v>
                </c:pt>
                <c:pt idx="37">
                  <c:v>505000</c:v>
                </c:pt>
                <c:pt idx="38">
                  <c:v>289500</c:v>
                </c:pt>
                <c:pt idx="39">
                  <c:v>482000</c:v>
                </c:pt>
                <c:pt idx="40">
                  <c:v>307000</c:v>
                </c:pt>
              </c:numCache>
            </c:numRef>
          </c:val>
        </c:ser>
        <c:dLbls>
          <c:showLegendKey val="0"/>
          <c:showVal val="0"/>
          <c:showCatName val="0"/>
          <c:showSerName val="0"/>
          <c:showPercent val="0"/>
          <c:showBubbleSize val="0"/>
        </c:dLbls>
        <c:gapWidth val="25"/>
        <c:axId val="500232192"/>
        <c:axId val="500232752"/>
      </c:barChart>
      <c:catAx>
        <c:axId val="5002321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0232752"/>
        <c:crosses val="autoZero"/>
        <c:auto val="1"/>
        <c:lblAlgn val="ctr"/>
        <c:lblOffset val="100"/>
        <c:noMultiLvlLbl val="0"/>
      </c:catAx>
      <c:valAx>
        <c:axId val="500232752"/>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_-&quot;$&quot;* #,##0_-;\-&quot;$&quot;* #,##0_-;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0232192"/>
        <c:crosses val="autoZero"/>
        <c:crossBetween val="between"/>
        <c:majorUnit val="200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Median</a:t>
            </a:r>
            <a:r>
              <a:rPr lang="en-AU" baseline="0"/>
              <a:t> Price - Strata Title Properties</a:t>
            </a:r>
          </a:p>
          <a:p>
            <a:pPr algn="l">
              <a:defRPr/>
            </a:pPr>
            <a:r>
              <a:rPr lang="en-AU" baseline="0"/>
              <a:t>Regional Victoria - 2016 so far</a:t>
            </a:r>
          </a:p>
          <a:p>
            <a:pPr algn="l">
              <a:defRPr/>
            </a:pPr>
            <a:r>
              <a:rPr lang="en-AU" sz="700" baseline="0"/>
              <a:t>Source: MPA analysis of Landata data from 1/8/2016</a:t>
            </a:r>
            <a:endParaRPr lang="en-AU" sz="1600"/>
          </a:p>
        </c:rich>
      </c:tx>
      <c:layout>
        <c:manualLayout>
          <c:xMode val="edge"/>
          <c:yMode val="edge"/>
          <c:x val="1.8121911037891174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6">
                <a:lumMod val="5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Sheet1!$Q$45:$Q$96</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Sheet1!$AI$44:$AI$95</c:f>
              <c:numCache>
                <c:formatCode>_-"$"* #,##0_-;\-"$"* #,##0_-;_-"$"* "-"??_-;_-@_-</c:formatCode>
                <c:ptCount val="52"/>
                <c:pt idx="1">
                  <c:v>237656.5</c:v>
                </c:pt>
                <c:pt idx="2">
                  <c:v>285500</c:v>
                </c:pt>
                <c:pt idx="3">
                  <c:v>307000</c:v>
                </c:pt>
                <c:pt idx="4">
                  <c:v>220000</c:v>
                </c:pt>
                <c:pt idx="5">
                  <c:v>261500</c:v>
                </c:pt>
                <c:pt idx="6">
                  <c:v>169000</c:v>
                </c:pt>
                <c:pt idx="7">
                  <c:v>172500</c:v>
                </c:pt>
                <c:pt idx="8">
                  <c:v>200000</c:v>
                </c:pt>
                <c:pt idx="9">
                  <c:v>263500</c:v>
                </c:pt>
                <c:pt idx="10">
                  <c:v>207000</c:v>
                </c:pt>
                <c:pt idx="13">
                  <c:v>297500</c:v>
                </c:pt>
                <c:pt idx="14">
                  <c:v>243000</c:v>
                </c:pt>
                <c:pt idx="15">
                  <c:v>256250</c:v>
                </c:pt>
                <c:pt idx="16">
                  <c:v>407000</c:v>
                </c:pt>
                <c:pt idx="17">
                  <c:v>289000</c:v>
                </c:pt>
                <c:pt idx="18">
                  <c:v>267750</c:v>
                </c:pt>
                <c:pt idx="19">
                  <c:v>375000</c:v>
                </c:pt>
                <c:pt idx="20">
                  <c:v>266500</c:v>
                </c:pt>
                <c:pt idx="21">
                  <c:v>467500</c:v>
                </c:pt>
                <c:pt idx="24">
                  <c:v>290000</c:v>
                </c:pt>
                <c:pt idx="25">
                  <c:v>158000</c:v>
                </c:pt>
                <c:pt idx="26">
                  <c:v>208750</c:v>
                </c:pt>
                <c:pt idx="28">
                  <c:v>197500</c:v>
                </c:pt>
                <c:pt idx="29">
                  <c:v>235000</c:v>
                </c:pt>
                <c:pt idx="30">
                  <c:v>285000</c:v>
                </c:pt>
                <c:pt idx="31">
                  <c:v>178500</c:v>
                </c:pt>
                <c:pt idx="32">
                  <c:v>247250</c:v>
                </c:pt>
                <c:pt idx="34">
                  <c:v>281000</c:v>
                </c:pt>
                <c:pt idx="35">
                  <c:v>295000</c:v>
                </c:pt>
                <c:pt idx="37">
                  <c:v>197500</c:v>
                </c:pt>
                <c:pt idx="39">
                  <c:v>228500</c:v>
                </c:pt>
                <c:pt idx="40">
                  <c:v>190000</c:v>
                </c:pt>
                <c:pt idx="41">
                  <c:v>302501</c:v>
                </c:pt>
                <c:pt idx="42">
                  <c:v>302500</c:v>
                </c:pt>
                <c:pt idx="43">
                  <c:v>163500</c:v>
                </c:pt>
                <c:pt idx="44">
                  <c:v>190000</c:v>
                </c:pt>
                <c:pt idx="45">
                  <c:v>160500</c:v>
                </c:pt>
                <c:pt idx="46">
                  <c:v>207500</c:v>
                </c:pt>
                <c:pt idx="47">
                  <c:v>222500</c:v>
                </c:pt>
                <c:pt idx="49">
                  <c:v>225000</c:v>
                </c:pt>
                <c:pt idx="51">
                  <c:v>205500</c:v>
                </c:pt>
              </c:numCache>
            </c:numRef>
          </c:val>
        </c:ser>
        <c:dLbls>
          <c:showLegendKey val="0"/>
          <c:showVal val="0"/>
          <c:showCatName val="0"/>
          <c:showSerName val="0"/>
          <c:showPercent val="0"/>
          <c:showBubbleSize val="0"/>
        </c:dLbls>
        <c:gapWidth val="25"/>
        <c:axId val="500234992"/>
        <c:axId val="500235552"/>
      </c:barChart>
      <c:catAx>
        <c:axId val="5002349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0235552"/>
        <c:crosses val="autoZero"/>
        <c:auto val="1"/>
        <c:lblAlgn val="ctr"/>
        <c:lblOffset val="100"/>
        <c:noMultiLvlLbl val="0"/>
      </c:catAx>
      <c:valAx>
        <c:axId val="500235552"/>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_-&quot;$&quot;* #,##0_-;\-&quot;$&quot;* #,##0_-;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0234992"/>
        <c:crosses val="autoZero"/>
        <c:crossBetween val="between"/>
        <c:majorUnit val="200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Median Weekly</a:t>
            </a:r>
            <a:r>
              <a:rPr lang="en-AU" baseline="0"/>
              <a:t> Rents - March Quarter 2016</a:t>
            </a:r>
          </a:p>
          <a:p>
            <a:pPr algn="l">
              <a:defRPr/>
            </a:pPr>
            <a:r>
              <a:rPr lang="en-AU" sz="800" baseline="0"/>
              <a:t>Source: DHHS Rental Report</a:t>
            </a:r>
            <a:endParaRPr lang="en-AU" sz="800"/>
          </a:p>
        </c:rich>
      </c:tx>
      <c:layout>
        <c:manualLayout>
          <c:xMode val="edge"/>
          <c:yMode val="edge"/>
          <c:x val="1.8988916404282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6937335958005248"/>
          <c:y val="0.22818642461358996"/>
          <c:w val="0.67473775153105864"/>
          <c:h val="0.7260954359871683"/>
        </c:manualLayout>
      </c:layout>
      <c:barChart>
        <c:barDir val="bar"/>
        <c:grouping val="clustered"/>
        <c:varyColors val="0"/>
        <c:ser>
          <c:idx val="0"/>
          <c:order val="0"/>
          <c:tx>
            <c:strRef>
              <c:f>Sheet4!$A$3</c:f>
              <c:strCache>
                <c:ptCount val="1"/>
                <c:pt idx="0">
                  <c:v>Metro</c:v>
                </c:pt>
              </c:strCache>
            </c:strRef>
          </c:tx>
          <c:spPr>
            <a:solidFill>
              <a:schemeClr val="tx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Sheet4!$B$2:$G$2</c:f>
              <c:strCache>
                <c:ptCount val="6"/>
                <c:pt idx="0">
                  <c:v>One Bedroom Flat</c:v>
                </c:pt>
                <c:pt idx="1">
                  <c:v>Two bedroom Flat</c:v>
                </c:pt>
                <c:pt idx="2">
                  <c:v>Three Bedroom Flat</c:v>
                </c:pt>
                <c:pt idx="3">
                  <c:v>Two Bedroom House</c:v>
                </c:pt>
                <c:pt idx="4">
                  <c:v>Three bedroom House</c:v>
                </c:pt>
                <c:pt idx="5">
                  <c:v>Four bedroom House</c:v>
                </c:pt>
              </c:strCache>
            </c:strRef>
          </c:cat>
          <c:val>
            <c:numRef>
              <c:f>Sheet4!$B$3:$G$3</c:f>
              <c:numCache>
                <c:formatCode>"$"#,##0</c:formatCode>
                <c:ptCount val="6"/>
                <c:pt idx="0">
                  <c:v>320</c:v>
                </c:pt>
                <c:pt idx="1">
                  <c:v>400</c:v>
                </c:pt>
                <c:pt idx="2">
                  <c:v>445</c:v>
                </c:pt>
                <c:pt idx="3">
                  <c:v>413</c:v>
                </c:pt>
                <c:pt idx="4">
                  <c:v>380</c:v>
                </c:pt>
                <c:pt idx="5">
                  <c:v>440</c:v>
                </c:pt>
              </c:numCache>
            </c:numRef>
          </c:val>
        </c:ser>
        <c:ser>
          <c:idx val="1"/>
          <c:order val="1"/>
          <c:tx>
            <c:strRef>
              <c:f>Sheet4!$A$4</c:f>
              <c:strCache>
                <c:ptCount val="1"/>
                <c:pt idx="0">
                  <c:v>Non-Metro</c:v>
                </c:pt>
              </c:strCache>
            </c:strRef>
          </c:tx>
          <c:spPr>
            <a:solidFill>
              <a:schemeClr val="accent2">
                <a:lumMod val="20000"/>
                <a:lumOff val="8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Sheet4!$B$2:$G$2</c:f>
              <c:strCache>
                <c:ptCount val="6"/>
                <c:pt idx="0">
                  <c:v>One Bedroom Flat</c:v>
                </c:pt>
                <c:pt idx="1">
                  <c:v>Two bedroom Flat</c:v>
                </c:pt>
                <c:pt idx="2">
                  <c:v>Three Bedroom Flat</c:v>
                </c:pt>
                <c:pt idx="3">
                  <c:v>Two Bedroom House</c:v>
                </c:pt>
                <c:pt idx="4">
                  <c:v>Three bedroom House</c:v>
                </c:pt>
                <c:pt idx="5">
                  <c:v>Four bedroom House</c:v>
                </c:pt>
              </c:strCache>
            </c:strRef>
          </c:cat>
          <c:val>
            <c:numRef>
              <c:f>Sheet4!$B$4:$G$4</c:f>
              <c:numCache>
                <c:formatCode>"$"#,##0</c:formatCode>
                <c:ptCount val="6"/>
                <c:pt idx="0">
                  <c:v>178</c:v>
                </c:pt>
                <c:pt idx="1">
                  <c:v>240</c:v>
                </c:pt>
                <c:pt idx="2">
                  <c:v>300</c:v>
                </c:pt>
                <c:pt idx="3">
                  <c:v>250</c:v>
                </c:pt>
                <c:pt idx="4">
                  <c:v>290</c:v>
                </c:pt>
                <c:pt idx="5">
                  <c:v>360</c:v>
                </c:pt>
              </c:numCache>
            </c:numRef>
          </c:val>
        </c:ser>
        <c:dLbls>
          <c:showLegendKey val="0"/>
          <c:showVal val="0"/>
          <c:showCatName val="0"/>
          <c:showSerName val="0"/>
          <c:showPercent val="0"/>
          <c:showBubbleSize val="0"/>
        </c:dLbls>
        <c:gapWidth val="45"/>
        <c:axId val="500238352"/>
        <c:axId val="500238912"/>
      </c:barChart>
      <c:catAx>
        <c:axId val="5002383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0238912"/>
        <c:crosses val="autoZero"/>
        <c:auto val="1"/>
        <c:lblAlgn val="ctr"/>
        <c:lblOffset val="100"/>
        <c:noMultiLvlLbl val="0"/>
      </c:catAx>
      <c:valAx>
        <c:axId val="500238912"/>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0238352"/>
        <c:crosses val="autoZero"/>
        <c:crossBetween val="between"/>
      </c:valAx>
      <c:spPr>
        <a:noFill/>
        <a:ln>
          <a:noFill/>
        </a:ln>
        <a:effectLst/>
      </c:spPr>
    </c:plotArea>
    <c:legend>
      <c:legendPos val="b"/>
      <c:layout>
        <c:manualLayout>
          <c:xMode val="edge"/>
          <c:yMode val="edge"/>
          <c:x val="0.71839435695538056"/>
          <c:y val="5.7815689705449278E-4"/>
          <c:w val="0.25768808089196005"/>
          <c:h val="0.1321666421370225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Median</a:t>
            </a:r>
            <a:r>
              <a:rPr lang="en-AU" baseline="0"/>
              <a:t> Weekly Rents for 2 bedroom Flats</a:t>
            </a:r>
          </a:p>
          <a:p>
            <a:pPr algn="l">
              <a:defRPr/>
            </a:pPr>
            <a:r>
              <a:rPr lang="en-AU" baseline="0"/>
              <a:t>&amp; 3 bedroom Houses (Metro &amp; Non-Metro)</a:t>
            </a:r>
          </a:p>
          <a:p>
            <a:pPr algn="l">
              <a:defRPr/>
            </a:pPr>
            <a:r>
              <a:rPr lang="en-AU" sz="800" baseline="0"/>
              <a:t>Source: DHHS Rental Report</a:t>
            </a:r>
            <a:endParaRPr lang="en-AU" sz="800"/>
          </a:p>
        </c:rich>
      </c:tx>
      <c:layout>
        <c:manualLayout>
          <c:xMode val="edge"/>
          <c:yMode val="edge"/>
          <c:x val="1.5917122743336395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5185489339394951E-2"/>
          <c:y val="0.16948140103176759"/>
          <c:w val="0.9035218113005169"/>
          <c:h val="0.67147468635386098"/>
        </c:manualLayout>
      </c:layout>
      <c:lineChart>
        <c:grouping val="standard"/>
        <c:varyColors val="0"/>
        <c:ser>
          <c:idx val="0"/>
          <c:order val="0"/>
          <c:tx>
            <c:strRef>
              <c:f>Sheet3!$B$5</c:f>
              <c:strCache>
                <c:ptCount val="1"/>
                <c:pt idx="0">
                  <c:v>2 bedroom Flat (Metro)</c:v>
                </c:pt>
              </c:strCache>
            </c:strRef>
          </c:tx>
          <c:spPr>
            <a:ln w="28575" cap="rnd">
              <a:solidFill>
                <a:schemeClr val="accent1"/>
              </a:solidFill>
              <a:round/>
            </a:ln>
            <a:effectLst/>
          </c:spPr>
          <c:marker>
            <c:symbol val="none"/>
          </c:marker>
          <c:cat>
            <c:strRef>
              <c:f>Sheet3!$A$9:$A$73</c:f>
              <c:strCache>
                <c:ptCount val="65"/>
                <c:pt idx="0">
                  <c:v>Mar 2000</c:v>
                </c:pt>
                <c:pt idx="1">
                  <c:v>Jun 2000</c:v>
                </c:pt>
                <c:pt idx="2">
                  <c:v>Sep 2000</c:v>
                </c:pt>
                <c:pt idx="3">
                  <c:v>Dec 2000</c:v>
                </c:pt>
                <c:pt idx="4">
                  <c:v>Mar 2001</c:v>
                </c:pt>
                <c:pt idx="5">
                  <c:v>Jun 2001</c:v>
                </c:pt>
                <c:pt idx="6">
                  <c:v>Sep 2001</c:v>
                </c:pt>
                <c:pt idx="7">
                  <c:v>Dec 2001</c:v>
                </c:pt>
                <c:pt idx="8">
                  <c:v>Mar 2002</c:v>
                </c:pt>
                <c:pt idx="9">
                  <c:v>Jun 2002</c:v>
                </c:pt>
                <c:pt idx="10">
                  <c:v>Sep 2002</c:v>
                </c:pt>
                <c:pt idx="11">
                  <c:v>Dec 2003</c:v>
                </c:pt>
                <c:pt idx="12">
                  <c:v>Mar 2003</c:v>
                </c:pt>
                <c:pt idx="13">
                  <c:v>Jun 2003</c:v>
                </c:pt>
                <c:pt idx="14">
                  <c:v>Sep 2003</c:v>
                </c:pt>
                <c:pt idx="15">
                  <c:v>Dec 2003</c:v>
                </c:pt>
                <c:pt idx="16">
                  <c:v>Mar 2004</c:v>
                </c:pt>
                <c:pt idx="17">
                  <c:v>Jun 2004</c:v>
                </c:pt>
                <c:pt idx="18">
                  <c:v>Sep 2004</c:v>
                </c:pt>
                <c:pt idx="19">
                  <c:v>Dec 2004</c:v>
                </c:pt>
                <c:pt idx="20">
                  <c:v>Mar 2005</c:v>
                </c:pt>
                <c:pt idx="21">
                  <c:v>Jun 2005</c:v>
                </c:pt>
                <c:pt idx="22">
                  <c:v>Sep 2005</c:v>
                </c:pt>
                <c:pt idx="23">
                  <c:v>Dec 2005</c:v>
                </c:pt>
                <c:pt idx="24">
                  <c:v>Mar 2006</c:v>
                </c:pt>
                <c:pt idx="25">
                  <c:v>Jun 2006</c:v>
                </c:pt>
                <c:pt idx="26">
                  <c:v>Sep 2006</c:v>
                </c:pt>
                <c:pt idx="27">
                  <c:v>Dec 2006</c:v>
                </c:pt>
                <c:pt idx="28">
                  <c:v>Mar 2007</c:v>
                </c:pt>
                <c:pt idx="29">
                  <c:v>Jun 2007</c:v>
                </c:pt>
                <c:pt idx="30">
                  <c:v>Sep 2007</c:v>
                </c:pt>
                <c:pt idx="31">
                  <c:v>Dec 2007</c:v>
                </c:pt>
                <c:pt idx="32">
                  <c:v>Mar 2008</c:v>
                </c:pt>
                <c:pt idx="33">
                  <c:v>Jun 2008</c:v>
                </c:pt>
                <c:pt idx="34">
                  <c:v>Sep 2008</c:v>
                </c:pt>
                <c:pt idx="35">
                  <c:v>Dec 2008</c:v>
                </c:pt>
                <c:pt idx="36">
                  <c:v>Mar 2009</c:v>
                </c:pt>
                <c:pt idx="37">
                  <c:v>Jun 2009</c:v>
                </c:pt>
                <c:pt idx="38">
                  <c:v>Sep 2009</c:v>
                </c:pt>
                <c:pt idx="39">
                  <c:v>Dec 2009</c:v>
                </c:pt>
                <c:pt idx="40">
                  <c:v>Mar 2010</c:v>
                </c:pt>
                <c:pt idx="41">
                  <c:v>Jun 2010</c:v>
                </c:pt>
                <c:pt idx="42">
                  <c:v>Sep 2010</c:v>
                </c:pt>
                <c:pt idx="43">
                  <c:v>Dec 2010</c:v>
                </c:pt>
                <c:pt idx="44">
                  <c:v>Mar 2011</c:v>
                </c:pt>
                <c:pt idx="45">
                  <c:v>Jun 2011</c:v>
                </c:pt>
                <c:pt idx="46">
                  <c:v>Sep 2011</c:v>
                </c:pt>
                <c:pt idx="47">
                  <c:v>Dec 2011</c:v>
                </c:pt>
                <c:pt idx="48">
                  <c:v>Mar 2012</c:v>
                </c:pt>
                <c:pt idx="49">
                  <c:v>Jun 2012</c:v>
                </c:pt>
                <c:pt idx="50">
                  <c:v>Sep 2012</c:v>
                </c:pt>
                <c:pt idx="51">
                  <c:v>Dec 2012</c:v>
                </c:pt>
                <c:pt idx="52">
                  <c:v>Mar 2013</c:v>
                </c:pt>
                <c:pt idx="53">
                  <c:v>Jun 2013</c:v>
                </c:pt>
                <c:pt idx="54">
                  <c:v>Sep 2013</c:v>
                </c:pt>
                <c:pt idx="55">
                  <c:v>Dec 2013</c:v>
                </c:pt>
                <c:pt idx="56">
                  <c:v>Mar 2014</c:v>
                </c:pt>
                <c:pt idx="57">
                  <c:v>Jun 2014</c:v>
                </c:pt>
                <c:pt idx="58">
                  <c:v>Sep 2014</c:v>
                </c:pt>
                <c:pt idx="59">
                  <c:v>Dec 2014</c:v>
                </c:pt>
                <c:pt idx="60">
                  <c:v>Mar 2015</c:v>
                </c:pt>
                <c:pt idx="61">
                  <c:v>Jun 2015</c:v>
                </c:pt>
                <c:pt idx="62">
                  <c:v>Sep 2015</c:v>
                </c:pt>
                <c:pt idx="63">
                  <c:v>Dec 2015</c:v>
                </c:pt>
                <c:pt idx="64">
                  <c:v>Mar 2016</c:v>
                </c:pt>
              </c:strCache>
            </c:strRef>
          </c:cat>
          <c:val>
            <c:numRef>
              <c:f>Sheet3!$B$9:$B$73</c:f>
              <c:numCache>
                <c:formatCode>"$"#,##0_);\("$"#,##0\)</c:formatCode>
                <c:ptCount val="65"/>
                <c:pt idx="0">
                  <c:v>175</c:v>
                </c:pt>
                <c:pt idx="1">
                  <c:v>170</c:v>
                </c:pt>
                <c:pt idx="2">
                  <c:v>175</c:v>
                </c:pt>
                <c:pt idx="3">
                  <c:v>175</c:v>
                </c:pt>
                <c:pt idx="4">
                  <c:v>185</c:v>
                </c:pt>
                <c:pt idx="5">
                  <c:v>185</c:v>
                </c:pt>
                <c:pt idx="6">
                  <c:v>185</c:v>
                </c:pt>
                <c:pt idx="7">
                  <c:v>185</c:v>
                </c:pt>
                <c:pt idx="8">
                  <c:v>195</c:v>
                </c:pt>
                <c:pt idx="9">
                  <c:v>190</c:v>
                </c:pt>
                <c:pt idx="10">
                  <c:v>195</c:v>
                </c:pt>
                <c:pt idx="11">
                  <c:v>195</c:v>
                </c:pt>
                <c:pt idx="12">
                  <c:v>200</c:v>
                </c:pt>
                <c:pt idx="13">
                  <c:v>200</c:v>
                </c:pt>
                <c:pt idx="14">
                  <c:v>200</c:v>
                </c:pt>
                <c:pt idx="15">
                  <c:v>200</c:v>
                </c:pt>
                <c:pt idx="16">
                  <c:v>215</c:v>
                </c:pt>
                <c:pt idx="17">
                  <c:v>205</c:v>
                </c:pt>
                <c:pt idx="18">
                  <c:v>210</c:v>
                </c:pt>
                <c:pt idx="19">
                  <c:v>210</c:v>
                </c:pt>
                <c:pt idx="20">
                  <c:v>220</c:v>
                </c:pt>
                <c:pt idx="21">
                  <c:v>220</c:v>
                </c:pt>
                <c:pt idx="22">
                  <c:v>220</c:v>
                </c:pt>
                <c:pt idx="23">
                  <c:v>220</c:v>
                </c:pt>
                <c:pt idx="24">
                  <c:v>230</c:v>
                </c:pt>
                <c:pt idx="25">
                  <c:v>230</c:v>
                </c:pt>
                <c:pt idx="26">
                  <c:v>240</c:v>
                </c:pt>
                <c:pt idx="27">
                  <c:v>240</c:v>
                </c:pt>
                <c:pt idx="28">
                  <c:v>260</c:v>
                </c:pt>
                <c:pt idx="29">
                  <c:v>260</c:v>
                </c:pt>
                <c:pt idx="30">
                  <c:v>270</c:v>
                </c:pt>
                <c:pt idx="31">
                  <c:v>280</c:v>
                </c:pt>
                <c:pt idx="32">
                  <c:v>295</c:v>
                </c:pt>
                <c:pt idx="33">
                  <c:v>300</c:v>
                </c:pt>
                <c:pt idx="34">
                  <c:v>310</c:v>
                </c:pt>
                <c:pt idx="35">
                  <c:v>310</c:v>
                </c:pt>
                <c:pt idx="36">
                  <c:v>321</c:v>
                </c:pt>
                <c:pt idx="37">
                  <c:v>320</c:v>
                </c:pt>
                <c:pt idx="38">
                  <c:v>320</c:v>
                </c:pt>
                <c:pt idx="39">
                  <c:v>320</c:v>
                </c:pt>
                <c:pt idx="40">
                  <c:v>340</c:v>
                </c:pt>
                <c:pt idx="41">
                  <c:v>340</c:v>
                </c:pt>
                <c:pt idx="42">
                  <c:v>340</c:v>
                </c:pt>
                <c:pt idx="43">
                  <c:v>340</c:v>
                </c:pt>
                <c:pt idx="44">
                  <c:v>351</c:v>
                </c:pt>
                <c:pt idx="45">
                  <c:v>350</c:v>
                </c:pt>
                <c:pt idx="46">
                  <c:v>350</c:v>
                </c:pt>
                <c:pt idx="47">
                  <c:v>350</c:v>
                </c:pt>
                <c:pt idx="48">
                  <c:v>360</c:v>
                </c:pt>
                <c:pt idx="49">
                  <c:v>360</c:v>
                </c:pt>
                <c:pt idx="50">
                  <c:v>355</c:v>
                </c:pt>
                <c:pt idx="51">
                  <c:v>350</c:v>
                </c:pt>
                <c:pt idx="52">
                  <c:v>370</c:v>
                </c:pt>
                <c:pt idx="53">
                  <c:v>360</c:v>
                </c:pt>
                <c:pt idx="54">
                  <c:v>360</c:v>
                </c:pt>
                <c:pt idx="55">
                  <c:v>365</c:v>
                </c:pt>
                <c:pt idx="56">
                  <c:v>380</c:v>
                </c:pt>
                <c:pt idx="57">
                  <c:v>360</c:v>
                </c:pt>
                <c:pt idx="58">
                  <c:v>375</c:v>
                </c:pt>
                <c:pt idx="59">
                  <c:v>370</c:v>
                </c:pt>
                <c:pt idx="60">
                  <c:v>390</c:v>
                </c:pt>
                <c:pt idx="61">
                  <c:v>380</c:v>
                </c:pt>
                <c:pt idx="62">
                  <c:v>390</c:v>
                </c:pt>
                <c:pt idx="63">
                  <c:v>380</c:v>
                </c:pt>
                <c:pt idx="64">
                  <c:v>400</c:v>
                </c:pt>
              </c:numCache>
            </c:numRef>
          </c:val>
          <c:smooth val="0"/>
        </c:ser>
        <c:ser>
          <c:idx val="1"/>
          <c:order val="1"/>
          <c:tx>
            <c:strRef>
              <c:f>Sheet3!$C$5</c:f>
              <c:strCache>
                <c:ptCount val="1"/>
                <c:pt idx="0">
                  <c:v>2 bedroom Flat (Non-Metro)</c:v>
                </c:pt>
              </c:strCache>
            </c:strRef>
          </c:tx>
          <c:spPr>
            <a:ln w="28575" cap="rnd">
              <a:solidFill>
                <a:schemeClr val="tx2">
                  <a:lumMod val="75000"/>
                </a:schemeClr>
              </a:solidFill>
              <a:prstDash val="sysDash"/>
              <a:round/>
            </a:ln>
            <a:effectLst/>
          </c:spPr>
          <c:marker>
            <c:symbol val="none"/>
          </c:marker>
          <c:cat>
            <c:strRef>
              <c:f>Sheet3!$A$9:$A$73</c:f>
              <c:strCache>
                <c:ptCount val="65"/>
                <c:pt idx="0">
                  <c:v>Mar 2000</c:v>
                </c:pt>
                <c:pt idx="1">
                  <c:v>Jun 2000</c:v>
                </c:pt>
                <c:pt idx="2">
                  <c:v>Sep 2000</c:v>
                </c:pt>
                <c:pt idx="3">
                  <c:v>Dec 2000</c:v>
                </c:pt>
                <c:pt idx="4">
                  <c:v>Mar 2001</c:v>
                </c:pt>
                <c:pt idx="5">
                  <c:v>Jun 2001</c:v>
                </c:pt>
                <c:pt idx="6">
                  <c:v>Sep 2001</c:v>
                </c:pt>
                <c:pt idx="7">
                  <c:v>Dec 2001</c:v>
                </c:pt>
                <c:pt idx="8">
                  <c:v>Mar 2002</c:v>
                </c:pt>
                <c:pt idx="9">
                  <c:v>Jun 2002</c:v>
                </c:pt>
                <c:pt idx="10">
                  <c:v>Sep 2002</c:v>
                </c:pt>
                <c:pt idx="11">
                  <c:v>Dec 2003</c:v>
                </c:pt>
                <c:pt idx="12">
                  <c:v>Mar 2003</c:v>
                </c:pt>
                <c:pt idx="13">
                  <c:v>Jun 2003</c:v>
                </c:pt>
                <c:pt idx="14">
                  <c:v>Sep 2003</c:v>
                </c:pt>
                <c:pt idx="15">
                  <c:v>Dec 2003</c:v>
                </c:pt>
                <c:pt idx="16">
                  <c:v>Mar 2004</c:v>
                </c:pt>
                <c:pt idx="17">
                  <c:v>Jun 2004</c:v>
                </c:pt>
                <c:pt idx="18">
                  <c:v>Sep 2004</c:v>
                </c:pt>
                <c:pt idx="19">
                  <c:v>Dec 2004</c:v>
                </c:pt>
                <c:pt idx="20">
                  <c:v>Mar 2005</c:v>
                </c:pt>
                <c:pt idx="21">
                  <c:v>Jun 2005</c:v>
                </c:pt>
                <c:pt idx="22">
                  <c:v>Sep 2005</c:v>
                </c:pt>
                <c:pt idx="23">
                  <c:v>Dec 2005</c:v>
                </c:pt>
                <c:pt idx="24">
                  <c:v>Mar 2006</c:v>
                </c:pt>
                <c:pt idx="25">
                  <c:v>Jun 2006</c:v>
                </c:pt>
                <c:pt idx="26">
                  <c:v>Sep 2006</c:v>
                </c:pt>
                <c:pt idx="27">
                  <c:v>Dec 2006</c:v>
                </c:pt>
                <c:pt idx="28">
                  <c:v>Mar 2007</c:v>
                </c:pt>
                <c:pt idx="29">
                  <c:v>Jun 2007</c:v>
                </c:pt>
                <c:pt idx="30">
                  <c:v>Sep 2007</c:v>
                </c:pt>
                <c:pt idx="31">
                  <c:v>Dec 2007</c:v>
                </c:pt>
                <c:pt idx="32">
                  <c:v>Mar 2008</c:v>
                </c:pt>
                <c:pt idx="33">
                  <c:v>Jun 2008</c:v>
                </c:pt>
                <c:pt idx="34">
                  <c:v>Sep 2008</c:v>
                </c:pt>
                <c:pt idx="35">
                  <c:v>Dec 2008</c:v>
                </c:pt>
                <c:pt idx="36">
                  <c:v>Mar 2009</c:v>
                </c:pt>
                <c:pt idx="37">
                  <c:v>Jun 2009</c:v>
                </c:pt>
                <c:pt idx="38">
                  <c:v>Sep 2009</c:v>
                </c:pt>
                <c:pt idx="39">
                  <c:v>Dec 2009</c:v>
                </c:pt>
                <c:pt idx="40">
                  <c:v>Mar 2010</c:v>
                </c:pt>
                <c:pt idx="41">
                  <c:v>Jun 2010</c:v>
                </c:pt>
                <c:pt idx="42">
                  <c:v>Sep 2010</c:v>
                </c:pt>
                <c:pt idx="43">
                  <c:v>Dec 2010</c:v>
                </c:pt>
                <c:pt idx="44">
                  <c:v>Mar 2011</c:v>
                </c:pt>
                <c:pt idx="45">
                  <c:v>Jun 2011</c:v>
                </c:pt>
                <c:pt idx="46">
                  <c:v>Sep 2011</c:v>
                </c:pt>
                <c:pt idx="47">
                  <c:v>Dec 2011</c:v>
                </c:pt>
                <c:pt idx="48">
                  <c:v>Mar 2012</c:v>
                </c:pt>
                <c:pt idx="49">
                  <c:v>Jun 2012</c:v>
                </c:pt>
                <c:pt idx="50">
                  <c:v>Sep 2012</c:v>
                </c:pt>
                <c:pt idx="51">
                  <c:v>Dec 2012</c:v>
                </c:pt>
                <c:pt idx="52">
                  <c:v>Mar 2013</c:v>
                </c:pt>
                <c:pt idx="53">
                  <c:v>Jun 2013</c:v>
                </c:pt>
                <c:pt idx="54">
                  <c:v>Sep 2013</c:v>
                </c:pt>
                <c:pt idx="55">
                  <c:v>Dec 2013</c:v>
                </c:pt>
                <c:pt idx="56">
                  <c:v>Mar 2014</c:v>
                </c:pt>
                <c:pt idx="57">
                  <c:v>Jun 2014</c:v>
                </c:pt>
                <c:pt idx="58">
                  <c:v>Sep 2014</c:v>
                </c:pt>
                <c:pt idx="59">
                  <c:v>Dec 2014</c:v>
                </c:pt>
                <c:pt idx="60">
                  <c:v>Mar 2015</c:v>
                </c:pt>
                <c:pt idx="61">
                  <c:v>Jun 2015</c:v>
                </c:pt>
                <c:pt idx="62">
                  <c:v>Sep 2015</c:v>
                </c:pt>
                <c:pt idx="63">
                  <c:v>Dec 2015</c:v>
                </c:pt>
                <c:pt idx="64">
                  <c:v>Mar 2016</c:v>
                </c:pt>
              </c:strCache>
            </c:strRef>
          </c:cat>
          <c:val>
            <c:numRef>
              <c:f>Sheet3!$C$9:$C$73</c:f>
              <c:numCache>
                <c:formatCode>"$"#,##0_);\("$"#,##0\)</c:formatCode>
                <c:ptCount val="65"/>
                <c:pt idx="0">
                  <c:v>120</c:v>
                </c:pt>
                <c:pt idx="1">
                  <c:v>120</c:v>
                </c:pt>
                <c:pt idx="2">
                  <c:v>125</c:v>
                </c:pt>
                <c:pt idx="3">
                  <c:v>125</c:v>
                </c:pt>
                <c:pt idx="4">
                  <c:v>125</c:v>
                </c:pt>
                <c:pt idx="5">
                  <c:v>125</c:v>
                </c:pt>
                <c:pt idx="6">
                  <c:v>125</c:v>
                </c:pt>
                <c:pt idx="7">
                  <c:v>130</c:v>
                </c:pt>
                <c:pt idx="8">
                  <c:v>130</c:v>
                </c:pt>
                <c:pt idx="9">
                  <c:v>130</c:v>
                </c:pt>
                <c:pt idx="10">
                  <c:v>135</c:v>
                </c:pt>
                <c:pt idx="11">
                  <c:v>135</c:v>
                </c:pt>
                <c:pt idx="12">
                  <c:v>140</c:v>
                </c:pt>
                <c:pt idx="13">
                  <c:v>140</c:v>
                </c:pt>
                <c:pt idx="14">
                  <c:v>140</c:v>
                </c:pt>
                <c:pt idx="15">
                  <c:v>140</c:v>
                </c:pt>
                <c:pt idx="16">
                  <c:v>145</c:v>
                </c:pt>
                <c:pt idx="17">
                  <c:v>145</c:v>
                </c:pt>
                <c:pt idx="18">
                  <c:v>145</c:v>
                </c:pt>
                <c:pt idx="19">
                  <c:v>150</c:v>
                </c:pt>
                <c:pt idx="20">
                  <c:v>150</c:v>
                </c:pt>
                <c:pt idx="21">
                  <c:v>150</c:v>
                </c:pt>
                <c:pt idx="22">
                  <c:v>150</c:v>
                </c:pt>
                <c:pt idx="23">
                  <c:v>155</c:v>
                </c:pt>
                <c:pt idx="24">
                  <c:v>155</c:v>
                </c:pt>
                <c:pt idx="25">
                  <c:v>155</c:v>
                </c:pt>
                <c:pt idx="26">
                  <c:v>160</c:v>
                </c:pt>
                <c:pt idx="27">
                  <c:v>160</c:v>
                </c:pt>
                <c:pt idx="28">
                  <c:v>160</c:v>
                </c:pt>
                <c:pt idx="29">
                  <c:v>160</c:v>
                </c:pt>
                <c:pt idx="30">
                  <c:v>165</c:v>
                </c:pt>
                <c:pt idx="31">
                  <c:v>166</c:v>
                </c:pt>
                <c:pt idx="32">
                  <c:v>170</c:v>
                </c:pt>
                <c:pt idx="33">
                  <c:v>170</c:v>
                </c:pt>
                <c:pt idx="34">
                  <c:v>175</c:v>
                </c:pt>
                <c:pt idx="35">
                  <c:v>175</c:v>
                </c:pt>
                <c:pt idx="36">
                  <c:v>180</c:v>
                </c:pt>
                <c:pt idx="37">
                  <c:v>180</c:v>
                </c:pt>
                <c:pt idx="38">
                  <c:v>180</c:v>
                </c:pt>
                <c:pt idx="39">
                  <c:v>185</c:v>
                </c:pt>
                <c:pt idx="40">
                  <c:v>190</c:v>
                </c:pt>
                <c:pt idx="41">
                  <c:v>195</c:v>
                </c:pt>
                <c:pt idx="42">
                  <c:v>195</c:v>
                </c:pt>
                <c:pt idx="43">
                  <c:v>200</c:v>
                </c:pt>
                <c:pt idx="44">
                  <c:v>200</c:v>
                </c:pt>
                <c:pt idx="45">
                  <c:v>210</c:v>
                </c:pt>
                <c:pt idx="46">
                  <c:v>210</c:v>
                </c:pt>
                <c:pt idx="47">
                  <c:v>210</c:v>
                </c:pt>
                <c:pt idx="48">
                  <c:v>220</c:v>
                </c:pt>
                <c:pt idx="49">
                  <c:v>210</c:v>
                </c:pt>
                <c:pt idx="50">
                  <c:v>210</c:v>
                </c:pt>
                <c:pt idx="51">
                  <c:v>210</c:v>
                </c:pt>
                <c:pt idx="52">
                  <c:v>220</c:v>
                </c:pt>
                <c:pt idx="53">
                  <c:v>220</c:v>
                </c:pt>
                <c:pt idx="54">
                  <c:v>220</c:v>
                </c:pt>
                <c:pt idx="55">
                  <c:v>220</c:v>
                </c:pt>
                <c:pt idx="56">
                  <c:v>225</c:v>
                </c:pt>
                <c:pt idx="57">
                  <c:v>230</c:v>
                </c:pt>
                <c:pt idx="58">
                  <c:v>225</c:v>
                </c:pt>
                <c:pt idx="59">
                  <c:v>230</c:v>
                </c:pt>
                <c:pt idx="60">
                  <c:v>230</c:v>
                </c:pt>
                <c:pt idx="61">
                  <c:v>230</c:v>
                </c:pt>
                <c:pt idx="62">
                  <c:v>230</c:v>
                </c:pt>
                <c:pt idx="63">
                  <c:v>230</c:v>
                </c:pt>
                <c:pt idx="64">
                  <c:v>240</c:v>
                </c:pt>
              </c:numCache>
            </c:numRef>
          </c:val>
          <c:smooth val="0"/>
        </c:ser>
        <c:ser>
          <c:idx val="2"/>
          <c:order val="2"/>
          <c:tx>
            <c:strRef>
              <c:f>Sheet3!$D$5</c:f>
              <c:strCache>
                <c:ptCount val="1"/>
                <c:pt idx="0">
                  <c:v>3 bedroom House (Metro)</c:v>
                </c:pt>
              </c:strCache>
            </c:strRef>
          </c:tx>
          <c:spPr>
            <a:ln w="28575" cap="rnd">
              <a:solidFill>
                <a:schemeClr val="accent3"/>
              </a:solidFill>
              <a:round/>
            </a:ln>
            <a:effectLst/>
          </c:spPr>
          <c:marker>
            <c:symbol val="none"/>
          </c:marker>
          <c:cat>
            <c:strRef>
              <c:f>Sheet3!$A$9:$A$73</c:f>
              <c:strCache>
                <c:ptCount val="65"/>
                <c:pt idx="0">
                  <c:v>Mar 2000</c:v>
                </c:pt>
                <c:pt idx="1">
                  <c:v>Jun 2000</c:v>
                </c:pt>
                <c:pt idx="2">
                  <c:v>Sep 2000</c:v>
                </c:pt>
                <c:pt idx="3">
                  <c:v>Dec 2000</c:v>
                </c:pt>
                <c:pt idx="4">
                  <c:v>Mar 2001</c:v>
                </c:pt>
                <c:pt idx="5">
                  <c:v>Jun 2001</c:v>
                </c:pt>
                <c:pt idx="6">
                  <c:v>Sep 2001</c:v>
                </c:pt>
                <c:pt idx="7">
                  <c:v>Dec 2001</c:v>
                </c:pt>
                <c:pt idx="8">
                  <c:v>Mar 2002</c:v>
                </c:pt>
                <c:pt idx="9">
                  <c:v>Jun 2002</c:v>
                </c:pt>
                <c:pt idx="10">
                  <c:v>Sep 2002</c:v>
                </c:pt>
                <c:pt idx="11">
                  <c:v>Dec 2003</c:v>
                </c:pt>
                <c:pt idx="12">
                  <c:v>Mar 2003</c:v>
                </c:pt>
                <c:pt idx="13">
                  <c:v>Jun 2003</c:v>
                </c:pt>
                <c:pt idx="14">
                  <c:v>Sep 2003</c:v>
                </c:pt>
                <c:pt idx="15">
                  <c:v>Dec 2003</c:v>
                </c:pt>
                <c:pt idx="16">
                  <c:v>Mar 2004</c:v>
                </c:pt>
                <c:pt idx="17">
                  <c:v>Jun 2004</c:v>
                </c:pt>
                <c:pt idx="18">
                  <c:v>Sep 2004</c:v>
                </c:pt>
                <c:pt idx="19">
                  <c:v>Dec 2004</c:v>
                </c:pt>
                <c:pt idx="20">
                  <c:v>Mar 2005</c:v>
                </c:pt>
                <c:pt idx="21">
                  <c:v>Jun 2005</c:v>
                </c:pt>
                <c:pt idx="22">
                  <c:v>Sep 2005</c:v>
                </c:pt>
                <c:pt idx="23">
                  <c:v>Dec 2005</c:v>
                </c:pt>
                <c:pt idx="24">
                  <c:v>Mar 2006</c:v>
                </c:pt>
                <c:pt idx="25">
                  <c:v>Jun 2006</c:v>
                </c:pt>
                <c:pt idx="26">
                  <c:v>Sep 2006</c:v>
                </c:pt>
                <c:pt idx="27">
                  <c:v>Dec 2006</c:v>
                </c:pt>
                <c:pt idx="28">
                  <c:v>Mar 2007</c:v>
                </c:pt>
                <c:pt idx="29">
                  <c:v>Jun 2007</c:v>
                </c:pt>
                <c:pt idx="30">
                  <c:v>Sep 2007</c:v>
                </c:pt>
                <c:pt idx="31">
                  <c:v>Dec 2007</c:v>
                </c:pt>
                <c:pt idx="32">
                  <c:v>Mar 2008</c:v>
                </c:pt>
                <c:pt idx="33">
                  <c:v>Jun 2008</c:v>
                </c:pt>
                <c:pt idx="34">
                  <c:v>Sep 2008</c:v>
                </c:pt>
                <c:pt idx="35">
                  <c:v>Dec 2008</c:v>
                </c:pt>
                <c:pt idx="36">
                  <c:v>Mar 2009</c:v>
                </c:pt>
                <c:pt idx="37">
                  <c:v>Jun 2009</c:v>
                </c:pt>
                <c:pt idx="38">
                  <c:v>Sep 2009</c:v>
                </c:pt>
                <c:pt idx="39">
                  <c:v>Dec 2009</c:v>
                </c:pt>
                <c:pt idx="40">
                  <c:v>Mar 2010</c:v>
                </c:pt>
                <c:pt idx="41">
                  <c:v>Jun 2010</c:v>
                </c:pt>
                <c:pt idx="42">
                  <c:v>Sep 2010</c:v>
                </c:pt>
                <c:pt idx="43">
                  <c:v>Dec 2010</c:v>
                </c:pt>
                <c:pt idx="44">
                  <c:v>Mar 2011</c:v>
                </c:pt>
                <c:pt idx="45">
                  <c:v>Jun 2011</c:v>
                </c:pt>
                <c:pt idx="46">
                  <c:v>Sep 2011</c:v>
                </c:pt>
                <c:pt idx="47">
                  <c:v>Dec 2011</c:v>
                </c:pt>
                <c:pt idx="48">
                  <c:v>Mar 2012</c:v>
                </c:pt>
                <c:pt idx="49">
                  <c:v>Jun 2012</c:v>
                </c:pt>
                <c:pt idx="50">
                  <c:v>Sep 2012</c:v>
                </c:pt>
                <c:pt idx="51">
                  <c:v>Dec 2012</c:v>
                </c:pt>
                <c:pt idx="52">
                  <c:v>Mar 2013</c:v>
                </c:pt>
                <c:pt idx="53">
                  <c:v>Jun 2013</c:v>
                </c:pt>
                <c:pt idx="54">
                  <c:v>Sep 2013</c:v>
                </c:pt>
                <c:pt idx="55">
                  <c:v>Dec 2013</c:v>
                </c:pt>
                <c:pt idx="56">
                  <c:v>Mar 2014</c:v>
                </c:pt>
                <c:pt idx="57">
                  <c:v>Jun 2014</c:v>
                </c:pt>
                <c:pt idx="58">
                  <c:v>Sep 2014</c:v>
                </c:pt>
                <c:pt idx="59">
                  <c:v>Dec 2014</c:v>
                </c:pt>
                <c:pt idx="60">
                  <c:v>Mar 2015</c:v>
                </c:pt>
                <c:pt idx="61">
                  <c:v>Jun 2015</c:v>
                </c:pt>
                <c:pt idx="62">
                  <c:v>Sep 2015</c:v>
                </c:pt>
                <c:pt idx="63">
                  <c:v>Dec 2015</c:v>
                </c:pt>
                <c:pt idx="64">
                  <c:v>Mar 2016</c:v>
                </c:pt>
              </c:strCache>
            </c:strRef>
          </c:cat>
          <c:val>
            <c:numRef>
              <c:f>Sheet3!$D$9:$D$73</c:f>
              <c:numCache>
                <c:formatCode>"$"#,##0_);\("$"#,##0\)</c:formatCode>
                <c:ptCount val="65"/>
                <c:pt idx="0">
                  <c:v>190</c:v>
                </c:pt>
                <c:pt idx="1">
                  <c:v>185</c:v>
                </c:pt>
                <c:pt idx="2">
                  <c:v>190</c:v>
                </c:pt>
                <c:pt idx="3">
                  <c:v>190</c:v>
                </c:pt>
                <c:pt idx="4">
                  <c:v>200</c:v>
                </c:pt>
                <c:pt idx="5">
                  <c:v>195</c:v>
                </c:pt>
                <c:pt idx="6">
                  <c:v>200</c:v>
                </c:pt>
                <c:pt idx="7">
                  <c:v>200</c:v>
                </c:pt>
                <c:pt idx="8">
                  <c:v>210</c:v>
                </c:pt>
                <c:pt idx="9">
                  <c:v>200</c:v>
                </c:pt>
                <c:pt idx="10">
                  <c:v>200</c:v>
                </c:pt>
                <c:pt idx="11">
                  <c:v>210</c:v>
                </c:pt>
                <c:pt idx="12">
                  <c:v>210</c:v>
                </c:pt>
                <c:pt idx="13">
                  <c:v>210</c:v>
                </c:pt>
                <c:pt idx="14">
                  <c:v>210</c:v>
                </c:pt>
                <c:pt idx="15">
                  <c:v>210</c:v>
                </c:pt>
                <c:pt idx="16">
                  <c:v>220</c:v>
                </c:pt>
                <c:pt idx="17">
                  <c:v>215</c:v>
                </c:pt>
                <c:pt idx="18">
                  <c:v>220</c:v>
                </c:pt>
                <c:pt idx="19">
                  <c:v>220</c:v>
                </c:pt>
                <c:pt idx="20">
                  <c:v>220</c:v>
                </c:pt>
                <c:pt idx="21">
                  <c:v>220</c:v>
                </c:pt>
                <c:pt idx="22">
                  <c:v>220</c:v>
                </c:pt>
                <c:pt idx="23">
                  <c:v>230</c:v>
                </c:pt>
                <c:pt idx="24">
                  <c:v>230</c:v>
                </c:pt>
                <c:pt idx="25">
                  <c:v>230</c:v>
                </c:pt>
                <c:pt idx="26">
                  <c:v>235</c:v>
                </c:pt>
                <c:pt idx="27">
                  <c:v>240</c:v>
                </c:pt>
                <c:pt idx="28">
                  <c:v>250</c:v>
                </c:pt>
                <c:pt idx="29">
                  <c:v>250</c:v>
                </c:pt>
                <c:pt idx="30">
                  <c:v>260</c:v>
                </c:pt>
                <c:pt idx="31">
                  <c:v>270</c:v>
                </c:pt>
                <c:pt idx="32">
                  <c:v>280</c:v>
                </c:pt>
                <c:pt idx="33">
                  <c:v>290</c:v>
                </c:pt>
                <c:pt idx="34">
                  <c:v>300</c:v>
                </c:pt>
                <c:pt idx="35">
                  <c:v>300</c:v>
                </c:pt>
                <c:pt idx="36">
                  <c:v>310</c:v>
                </c:pt>
                <c:pt idx="37">
                  <c:v>300</c:v>
                </c:pt>
                <c:pt idx="38">
                  <c:v>310</c:v>
                </c:pt>
                <c:pt idx="39">
                  <c:v>320</c:v>
                </c:pt>
                <c:pt idx="40">
                  <c:v>330</c:v>
                </c:pt>
                <c:pt idx="41">
                  <c:v>325</c:v>
                </c:pt>
                <c:pt idx="42">
                  <c:v>330</c:v>
                </c:pt>
                <c:pt idx="43">
                  <c:v>330</c:v>
                </c:pt>
                <c:pt idx="44">
                  <c:v>340</c:v>
                </c:pt>
                <c:pt idx="45">
                  <c:v>340</c:v>
                </c:pt>
                <c:pt idx="46">
                  <c:v>340</c:v>
                </c:pt>
                <c:pt idx="47">
                  <c:v>340</c:v>
                </c:pt>
                <c:pt idx="48">
                  <c:v>340</c:v>
                </c:pt>
                <c:pt idx="49">
                  <c:v>335</c:v>
                </c:pt>
                <c:pt idx="50">
                  <c:v>340</c:v>
                </c:pt>
                <c:pt idx="51">
                  <c:v>340</c:v>
                </c:pt>
                <c:pt idx="52">
                  <c:v>349</c:v>
                </c:pt>
                <c:pt idx="53">
                  <c:v>340</c:v>
                </c:pt>
                <c:pt idx="54">
                  <c:v>345</c:v>
                </c:pt>
                <c:pt idx="55">
                  <c:v>350</c:v>
                </c:pt>
                <c:pt idx="56">
                  <c:v>353</c:v>
                </c:pt>
                <c:pt idx="57">
                  <c:v>350</c:v>
                </c:pt>
                <c:pt idx="58">
                  <c:v>350</c:v>
                </c:pt>
                <c:pt idx="59">
                  <c:v>355</c:v>
                </c:pt>
                <c:pt idx="60">
                  <c:v>360</c:v>
                </c:pt>
                <c:pt idx="61">
                  <c:v>360</c:v>
                </c:pt>
                <c:pt idx="62">
                  <c:v>360</c:v>
                </c:pt>
                <c:pt idx="63">
                  <c:v>370</c:v>
                </c:pt>
                <c:pt idx="64">
                  <c:v>380</c:v>
                </c:pt>
              </c:numCache>
            </c:numRef>
          </c:val>
          <c:smooth val="0"/>
        </c:ser>
        <c:ser>
          <c:idx val="3"/>
          <c:order val="3"/>
          <c:tx>
            <c:strRef>
              <c:f>Sheet3!$E$5</c:f>
              <c:strCache>
                <c:ptCount val="1"/>
                <c:pt idx="0">
                  <c:v>3 bedroom House (Non-Metro)</c:v>
                </c:pt>
              </c:strCache>
            </c:strRef>
          </c:tx>
          <c:spPr>
            <a:ln w="28575" cap="rnd">
              <a:solidFill>
                <a:schemeClr val="accent4">
                  <a:lumMod val="75000"/>
                </a:schemeClr>
              </a:solidFill>
              <a:prstDash val="sysDash"/>
              <a:round/>
            </a:ln>
            <a:effectLst/>
          </c:spPr>
          <c:marker>
            <c:symbol val="none"/>
          </c:marker>
          <c:cat>
            <c:strRef>
              <c:f>Sheet3!$A$9:$A$73</c:f>
              <c:strCache>
                <c:ptCount val="65"/>
                <c:pt idx="0">
                  <c:v>Mar 2000</c:v>
                </c:pt>
                <c:pt idx="1">
                  <c:v>Jun 2000</c:v>
                </c:pt>
                <c:pt idx="2">
                  <c:v>Sep 2000</c:v>
                </c:pt>
                <c:pt idx="3">
                  <c:v>Dec 2000</c:v>
                </c:pt>
                <c:pt idx="4">
                  <c:v>Mar 2001</c:v>
                </c:pt>
                <c:pt idx="5">
                  <c:v>Jun 2001</c:v>
                </c:pt>
                <c:pt idx="6">
                  <c:v>Sep 2001</c:v>
                </c:pt>
                <c:pt idx="7">
                  <c:v>Dec 2001</c:v>
                </c:pt>
                <c:pt idx="8">
                  <c:v>Mar 2002</c:v>
                </c:pt>
                <c:pt idx="9">
                  <c:v>Jun 2002</c:v>
                </c:pt>
                <c:pt idx="10">
                  <c:v>Sep 2002</c:v>
                </c:pt>
                <c:pt idx="11">
                  <c:v>Dec 2003</c:v>
                </c:pt>
                <c:pt idx="12">
                  <c:v>Mar 2003</c:v>
                </c:pt>
                <c:pt idx="13">
                  <c:v>Jun 2003</c:v>
                </c:pt>
                <c:pt idx="14">
                  <c:v>Sep 2003</c:v>
                </c:pt>
                <c:pt idx="15">
                  <c:v>Dec 2003</c:v>
                </c:pt>
                <c:pt idx="16">
                  <c:v>Mar 2004</c:v>
                </c:pt>
                <c:pt idx="17">
                  <c:v>Jun 2004</c:v>
                </c:pt>
                <c:pt idx="18">
                  <c:v>Sep 2004</c:v>
                </c:pt>
                <c:pt idx="19">
                  <c:v>Dec 2004</c:v>
                </c:pt>
                <c:pt idx="20">
                  <c:v>Mar 2005</c:v>
                </c:pt>
                <c:pt idx="21">
                  <c:v>Jun 2005</c:v>
                </c:pt>
                <c:pt idx="22">
                  <c:v>Sep 2005</c:v>
                </c:pt>
                <c:pt idx="23">
                  <c:v>Dec 2005</c:v>
                </c:pt>
                <c:pt idx="24">
                  <c:v>Mar 2006</c:v>
                </c:pt>
                <c:pt idx="25">
                  <c:v>Jun 2006</c:v>
                </c:pt>
                <c:pt idx="26">
                  <c:v>Sep 2006</c:v>
                </c:pt>
                <c:pt idx="27">
                  <c:v>Dec 2006</c:v>
                </c:pt>
                <c:pt idx="28">
                  <c:v>Mar 2007</c:v>
                </c:pt>
                <c:pt idx="29">
                  <c:v>Jun 2007</c:v>
                </c:pt>
                <c:pt idx="30">
                  <c:v>Sep 2007</c:v>
                </c:pt>
                <c:pt idx="31">
                  <c:v>Dec 2007</c:v>
                </c:pt>
                <c:pt idx="32">
                  <c:v>Mar 2008</c:v>
                </c:pt>
                <c:pt idx="33">
                  <c:v>Jun 2008</c:v>
                </c:pt>
                <c:pt idx="34">
                  <c:v>Sep 2008</c:v>
                </c:pt>
                <c:pt idx="35">
                  <c:v>Dec 2008</c:v>
                </c:pt>
                <c:pt idx="36">
                  <c:v>Mar 2009</c:v>
                </c:pt>
                <c:pt idx="37">
                  <c:v>Jun 2009</c:v>
                </c:pt>
                <c:pt idx="38">
                  <c:v>Sep 2009</c:v>
                </c:pt>
                <c:pt idx="39">
                  <c:v>Dec 2009</c:v>
                </c:pt>
                <c:pt idx="40">
                  <c:v>Mar 2010</c:v>
                </c:pt>
                <c:pt idx="41">
                  <c:v>Jun 2010</c:v>
                </c:pt>
                <c:pt idx="42">
                  <c:v>Sep 2010</c:v>
                </c:pt>
                <c:pt idx="43">
                  <c:v>Dec 2010</c:v>
                </c:pt>
                <c:pt idx="44">
                  <c:v>Mar 2011</c:v>
                </c:pt>
                <c:pt idx="45">
                  <c:v>Jun 2011</c:v>
                </c:pt>
                <c:pt idx="46">
                  <c:v>Sep 2011</c:v>
                </c:pt>
                <c:pt idx="47">
                  <c:v>Dec 2011</c:v>
                </c:pt>
                <c:pt idx="48">
                  <c:v>Mar 2012</c:v>
                </c:pt>
                <c:pt idx="49">
                  <c:v>Jun 2012</c:v>
                </c:pt>
                <c:pt idx="50">
                  <c:v>Sep 2012</c:v>
                </c:pt>
                <c:pt idx="51">
                  <c:v>Dec 2012</c:v>
                </c:pt>
                <c:pt idx="52">
                  <c:v>Mar 2013</c:v>
                </c:pt>
                <c:pt idx="53">
                  <c:v>Jun 2013</c:v>
                </c:pt>
                <c:pt idx="54">
                  <c:v>Sep 2013</c:v>
                </c:pt>
                <c:pt idx="55">
                  <c:v>Dec 2013</c:v>
                </c:pt>
                <c:pt idx="56">
                  <c:v>Mar 2014</c:v>
                </c:pt>
                <c:pt idx="57">
                  <c:v>Jun 2014</c:v>
                </c:pt>
                <c:pt idx="58">
                  <c:v>Sep 2014</c:v>
                </c:pt>
                <c:pt idx="59">
                  <c:v>Dec 2014</c:v>
                </c:pt>
                <c:pt idx="60">
                  <c:v>Mar 2015</c:v>
                </c:pt>
                <c:pt idx="61">
                  <c:v>Jun 2015</c:v>
                </c:pt>
                <c:pt idx="62">
                  <c:v>Sep 2015</c:v>
                </c:pt>
                <c:pt idx="63">
                  <c:v>Dec 2015</c:v>
                </c:pt>
                <c:pt idx="64">
                  <c:v>Mar 2016</c:v>
                </c:pt>
              </c:strCache>
            </c:strRef>
          </c:cat>
          <c:val>
            <c:numRef>
              <c:f>Sheet3!$E$9:$E$73</c:f>
              <c:numCache>
                <c:formatCode>"$"#,##0_);\("$"#,##0\)</c:formatCode>
                <c:ptCount val="65"/>
                <c:pt idx="0">
                  <c:v>140</c:v>
                </c:pt>
                <c:pt idx="1">
                  <c:v>145</c:v>
                </c:pt>
                <c:pt idx="2">
                  <c:v>145</c:v>
                </c:pt>
                <c:pt idx="3">
                  <c:v>150</c:v>
                </c:pt>
                <c:pt idx="4">
                  <c:v>150</c:v>
                </c:pt>
                <c:pt idx="5">
                  <c:v>150</c:v>
                </c:pt>
                <c:pt idx="6">
                  <c:v>150</c:v>
                </c:pt>
                <c:pt idx="7">
                  <c:v>155</c:v>
                </c:pt>
                <c:pt idx="8">
                  <c:v>160</c:v>
                </c:pt>
                <c:pt idx="9">
                  <c:v>160</c:v>
                </c:pt>
                <c:pt idx="10">
                  <c:v>160</c:v>
                </c:pt>
                <c:pt idx="11">
                  <c:v>165</c:v>
                </c:pt>
                <c:pt idx="12">
                  <c:v>170</c:v>
                </c:pt>
                <c:pt idx="13">
                  <c:v>170</c:v>
                </c:pt>
                <c:pt idx="14">
                  <c:v>170</c:v>
                </c:pt>
                <c:pt idx="15">
                  <c:v>180</c:v>
                </c:pt>
                <c:pt idx="16">
                  <c:v>180</c:v>
                </c:pt>
                <c:pt idx="17">
                  <c:v>180</c:v>
                </c:pt>
                <c:pt idx="18">
                  <c:v>180</c:v>
                </c:pt>
                <c:pt idx="19">
                  <c:v>185</c:v>
                </c:pt>
                <c:pt idx="20">
                  <c:v>190</c:v>
                </c:pt>
                <c:pt idx="21">
                  <c:v>185</c:v>
                </c:pt>
                <c:pt idx="22">
                  <c:v>185</c:v>
                </c:pt>
                <c:pt idx="23">
                  <c:v>190</c:v>
                </c:pt>
                <c:pt idx="24">
                  <c:v>190</c:v>
                </c:pt>
                <c:pt idx="25">
                  <c:v>190</c:v>
                </c:pt>
                <c:pt idx="26">
                  <c:v>195</c:v>
                </c:pt>
                <c:pt idx="27">
                  <c:v>200</c:v>
                </c:pt>
                <c:pt idx="28">
                  <c:v>200</c:v>
                </c:pt>
                <c:pt idx="29">
                  <c:v>200</c:v>
                </c:pt>
                <c:pt idx="30">
                  <c:v>205</c:v>
                </c:pt>
                <c:pt idx="31">
                  <c:v>210</c:v>
                </c:pt>
                <c:pt idx="32">
                  <c:v>220</c:v>
                </c:pt>
                <c:pt idx="33">
                  <c:v>220</c:v>
                </c:pt>
                <c:pt idx="34">
                  <c:v>220</c:v>
                </c:pt>
                <c:pt idx="35">
                  <c:v>225</c:v>
                </c:pt>
                <c:pt idx="36">
                  <c:v>230</c:v>
                </c:pt>
                <c:pt idx="37">
                  <c:v>230</c:v>
                </c:pt>
                <c:pt idx="38">
                  <c:v>230</c:v>
                </c:pt>
                <c:pt idx="39">
                  <c:v>240</c:v>
                </c:pt>
                <c:pt idx="40">
                  <c:v>240</c:v>
                </c:pt>
                <c:pt idx="41">
                  <c:v>245</c:v>
                </c:pt>
                <c:pt idx="42">
                  <c:v>250</c:v>
                </c:pt>
                <c:pt idx="43">
                  <c:v>250</c:v>
                </c:pt>
                <c:pt idx="44">
                  <c:v>260</c:v>
                </c:pt>
                <c:pt idx="45">
                  <c:v>260</c:v>
                </c:pt>
                <c:pt idx="46">
                  <c:v>260</c:v>
                </c:pt>
                <c:pt idx="47">
                  <c:v>270</c:v>
                </c:pt>
                <c:pt idx="48">
                  <c:v>270</c:v>
                </c:pt>
                <c:pt idx="49">
                  <c:v>270</c:v>
                </c:pt>
                <c:pt idx="50">
                  <c:v>270</c:v>
                </c:pt>
                <c:pt idx="51">
                  <c:v>270</c:v>
                </c:pt>
                <c:pt idx="52">
                  <c:v>270</c:v>
                </c:pt>
                <c:pt idx="53">
                  <c:v>270</c:v>
                </c:pt>
                <c:pt idx="54">
                  <c:v>270</c:v>
                </c:pt>
                <c:pt idx="55">
                  <c:v>280</c:v>
                </c:pt>
                <c:pt idx="56">
                  <c:v>280</c:v>
                </c:pt>
                <c:pt idx="57">
                  <c:v>280</c:v>
                </c:pt>
                <c:pt idx="58">
                  <c:v>280</c:v>
                </c:pt>
                <c:pt idx="59">
                  <c:v>280</c:v>
                </c:pt>
                <c:pt idx="60">
                  <c:v>285</c:v>
                </c:pt>
                <c:pt idx="61">
                  <c:v>280</c:v>
                </c:pt>
                <c:pt idx="62">
                  <c:v>280</c:v>
                </c:pt>
                <c:pt idx="63">
                  <c:v>285</c:v>
                </c:pt>
                <c:pt idx="64">
                  <c:v>290</c:v>
                </c:pt>
              </c:numCache>
            </c:numRef>
          </c:val>
          <c:smooth val="0"/>
        </c:ser>
        <c:dLbls>
          <c:showLegendKey val="0"/>
          <c:showVal val="0"/>
          <c:showCatName val="0"/>
          <c:showSerName val="0"/>
          <c:showPercent val="0"/>
          <c:showBubbleSize val="0"/>
        </c:dLbls>
        <c:smooth val="0"/>
        <c:axId val="500242832"/>
        <c:axId val="500243392"/>
      </c:lineChart>
      <c:catAx>
        <c:axId val="5002428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0243392"/>
        <c:crosses val="autoZero"/>
        <c:auto val="1"/>
        <c:lblAlgn val="ctr"/>
        <c:lblOffset val="100"/>
        <c:noMultiLvlLbl val="0"/>
      </c:catAx>
      <c:valAx>
        <c:axId val="500243392"/>
        <c:scaling>
          <c:orientation val="minMax"/>
        </c:scaling>
        <c:delete val="0"/>
        <c:axPos val="l"/>
        <c:majorGridlines>
          <c:spPr>
            <a:ln w="9525" cap="flat" cmpd="sng" algn="ctr">
              <a:solidFill>
                <a:schemeClr val="tx1">
                  <a:lumMod val="15000"/>
                  <a:lumOff val="85000"/>
                </a:schemeClr>
              </a:solidFill>
              <a:round/>
            </a:ln>
            <a:effectLst/>
          </c:spPr>
        </c:majorGridlines>
        <c:numFmt formatCode="&quot;$&quot;#,##0_);\(&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0242832"/>
        <c:crosses val="autoZero"/>
        <c:crossBetween val="between"/>
      </c:valAx>
      <c:spPr>
        <a:noFill/>
        <a:ln>
          <a:noFill/>
        </a:ln>
        <a:effectLst/>
      </c:spPr>
    </c:plotArea>
    <c:legend>
      <c:legendPos val="b"/>
      <c:layout>
        <c:manualLayout>
          <c:xMode val="edge"/>
          <c:yMode val="edge"/>
          <c:x val="0.51701307558459275"/>
          <c:y val="1.7565930779333849E-3"/>
          <c:w val="0.45480182908417766"/>
          <c:h val="0.1579750807011192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400" b="0" i="0" baseline="0">
                <a:effectLst/>
              </a:rPr>
              <a:t>Median Weekly Rents by LGA - March 2016</a:t>
            </a:r>
            <a:endParaRPr lang="en-AU" sz="1400">
              <a:effectLst/>
            </a:endParaRPr>
          </a:p>
          <a:p>
            <a:pPr algn="l">
              <a:defRPr/>
            </a:pPr>
            <a:r>
              <a:rPr lang="en-AU" sz="1400" b="0" i="0" baseline="0">
                <a:effectLst/>
              </a:rPr>
              <a:t>Metropolitan Melbourne</a:t>
            </a:r>
            <a:endParaRPr lang="en-AU" sz="1400">
              <a:effectLst/>
            </a:endParaRPr>
          </a:p>
          <a:p>
            <a:pPr algn="l">
              <a:defRPr/>
            </a:pPr>
            <a:r>
              <a:rPr lang="en-AU" sz="800" b="0" i="0" baseline="0">
                <a:effectLst/>
              </a:rPr>
              <a:t>Source: DHHS Quarterly Rental Report</a:t>
            </a:r>
            <a:endParaRPr lang="en-AU" sz="800">
              <a:effectLst/>
            </a:endParaRPr>
          </a:p>
        </c:rich>
      </c:tx>
      <c:layout>
        <c:manualLayout>
          <c:xMode val="edge"/>
          <c:yMode val="edge"/>
          <c:x val="8.1684040137587838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4351246719160105"/>
          <c:y val="0.14286401008233138"/>
          <c:w val="0.71607026010706876"/>
          <c:h val="0.84080070766859316"/>
        </c:manualLayout>
      </c:layout>
      <c:barChart>
        <c:barDir val="bar"/>
        <c:grouping val="clustered"/>
        <c:varyColors val="0"/>
        <c:ser>
          <c:idx val="0"/>
          <c:order val="0"/>
          <c:tx>
            <c:strRef>
              <c:f>'Table 12'!$E$5</c:f>
              <c:strCache>
                <c:ptCount val="1"/>
                <c:pt idx="0">
                  <c:v>2 Bed House</c:v>
                </c:pt>
              </c:strCache>
            </c:strRef>
          </c:tx>
          <c:spPr>
            <a:solidFill>
              <a:schemeClr val="accent1"/>
            </a:solidFill>
            <a:ln>
              <a:noFill/>
            </a:ln>
            <a:effectLst/>
          </c:spPr>
          <c:invertIfNegative val="0"/>
          <c:cat>
            <c:strRef>
              <c:f>'Table 12'!$A$6:$A$46</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Penin'a</c:v>
                </c:pt>
                <c:pt idx="35">
                  <c:v>Western Subregion</c:v>
                </c:pt>
                <c:pt idx="36">
                  <c:v>Brimbank</c:v>
                </c:pt>
                <c:pt idx="37">
                  <c:v>Hobsons Bay</c:v>
                </c:pt>
                <c:pt idx="38">
                  <c:v>Melton</c:v>
                </c:pt>
                <c:pt idx="39">
                  <c:v>Moonee Valley</c:v>
                </c:pt>
                <c:pt idx="40">
                  <c:v>Wyndham</c:v>
                </c:pt>
              </c:strCache>
            </c:strRef>
          </c:cat>
          <c:val>
            <c:numRef>
              <c:f>'Table 12'!$E$6:$E$46</c:f>
              <c:numCache>
                <c:formatCode>"$"#,##0_);[Red]\("$"#,##0\)</c:formatCode>
                <c:ptCount val="41"/>
                <c:pt idx="1">
                  <c:v>410</c:v>
                </c:pt>
                <c:pt idx="2">
                  <c:v>500</c:v>
                </c:pt>
                <c:pt idx="3">
                  <c:v>600</c:v>
                </c:pt>
                <c:pt idx="4">
                  <c:v>570</c:v>
                </c:pt>
                <c:pt idx="5">
                  <c:v>560</c:v>
                </c:pt>
                <c:pt idx="8">
                  <c:v>480</c:v>
                </c:pt>
                <c:pt idx="9">
                  <c:v>343</c:v>
                </c:pt>
                <c:pt idx="10">
                  <c:v>378</c:v>
                </c:pt>
                <c:pt idx="11">
                  <c:v>345</c:v>
                </c:pt>
                <c:pt idx="12">
                  <c:v>375</c:v>
                </c:pt>
                <c:pt idx="13">
                  <c:v>380</c:v>
                </c:pt>
                <c:pt idx="14">
                  <c:v>315</c:v>
                </c:pt>
                <c:pt idx="17">
                  <c:v>345</c:v>
                </c:pt>
                <c:pt idx="18">
                  <c:v>420</c:v>
                </c:pt>
                <c:pt idx="19">
                  <c:v>300</c:v>
                </c:pt>
                <c:pt idx="20">
                  <c:v>245</c:v>
                </c:pt>
                <c:pt idx="21">
                  <c:v>415</c:v>
                </c:pt>
                <c:pt idx="22">
                  <c:v>333</c:v>
                </c:pt>
                <c:pt idx="23">
                  <c:v>310</c:v>
                </c:pt>
                <c:pt idx="26">
                  <c:v>450</c:v>
                </c:pt>
                <c:pt idx="27">
                  <c:v>300</c:v>
                </c:pt>
                <c:pt idx="28">
                  <c:v>300</c:v>
                </c:pt>
                <c:pt idx="29">
                  <c:v>320</c:v>
                </c:pt>
                <c:pt idx="30">
                  <c:v>450</c:v>
                </c:pt>
                <c:pt idx="31">
                  <c:v>300</c:v>
                </c:pt>
                <c:pt idx="32">
                  <c:v>400</c:v>
                </c:pt>
                <c:pt idx="33">
                  <c:v>290</c:v>
                </c:pt>
                <c:pt idx="36">
                  <c:v>300</c:v>
                </c:pt>
                <c:pt idx="37">
                  <c:v>398</c:v>
                </c:pt>
                <c:pt idx="38">
                  <c:v>313</c:v>
                </c:pt>
                <c:pt idx="39">
                  <c:v>425</c:v>
                </c:pt>
                <c:pt idx="40">
                  <c:v>295</c:v>
                </c:pt>
              </c:numCache>
            </c:numRef>
          </c:val>
        </c:ser>
        <c:ser>
          <c:idx val="1"/>
          <c:order val="1"/>
          <c:tx>
            <c:strRef>
              <c:f>'Table 12'!$F$5</c:f>
              <c:strCache>
                <c:ptCount val="1"/>
                <c:pt idx="0">
                  <c:v>3 Bed House</c:v>
                </c:pt>
              </c:strCache>
            </c:strRef>
          </c:tx>
          <c:spPr>
            <a:solidFill>
              <a:schemeClr val="accent2"/>
            </a:solidFill>
            <a:ln>
              <a:noFill/>
            </a:ln>
            <a:effectLst/>
          </c:spPr>
          <c:invertIfNegative val="0"/>
          <c:cat>
            <c:strRef>
              <c:f>'Table 12'!$A$6:$A$46</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Penin'a</c:v>
                </c:pt>
                <c:pt idx="35">
                  <c:v>Western Subregion</c:v>
                </c:pt>
                <c:pt idx="36">
                  <c:v>Brimbank</c:v>
                </c:pt>
                <c:pt idx="37">
                  <c:v>Hobsons Bay</c:v>
                </c:pt>
                <c:pt idx="38">
                  <c:v>Melton</c:v>
                </c:pt>
                <c:pt idx="39">
                  <c:v>Moonee Valley</c:v>
                </c:pt>
                <c:pt idx="40">
                  <c:v>Wyndham</c:v>
                </c:pt>
              </c:strCache>
            </c:strRef>
          </c:cat>
          <c:val>
            <c:numRef>
              <c:f>'Table 12'!$F$6:$F$46</c:f>
              <c:numCache>
                <c:formatCode>"$"#,##0_);[Red]\("$"#,##0\)</c:formatCode>
                <c:ptCount val="41"/>
                <c:pt idx="1">
                  <c:v>443</c:v>
                </c:pt>
                <c:pt idx="2">
                  <c:v>665</c:v>
                </c:pt>
                <c:pt idx="3">
                  <c:v>835</c:v>
                </c:pt>
                <c:pt idx="4">
                  <c:v>770</c:v>
                </c:pt>
                <c:pt idx="5">
                  <c:v>700</c:v>
                </c:pt>
                <c:pt idx="8">
                  <c:v>625</c:v>
                </c:pt>
                <c:pt idx="9">
                  <c:v>390</c:v>
                </c:pt>
                <c:pt idx="10">
                  <c:v>450</c:v>
                </c:pt>
                <c:pt idx="11">
                  <c:v>395</c:v>
                </c:pt>
                <c:pt idx="12">
                  <c:v>440</c:v>
                </c:pt>
                <c:pt idx="13">
                  <c:v>434</c:v>
                </c:pt>
                <c:pt idx="14">
                  <c:v>370</c:v>
                </c:pt>
                <c:pt idx="17">
                  <c:v>400</c:v>
                </c:pt>
                <c:pt idx="18">
                  <c:v>450</c:v>
                </c:pt>
                <c:pt idx="19">
                  <c:v>340</c:v>
                </c:pt>
                <c:pt idx="20">
                  <c:v>290</c:v>
                </c:pt>
                <c:pt idx="21">
                  <c:v>450</c:v>
                </c:pt>
                <c:pt idx="22">
                  <c:v>380</c:v>
                </c:pt>
                <c:pt idx="23">
                  <c:v>350</c:v>
                </c:pt>
                <c:pt idx="26">
                  <c:v>690</c:v>
                </c:pt>
                <c:pt idx="27">
                  <c:v>330</c:v>
                </c:pt>
                <c:pt idx="28">
                  <c:v>350</c:v>
                </c:pt>
                <c:pt idx="29">
                  <c:v>350</c:v>
                </c:pt>
                <c:pt idx="30">
                  <c:v>550</c:v>
                </c:pt>
                <c:pt idx="31">
                  <c:v>350</c:v>
                </c:pt>
                <c:pt idx="32">
                  <c:v>450</c:v>
                </c:pt>
                <c:pt idx="33">
                  <c:v>360</c:v>
                </c:pt>
                <c:pt idx="36">
                  <c:v>330</c:v>
                </c:pt>
                <c:pt idx="37">
                  <c:v>410</c:v>
                </c:pt>
                <c:pt idx="38">
                  <c:v>320</c:v>
                </c:pt>
                <c:pt idx="39">
                  <c:v>460</c:v>
                </c:pt>
                <c:pt idx="40">
                  <c:v>325</c:v>
                </c:pt>
              </c:numCache>
            </c:numRef>
          </c:val>
        </c:ser>
        <c:ser>
          <c:idx val="2"/>
          <c:order val="2"/>
          <c:tx>
            <c:strRef>
              <c:f>'Table 12'!$G$5</c:f>
              <c:strCache>
                <c:ptCount val="1"/>
                <c:pt idx="0">
                  <c:v>4 Bed House</c:v>
                </c:pt>
              </c:strCache>
            </c:strRef>
          </c:tx>
          <c:spPr>
            <a:solidFill>
              <a:schemeClr val="accent3"/>
            </a:solidFill>
            <a:ln>
              <a:noFill/>
            </a:ln>
            <a:effectLst/>
          </c:spPr>
          <c:invertIfNegative val="0"/>
          <c:cat>
            <c:strRef>
              <c:f>'Table 12'!$A$6:$A$46</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Penin'a</c:v>
                </c:pt>
                <c:pt idx="35">
                  <c:v>Western Subregion</c:v>
                </c:pt>
                <c:pt idx="36">
                  <c:v>Brimbank</c:v>
                </c:pt>
                <c:pt idx="37">
                  <c:v>Hobsons Bay</c:v>
                </c:pt>
                <c:pt idx="38">
                  <c:v>Melton</c:v>
                </c:pt>
                <c:pt idx="39">
                  <c:v>Moonee Valley</c:v>
                </c:pt>
                <c:pt idx="40">
                  <c:v>Wyndham</c:v>
                </c:pt>
              </c:strCache>
            </c:strRef>
          </c:cat>
          <c:val>
            <c:numRef>
              <c:f>'Table 12'!$G$6:$G$46</c:f>
              <c:numCache>
                <c:formatCode>"$"#,##0_);[Red]\("$"#,##0\)</c:formatCode>
                <c:ptCount val="41"/>
                <c:pt idx="1">
                  <c:v>520</c:v>
                </c:pt>
                <c:pt idx="2">
                  <c:v>820</c:v>
                </c:pt>
                <c:pt idx="3">
                  <c:v>1100</c:v>
                </c:pt>
                <c:pt idx="4">
                  <c:v>1200</c:v>
                </c:pt>
                <c:pt idx="5">
                  <c:v>923</c:v>
                </c:pt>
                <c:pt idx="8">
                  <c:v>850</c:v>
                </c:pt>
                <c:pt idx="9">
                  <c:v>460</c:v>
                </c:pt>
                <c:pt idx="10">
                  <c:v>523</c:v>
                </c:pt>
                <c:pt idx="11">
                  <c:v>480</c:v>
                </c:pt>
                <c:pt idx="12">
                  <c:v>525</c:v>
                </c:pt>
                <c:pt idx="13">
                  <c:v>550</c:v>
                </c:pt>
                <c:pt idx="14">
                  <c:v>450</c:v>
                </c:pt>
                <c:pt idx="17">
                  <c:v>500</c:v>
                </c:pt>
                <c:pt idx="18">
                  <c:v>500</c:v>
                </c:pt>
                <c:pt idx="19">
                  <c:v>380</c:v>
                </c:pt>
                <c:pt idx="20">
                  <c:v>343</c:v>
                </c:pt>
                <c:pt idx="21">
                  <c:v>555</c:v>
                </c:pt>
                <c:pt idx="22">
                  <c:v>380</c:v>
                </c:pt>
                <c:pt idx="23">
                  <c:v>390</c:v>
                </c:pt>
                <c:pt idx="26">
                  <c:v>1100</c:v>
                </c:pt>
                <c:pt idx="27">
                  <c:v>380</c:v>
                </c:pt>
                <c:pt idx="28">
                  <c:v>400</c:v>
                </c:pt>
                <c:pt idx="29">
                  <c:v>420</c:v>
                </c:pt>
                <c:pt idx="30">
                  <c:v>700</c:v>
                </c:pt>
                <c:pt idx="31">
                  <c:v>420</c:v>
                </c:pt>
                <c:pt idx="32">
                  <c:v>555</c:v>
                </c:pt>
                <c:pt idx="33">
                  <c:v>490</c:v>
                </c:pt>
                <c:pt idx="36">
                  <c:v>390</c:v>
                </c:pt>
                <c:pt idx="37">
                  <c:v>520</c:v>
                </c:pt>
                <c:pt idx="38">
                  <c:v>360</c:v>
                </c:pt>
                <c:pt idx="39">
                  <c:v>550</c:v>
                </c:pt>
                <c:pt idx="40">
                  <c:v>380</c:v>
                </c:pt>
              </c:numCache>
            </c:numRef>
          </c:val>
        </c:ser>
        <c:dLbls>
          <c:showLegendKey val="0"/>
          <c:showVal val="0"/>
          <c:showCatName val="0"/>
          <c:showSerName val="0"/>
          <c:showPercent val="0"/>
          <c:showBubbleSize val="0"/>
        </c:dLbls>
        <c:gapWidth val="182"/>
        <c:axId val="500246752"/>
        <c:axId val="500247312"/>
      </c:barChart>
      <c:catAx>
        <c:axId val="500246752"/>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0247312"/>
        <c:crosses val="autoZero"/>
        <c:auto val="1"/>
        <c:lblAlgn val="ctr"/>
        <c:lblOffset val="100"/>
        <c:noMultiLvlLbl val="0"/>
      </c:catAx>
      <c:valAx>
        <c:axId val="500247312"/>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0246752"/>
        <c:crosses val="autoZero"/>
        <c:crossBetween val="between"/>
      </c:valAx>
      <c:spPr>
        <a:noFill/>
        <a:ln>
          <a:noFill/>
        </a:ln>
        <a:effectLst/>
      </c:spPr>
    </c:plotArea>
    <c:legend>
      <c:legendPos val="b"/>
      <c:layout>
        <c:manualLayout>
          <c:xMode val="edge"/>
          <c:yMode val="edge"/>
          <c:x val="0.73657035102049828"/>
          <c:y val="0"/>
          <c:w val="0.20322523772579959"/>
          <c:h val="9.1299971432142413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400" b="0" i="0" baseline="0">
                <a:effectLst/>
              </a:rPr>
              <a:t>Median Weekly Rents by LGA - March 2016</a:t>
            </a:r>
            <a:endParaRPr lang="en-AU" sz="1400">
              <a:effectLst/>
            </a:endParaRPr>
          </a:p>
          <a:p>
            <a:pPr algn="l">
              <a:defRPr/>
            </a:pPr>
            <a:r>
              <a:rPr lang="en-AU" sz="1400" b="0" i="0" baseline="0">
                <a:effectLst/>
              </a:rPr>
              <a:t>Regional Victoria</a:t>
            </a:r>
            <a:endParaRPr lang="en-AU" sz="1400">
              <a:effectLst/>
            </a:endParaRPr>
          </a:p>
          <a:p>
            <a:pPr algn="l">
              <a:defRPr/>
            </a:pPr>
            <a:r>
              <a:rPr lang="en-AU" sz="800" b="0" i="0" baseline="0">
                <a:effectLst/>
              </a:rPr>
              <a:t>Source: DHHS Quarterly Rental Report</a:t>
            </a:r>
            <a:endParaRPr lang="en-AU" sz="800">
              <a:effectLst/>
            </a:endParaRPr>
          </a:p>
        </c:rich>
      </c:tx>
      <c:layout>
        <c:manualLayout>
          <c:xMode val="edge"/>
          <c:yMode val="edge"/>
          <c:x val="8.1684040137587838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3893957443511446"/>
          <c:y val="0.11150915586755432"/>
          <c:w val="0.72064322218025334"/>
          <c:h val="0.87215548117316943"/>
        </c:manualLayout>
      </c:layout>
      <c:barChart>
        <c:barDir val="bar"/>
        <c:grouping val="clustered"/>
        <c:varyColors val="0"/>
        <c:ser>
          <c:idx val="0"/>
          <c:order val="0"/>
          <c:tx>
            <c:strRef>
              <c:f>'Table 12'!$E$5</c:f>
              <c:strCache>
                <c:ptCount val="1"/>
                <c:pt idx="0">
                  <c:v>2 Bed House</c:v>
                </c:pt>
              </c:strCache>
            </c:strRef>
          </c:tx>
          <c:spPr>
            <a:solidFill>
              <a:schemeClr val="accent1"/>
            </a:solidFill>
            <a:ln>
              <a:noFill/>
            </a:ln>
            <a:effectLst/>
          </c:spPr>
          <c:invertIfNegative val="0"/>
          <c:cat>
            <c:strRef>
              <c:f>'Table 12'!$A$48:$A$99</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'Table 12'!$E$48:$E$99</c:f>
              <c:numCache>
                <c:formatCode>"$"#,##0_);[Red]\("$"#,##0\)</c:formatCode>
                <c:ptCount val="52"/>
                <c:pt idx="1">
                  <c:v>250</c:v>
                </c:pt>
                <c:pt idx="2">
                  <c:v>250</c:v>
                </c:pt>
                <c:pt idx="3">
                  <c:v>290</c:v>
                </c:pt>
                <c:pt idx="4">
                  <c:v>220</c:v>
                </c:pt>
                <c:pt idx="5">
                  <c:v>200</c:v>
                </c:pt>
                <c:pt idx="6">
                  <c:v>208</c:v>
                </c:pt>
                <c:pt idx="7">
                  <c:v>230</c:v>
                </c:pt>
                <c:pt idx="8">
                  <c:v>258</c:v>
                </c:pt>
                <c:pt idx="9">
                  <c:v>275</c:v>
                </c:pt>
                <c:pt idx="10">
                  <c:v>270</c:v>
                </c:pt>
                <c:pt idx="13">
                  <c:v>230</c:v>
                </c:pt>
                <c:pt idx="14">
                  <c:v>250</c:v>
                </c:pt>
                <c:pt idx="15">
                  <c:v>0</c:v>
                </c:pt>
                <c:pt idx="16">
                  <c:v>320</c:v>
                </c:pt>
                <c:pt idx="17">
                  <c:v>240</c:v>
                </c:pt>
                <c:pt idx="18">
                  <c:v>220</c:v>
                </c:pt>
                <c:pt idx="19">
                  <c:v>0</c:v>
                </c:pt>
                <c:pt idx="20">
                  <c:v>210</c:v>
                </c:pt>
                <c:pt idx="21">
                  <c:v>345</c:v>
                </c:pt>
                <c:pt idx="24">
                  <c:v>238</c:v>
                </c:pt>
                <c:pt idx="25">
                  <c:v>0</c:v>
                </c:pt>
                <c:pt idx="26">
                  <c:v>225</c:v>
                </c:pt>
                <c:pt idx="27">
                  <c:v>0</c:v>
                </c:pt>
                <c:pt idx="28">
                  <c:v>270</c:v>
                </c:pt>
                <c:pt idx="29">
                  <c:v>185</c:v>
                </c:pt>
                <c:pt idx="30">
                  <c:v>270</c:v>
                </c:pt>
                <c:pt idx="31">
                  <c:v>240</c:v>
                </c:pt>
                <c:pt idx="32">
                  <c:v>230</c:v>
                </c:pt>
                <c:pt idx="33">
                  <c:v>180</c:v>
                </c:pt>
                <c:pt idx="34">
                  <c:v>213</c:v>
                </c:pt>
                <c:pt idx="35">
                  <c:v>310</c:v>
                </c:pt>
                <c:pt idx="36">
                  <c:v>0</c:v>
                </c:pt>
                <c:pt idx="37">
                  <c:v>270</c:v>
                </c:pt>
                <c:pt idx="38">
                  <c:v>0</c:v>
                </c:pt>
                <c:pt idx="39">
                  <c:v>0</c:v>
                </c:pt>
                <c:pt idx="40">
                  <c:v>210</c:v>
                </c:pt>
                <c:pt idx="41">
                  <c:v>280</c:v>
                </c:pt>
                <c:pt idx="42">
                  <c:v>255</c:v>
                </c:pt>
                <c:pt idx="43">
                  <c:v>200</c:v>
                </c:pt>
                <c:pt idx="44">
                  <c:v>0</c:v>
                </c:pt>
                <c:pt idx="45">
                  <c:v>210</c:v>
                </c:pt>
                <c:pt idx="46">
                  <c:v>228</c:v>
                </c:pt>
                <c:pt idx="47">
                  <c:v>225</c:v>
                </c:pt>
                <c:pt idx="48">
                  <c:v>0</c:v>
                </c:pt>
                <c:pt idx="49">
                  <c:v>223</c:v>
                </c:pt>
                <c:pt idx="50">
                  <c:v>0</c:v>
                </c:pt>
                <c:pt idx="51">
                  <c:v>150</c:v>
                </c:pt>
              </c:numCache>
            </c:numRef>
          </c:val>
        </c:ser>
        <c:ser>
          <c:idx val="1"/>
          <c:order val="1"/>
          <c:tx>
            <c:strRef>
              <c:f>'Table 12'!$F$5</c:f>
              <c:strCache>
                <c:ptCount val="1"/>
                <c:pt idx="0">
                  <c:v>3 Bed House</c:v>
                </c:pt>
              </c:strCache>
            </c:strRef>
          </c:tx>
          <c:spPr>
            <a:solidFill>
              <a:schemeClr val="accent2"/>
            </a:solidFill>
            <a:ln>
              <a:noFill/>
            </a:ln>
            <a:effectLst/>
          </c:spPr>
          <c:invertIfNegative val="0"/>
          <c:cat>
            <c:strRef>
              <c:f>'Table 12'!$A$48:$A$99</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'Table 12'!$F$48:$F$99</c:f>
              <c:numCache>
                <c:formatCode>"$"#,##0_);[Red]\("$"#,##0\)</c:formatCode>
                <c:ptCount val="52"/>
                <c:pt idx="1">
                  <c:v>280</c:v>
                </c:pt>
                <c:pt idx="2">
                  <c:v>290</c:v>
                </c:pt>
                <c:pt idx="3">
                  <c:v>340</c:v>
                </c:pt>
                <c:pt idx="4">
                  <c:v>275</c:v>
                </c:pt>
                <c:pt idx="5">
                  <c:v>250</c:v>
                </c:pt>
                <c:pt idx="6">
                  <c:v>253</c:v>
                </c:pt>
                <c:pt idx="7">
                  <c:v>285</c:v>
                </c:pt>
                <c:pt idx="8">
                  <c:v>280</c:v>
                </c:pt>
                <c:pt idx="9">
                  <c:v>320</c:v>
                </c:pt>
                <c:pt idx="10">
                  <c:v>300</c:v>
                </c:pt>
                <c:pt idx="13">
                  <c:v>275</c:v>
                </c:pt>
                <c:pt idx="14">
                  <c:v>300</c:v>
                </c:pt>
                <c:pt idx="15">
                  <c:v>350</c:v>
                </c:pt>
                <c:pt idx="16">
                  <c:v>360</c:v>
                </c:pt>
                <c:pt idx="17">
                  <c:v>300</c:v>
                </c:pt>
                <c:pt idx="18">
                  <c:v>280</c:v>
                </c:pt>
                <c:pt idx="19">
                  <c:v>350</c:v>
                </c:pt>
                <c:pt idx="20">
                  <c:v>260</c:v>
                </c:pt>
                <c:pt idx="21">
                  <c:v>410</c:v>
                </c:pt>
                <c:pt idx="24">
                  <c:v>293</c:v>
                </c:pt>
                <c:pt idx="25">
                  <c:v>245</c:v>
                </c:pt>
                <c:pt idx="26">
                  <c:v>250</c:v>
                </c:pt>
                <c:pt idx="27">
                  <c:v>200</c:v>
                </c:pt>
                <c:pt idx="28">
                  <c:v>285</c:v>
                </c:pt>
                <c:pt idx="29">
                  <c:v>250</c:v>
                </c:pt>
                <c:pt idx="30">
                  <c:v>280</c:v>
                </c:pt>
                <c:pt idx="31">
                  <c:v>250</c:v>
                </c:pt>
                <c:pt idx="32">
                  <c:v>280</c:v>
                </c:pt>
                <c:pt idx="33">
                  <c:v>190</c:v>
                </c:pt>
                <c:pt idx="34">
                  <c:v>240</c:v>
                </c:pt>
                <c:pt idx="35">
                  <c:v>350</c:v>
                </c:pt>
                <c:pt idx="36">
                  <c:v>185</c:v>
                </c:pt>
                <c:pt idx="37">
                  <c:v>300</c:v>
                </c:pt>
                <c:pt idx="38">
                  <c:v>200</c:v>
                </c:pt>
                <c:pt idx="39">
                  <c:v>300</c:v>
                </c:pt>
                <c:pt idx="40">
                  <c:v>275</c:v>
                </c:pt>
                <c:pt idx="41">
                  <c:v>320</c:v>
                </c:pt>
                <c:pt idx="42">
                  <c:v>300</c:v>
                </c:pt>
                <c:pt idx="43">
                  <c:v>205</c:v>
                </c:pt>
                <c:pt idx="44">
                  <c:v>228</c:v>
                </c:pt>
                <c:pt idx="45">
                  <c:v>240</c:v>
                </c:pt>
                <c:pt idx="46">
                  <c:v>273</c:v>
                </c:pt>
                <c:pt idx="47">
                  <c:v>265</c:v>
                </c:pt>
                <c:pt idx="48">
                  <c:v>235</c:v>
                </c:pt>
                <c:pt idx="49">
                  <c:v>280</c:v>
                </c:pt>
                <c:pt idx="50">
                  <c:v>0</c:v>
                </c:pt>
                <c:pt idx="51">
                  <c:v>180</c:v>
                </c:pt>
              </c:numCache>
            </c:numRef>
          </c:val>
        </c:ser>
        <c:ser>
          <c:idx val="2"/>
          <c:order val="2"/>
          <c:tx>
            <c:strRef>
              <c:f>'Table 12'!$G$5</c:f>
              <c:strCache>
                <c:ptCount val="1"/>
                <c:pt idx="0">
                  <c:v>4 Bed House</c:v>
                </c:pt>
              </c:strCache>
            </c:strRef>
          </c:tx>
          <c:spPr>
            <a:solidFill>
              <a:schemeClr val="accent3"/>
            </a:solidFill>
            <a:ln>
              <a:noFill/>
            </a:ln>
            <a:effectLst/>
          </c:spPr>
          <c:invertIfNegative val="0"/>
          <c:cat>
            <c:strRef>
              <c:f>'Table 12'!$A$48:$A$99</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'Table 12'!$G$48:$G$99</c:f>
              <c:numCache>
                <c:formatCode>"$"#,##0_);[Red]\("$"#,##0\)</c:formatCode>
                <c:ptCount val="52"/>
                <c:pt idx="1">
                  <c:v>350</c:v>
                </c:pt>
                <c:pt idx="2">
                  <c:v>330</c:v>
                </c:pt>
                <c:pt idx="3">
                  <c:v>400</c:v>
                </c:pt>
                <c:pt idx="4">
                  <c:v>350</c:v>
                </c:pt>
                <c:pt idx="5">
                  <c:v>340</c:v>
                </c:pt>
                <c:pt idx="6">
                  <c:v>350</c:v>
                </c:pt>
                <c:pt idx="7">
                  <c:v>330</c:v>
                </c:pt>
                <c:pt idx="8">
                  <c:v>330</c:v>
                </c:pt>
                <c:pt idx="9">
                  <c:v>390</c:v>
                </c:pt>
                <c:pt idx="10">
                  <c:v>380</c:v>
                </c:pt>
                <c:pt idx="13">
                  <c:v>350</c:v>
                </c:pt>
                <c:pt idx="14">
                  <c:v>360</c:v>
                </c:pt>
                <c:pt idx="15">
                  <c:v>395</c:v>
                </c:pt>
                <c:pt idx="16">
                  <c:v>440</c:v>
                </c:pt>
                <c:pt idx="17">
                  <c:v>350</c:v>
                </c:pt>
                <c:pt idx="18">
                  <c:v>315</c:v>
                </c:pt>
                <c:pt idx="19">
                  <c:v>0</c:v>
                </c:pt>
                <c:pt idx="20">
                  <c:v>295</c:v>
                </c:pt>
                <c:pt idx="21">
                  <c:v>465</c:v>
                </c:pt>
                <c:pt idx="24">
                  <c:v>325</c:v>
                </c:pt>
                <c:pt idx="25">
                  <c:v>310</c:v>
                </c:pt>
                <c:pt idx="26">
                  <c:v>300</c:v>
                </c:pt>
                <c:pt idx="27">
                  <c:v>0</c:v>
                </c:pt>
                <c:pt idx="28">
                  <c:v>380</c:v>
                </c:pt>
                <c:pt idx="29">
                  <c:v>278</c:v>
                </c:pt>
                <c:pt idx="30">
                  <c:v>345</c:v>
                </c:pt>
                <c:pt idx="31">
                  <c:v>330</c:v>
                </c:pt>
                <c:pt idx="32">
                  <c:v>340</c:v>
                </c:pt>
                <c:pt idx="33">
                  <c:v>0</c:v>
                </c:pt>
                <c:pt idx="34">
                  <c:v>300</c:v>
                </c:pt>
                <c:pt idx="35">
                  <c:v>0</c:v>
                </c:pt>
                <c:pt idx="36">
                  <c:v>0</c:v>
                </c:pt>
                <c:pt idx="37">
                  <c:v>340</c:v>
                </c:pt>
                <c:pt idx="38">
                  <c:v>0</c:v>
                </c:pt>
                <c:pt idx="39">
                  <c:v>360</c:v>
                </c:pt>
                <c:pt idx="40">
                  <c:v>375</c:v>
                </c:pt>
                <c:pt idx="41">
                  <c:v>370</c:v>
                </c:pt>
                <c:pt idx="42">
                  <c:v>350</c:v>
                </c:pt>
                <c:pt idx="43">
                  <c:v>310</c:v>
                </c:pt>
                <c:pt idx="44">
                  <c:v>0</c:v>
                </c:pt>
                <c:pt idx="45">
                  <c:v>300</c:v>
                </c:pt>
                <c:pt idx="46">
                  <c:v>300</c:v>
                </c:pt>
                <c:pt idx="47">
                  <c:v>300</c:v>
                </c:pt>
                <c:pt idx="48">
                  <c:v>0</c:v>
                </c:pt>
                <c:pt idx="49">
                  <c:v>370</c:v>
                </c:pt>
                <c:pt idx="50">
                  <c:v>0</c:v>
                </c:pt>
                <c:pt idx="51">
                  <c:v>0</c:v>
                </c:pt>
              </c:numCache>
            </c:numRef>
          </c:val>
        </c:ser>
        <c:dLbls>
          <c:showLegendKey val="0"/>
          <c:showVal val="0"/>
          <c:showCatName val="0"/>
          <c:showSerName val="0"/>
          <c:showPercent val="0"/>
          <c:showBubbleSize val="0"/>
        </c:dLbls>
        <c:gapWidth val="182"/>
        <c:axId val="505643616"/>
        <c:axId val="505644176"/>
      </c:barChart>
      <c:catAx>
        <c:axId val="505643616"/>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644176"/>
        <c:crosses val="autoZero"/>
        <c:auto val="1"/>
        <c:lblAlgn val="ctr"/>
        <c:lblOffset val="100"/>
        <c:noMultiLvlLbl val="0"/>
      </c:catAx>
      <c:valAx>
        <c:axId val="505644176"/>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643616"/>
        <c:crosses val="autoZero"/>
        <c:crossBetween val="between"/>
      </c:valAx>
      <c:spPr>
        <a:noFill/>
        <a:ln>
          <a:noFill/>
        </a:ln>
        <a:effectLst/>
      </c:spPr>
    </c:plotArea>
    <c:legend>
      <c:legendPos val="b"/>
      <c:layout>
        <c:manualLayout>
          <c:xMode val="edge"/>
          <c:yMode val="edge"/>
          <c:x val="0.73657035102049828"/>
          <c:y val="0"/>
          <c:w val="0.20322523772579959"/>
          <c:h val="7.638912599884609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Median</a:t>
            </a:r>
            <a:r>
              <a:rPr lang="en-AU" baseline="0"/>
              <a:t> Weekly Rents by LGA - March 2016</a:t>
            </a:r>
          </a:p>
          <a:p>
            <a:pPr algn="l">
              <a:defRPr/>
            </a:pPr>
            <a:r>
              <a:rPr lang="en-AU" baseline="0"/>
              <a:t>Metropolitan Melbourne</a:t>
            </a:r>
          </a:p>
          <a:p>
            <a:pPr algn="l">
              <a:defRPr/>
            </a:pPr>
            <a:r>
              <a:rPr lang="en-AU" sz="800" baseline="0"/>
              <a:t>Source: DHHS Quarterly Rental Report</a:t>
            </a:r>
            <a:endParaRPr lang="en-AU" sz="800"/>
          </a:p>
        </c:rich>
      </c:tx>
      <c:layout>
        <c:manualLayout>
          <c:xMode val="edge"/>
          <c:yMode val="edge"/>
          <c:x val="8.1684040137587838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3850339535035986"/>
          <c:y val="0.11576371551117089"/>
          <c:w val="0.71607026010706876"/>
          <c:h val="0.86790100932505376"/>
        </c:manualLayout>
      </c:layout>
      <c:barChart>
        <c:barDir val="bar"/>
        <c:grouping val="clustered"/>
        <c:varyColors val="0"/>
        <c:ser>
          <c:idx val="0"/>
          <c:order val="0"/>
          <c:tx>
            <c:strRef>
              <c:f>'Table 12'!$B$5</c:f>
              <c:strCache>
                <c:ptCount val="1"/>
                <c:pt idx="0">
                  <c:v>1 Bed Flat</c:v>
                </c:pt>
              </c:strCache>
            </c:strRef>
          </c:tx>
          <c:spPr>
            <a:solidFill>
              <a:schemeClr val="accent6"/>
            </a:solidFill>
            <a:ln>
              <a:noFill/>
            </a:ln>
            <a:effectLst/>
          </c:spPr>
          <c:invertIfNegative val="0"/>
          <c:cat>
            <c:strRef>
              <c:f>'Table 12'!$A$6:$A$46</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Penin'a</c:v>
                </c:pt>
                <c:pt idx="35">
                  <c:v>Western Subregion</c:v>
                </c:pt>
                <c:pt idx="36">
                  <c:v>Brimbank</c:v>
                </c:pt>
                <c:pt idx="37">
                  <c:v>Hobsons Bay</c:v>
                </c:pt>
                <c:pt idx="38">
                  <c:v>Melton</c:v>
                </c:pt>
                <c:pt idx="39">
                  <c:v>Moonee Valley</c:v>
                </c:pt>
                <c:pt idx="40">
                  <c:v>Wyndham</c:v>
                </c:pt>
              </c:strCache>
            </c:strRef>
          </c:cat>
          <c:val>
            <c:numRef>
              <c:f>'Table 12'!$B$6:$B$46</c:f>
              <c:numCache>
                <c:formatCode>"$"#,##0_);[Red]\("$"#,##0\)</c:formatCode>
                <c:ptCount val="41"/>
                <c:pt idx="1">
                  <c:v>240</c:v>
                </c:pt>
                <c:pt idx="2">
                  <c:v>355</c:v>
                </c:pt>
                <c:pt idx="3">
                  <c:v>350</c:v>
                </c:pt>
                <c:pt idx="4">
                  <c:v>320</c:v>
                </c:pt>
                <c:pt idx="5">
                  <c:v>365</c:v>
                </c:pt>
                <c:pt idx="8">
                  <c:v>280</c:v>
                </c:pt>
                <c:pt idx="9">
                  <c:v>300</c:v>
                </c:pt>
                <c:pt idx="10">
                  <c:v>350</c:v>
                </c:pt>
                <c:pt idx="11">
                  <c:v>280</c:v>
                </c:pt>
                <c:pt idx="12">
                  <c:v>260</c:v>
                </c:pt>
                <c:pt idx="13">
                  <c:v>230</c:v>
                </c:pt>
                <c:pt idx="14">
                  <c:v>240</c:v>
                </c:pt>
                <c:pt idx="17">
                  <c:v>273</c:v>
                </c:pt>
                <c:pt idx="18">
                  <c:v>280</c:v>
                </c:pt>
                <c:pt idx="19">
                  <c:v>230</c:v>
                </c:pt>
                <c:pt idx="20">
                  <c:v>178</c:v>
                </c:pt>
                <c:pt idx="21">
                  <c:v>300</c:v>
                </c:pt>
                <c:pt idx="22">
                  <c:v>0</c:v>
                </c:pt>
                <c:pt idx="23">
                  <c:v>275</c:v>
                </c:pt>
                <c:pt idx="26">
                  <c:v>350</c:v>
                </c:pt>
                <c:pt idx="27">
                  <c:v>0</c:v>
                </c:pt>
                <c:pt idx="28">
                  <c:v>232</c:v>
                </c:pt>
                <c:pt idx="29">
                  <c:v>210</c:v>
                </c:pt>
                <c:pt idx="30">
                  <c:v>280</c:v>
                </c:pt>
                <c:pt idx="31">
                  <c:v>220</c:v>
                </c:pt>
                <c:pt idx="32">
                  <c:v>293</c:v>
                </c:pt>
                <c:pt idx="33">
                  <c:v>220</c:v>
                </c:pt>
                <c:pt idx="36">
                  <c:v>210</c:v>
                </c:pt>
                <c:pt idx="37">
                  <c:v>263</c:v>
                </c:pt>
                <c:pt idx="38">
                  <c:v>314</c:v>
                </c:pt>
                <c:pt idx="39">
                  <c:v>290</c:v>
                </c:pt>
                <c:pt idx="40">
                  <c:v>255</c:v>
                </c:pt>
              </c:numCache>
            </c:numRef>
          </c:val>
        </c:ser>
        <c:ser>
          <c:idx val="1"/>
          <c:order val="1"/>
          <c:tx>
            <c:strRef>
              <c:f>'Table 12'!$C$5</c:f>
              <c:strCache>
                <c:ptCount val="1"/>
                <c:pt idx="0">
                  <c:v>2 Bed Flat</c:v>
                </c:pt>
              </c:strCache>
            </c:strRef>
          </c:tx>
          <c:spPr>
            <a:solidFill>
              <a:schemeClr val="accent5"/>
            </a:solidFill>
            <a:ln>
              <a:noFill/>
            </a:ln>
            <a:effectLst/>
          </c:spPr>
          <c:invertIfNegative val="0"/>
          <c:cat>
            <c:strRef>
              <c:f>'Table 12'!$A$6:$A$46</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Penin'a</c:v>
                </c:pt>
                <c:pt idx="35">
                  <c:v>Western Subregion</c:v>
                </c:pt>
                <c:pt idx="36">
                  <c:v>Brimbank</c:v>
                </c:pt>
                <c:pt idx="37">
                  <c:v>Hobsons Bay</c:v>
                </c:pt>
                <c:pt idx="38">
                  <c:v>Melton</c:v>
                </c:pt>
                <c:pt idx="39">
                  <c:v>Moonee Valley</c:v>
                </c:pt>
                <c:pt idx="40">
                  <c:v>Wyndham</c:v>
                </c:pt>
              </c:strCache>
            </c:strRef>
          </c:cat>
          <c:val>
            <c:numRef>
              <c:f>'Table 12'!$C$6:$C$46</c:f>
              <c:numCache>
                <c:formatCode>"$"#,##0_);[Red]\("$"#,##0\)</c:formatCode>
                <c:ptCount val="41"/>
                <c:pt idx="1">
                  <c:v>350</c:v>
                </c:pt>
                <c:pt idx="2">
                  <c:v>530</c:v>
                </c:pt>
                <c:pt idx="3">
                  <c:v>475</c:v>
                </c:pt>
                <c:pt idx="4">
                  <c:v>460</c:v>
                </c:pt>
                <c:pt idx="5">
                  <c:v>500</c:v>
                </c:pt>
                <c:pt idx="8">
                  <c:v>420</c:v>
                </c:pt>
                <c:pt idx="9">
                  <c:v>340</c:v>
                </c:pt>
                <c:pt idx="10">
                  <c:v>400</c:v>
                </c:pt>
                <c:pt idx="11">
                  <c:v>335</c:v>
                </c:pt>
                <c:pt idx="12">
                  <c:v>375</c:v>
                </c:pt>
                <c:pt idx="13">
                  <c:v>390</c:v>
                </c:pt>
                <c:pt idx="14">
                  <c:v>315</c:v>
                </c:pt>
                <c:pt idx="17">
                  <c:v>350</c:v>
                </c:pt>
                <c:pt idx="18">
                  <c:v>360</c:v>
                </c:pt>
                <c:pt idx="19">
                  <c:v>300</c:v>
                </c:pt>
                <c:pt idx="20">
                  <c:v>270</c:v>
                </c:pt>
                <c:pt idx="21">
                  <c:v>365</c:v>
                </c:pt>
                <c:pt idx="22">
                  <c:v>335</c:v>
                </c:pt>
                <c:pt idx="23">
                  <c:v>300</c:v>
                </c:pt>
                <c:pt idx="26">
                  <c:v>440</c:v>
                </c:pt>
                <c:pt idx="27">
                  <c:v>275</c:v>
                </c:pt>
                <c:pt idx="28">
                  <c:v>300</c:v>
                </c:pt>
                <c:pt idx="29">
                  <c:v>285</c:v>
                </c:pt>
                <c:pt idx="30">
                  <c:v>400</c:v>
                </c:pt>
                <c:pt idx="31">
                  <c:v>300</c:v>
                </c:pt>
                <c:pt idx="32">
                  <c:v>360</c:v>
                </c:pt>
                <c:pt idx="33">
                  <c:v>300</c:v>
                </c:pt>
                <c:pt idx="36">
                  <c:v>295</c:v>
                </c:pt>
                <c:pt idx="37">
                  <c:v>320</c:v>
                </c:pt>
                <c:pt idx="38">
                  <c:v>280</c:v>
                </c:pt>
                <c:pt idx="39">
                  <c:v>370</c:v>
                </c:pt>
                <c:pt idx="40">
                  <c:v>280</c:v>
                </c:pt>
              </c:numCache>
            </c:numRef>
          </c:val>
        </c:ser>
        <c:ser>
          <c:idx val="2"/>
          <c:order val="2"/>
          <c:tx>
            <c:strRef>
              <c:f>'Table 12'!$D$5</c:f>
              <c:strCache>
                <c:ptCount val="1"/>
                <c:pt idx="0">
                  <c:v>3 Bed Flat</c:v>
                </c:pt>
              </c:strCache>
            </c:strRef>
          </c:tx>
          <c:spPr>
            <a:solidFill>
              <a:schemeClr val="accent4"/>
            </a:solidFill>
            <a:ln>
              <a:noFill/>
            </a:ln>
            <a:effectLst/>
          </c:spPr>
          <c:invertIfNegative val="0"/>
          <c:cat>
            <c:strRef>
              <c:f>'Table 12'!$A$6:$A$46</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Penin'a</c:v>
                </c:pt>
                <c:pt idx="35">
                  <c:v>Western Subregion</c:v>
                </c:pt>
                <c:pt idx="36">
                  <c:v>Brimbank</c:v>
                </c:pt>
                <c:pt idx="37">
                  <c:v>Hobsons Bay</c:v>
                </c:pt>
                <c:pt idx="38">
                  <c:v>Melton</c:v>
                </c:pt>
                <c:pt idx="39">
                  <c:v>Moonee Valley</c:v>
                </c:pt>
                <c:pt idx="40">
                  <c:v>Wyndham</c:v>
                </c:pt>
              </c:strCache>
            </c:strRef>
          </c:cat>
          <c:val>
            <c:numRef>
              <c:f>'Table 12'!$D$6:$D$46</c:f>
              <c:numCache>
                <c:formatCode>"$"#,##0_);[Red]\("$"#,##0\)</c:formatCode>
                <c:ptCount val="41"/>
                <c:pt idx="1">
                  <c:v>430</c:v>
                </c:pt>
                <c:pt idx="2">
                  <c:v>750</c:v>
                </c:pt>
                <c:pt idx="3">
                  <c:v>720</c:v>
                </c:pt>
                <c:pt idx="4">
                  <c:v>650</c:v>
                </c:pt>
                <c:pt idx="5">
                  <c:v>735</c:v>
                </c:pt>
                <c:pt idx="8">
                  <c:v>540</c:v>
                </c:pt>
                <c:pt idx="9">
                  <c:v>380</c:v>
                </c:pt>
                <c:pt idx="10">
                  <c:v>480</c:v>
                </c:pt>
                <c:pt idx="11">
                  <c:v>400</c:v>
                </c:pt>
                <c:pt idx="12">
                  <c:v>470</c:v>
                </c:pt>
                <c:pt idx="13">
                  <c:v>468</c:v>
                </c:pt>
                <c:pt idx="14">
                  <c:v>390</c:v>
                </c:pt>
                <c:pt idx="17">
                  <c:v>420</c:v>
                </c:pt>
                <c:pt idx="18">
                  <c:v>440</c:v>
                </c:pt>
                <c:pt idx="19">
                  <c:v>330</c:v>
                </c:pt>
                <c:pt idx="20">
                  <c:v>293</c:v>
                </c:pt>
                <c:pt idx="21">
                  <c:v>420</c:v>
                </c:pt>
                <c:pt idx="22">
                  <c:v>350</c:v>
                </c:pt>
                <c:pt idx="23">
                  <c:v>340</c:v>
                </c:pt>
                <c:pt idx="26">
                  <c:v>600</c:v>
                </c:pt>
                <c:pt idx="27">
                  <c:v>300</c:v>
                </c:pt>
                <c:pt idx="28">
                  <c:v>340</c:v>
                </c:pt>
                <c:pt idx="29">
                  <c:v>350</c:v>
                </c:pt>
                <c:pt idx="30">
                  <c:v>550</c:v>
                </c:pt>
                <c:pt idx="31">
                  <c:v>360</c:v>
                </c:pt>
                <c:pt idx="32">
                  <c:v>450</c:v>
                </c:pt>
                <c:pt idx="33">
                  <c:v>365</c:v>
                </c:pt>
                <c:pt idx="36">
                  <c:v>340</c:v>
                </c:pt>
                <c:pt idx="37">
                  <c:v>410</c:v>
                </c:pt>
                <c:pt idx="38">
                  <c:v>320</c:v>
                </c:pt>
                <c:pt idx="39">
                  <c:v>460</c:v>
                </c:pt>
                <c:pt idx="40">
                  <c:v>310</c:v>
                </c:pt>
              </c:numCache>
            </c:numRef>
          </c:val>
        </c:ser>
        <c:dLbls>
          <c:showLegendKey val="0"/>
          <c:showVal val="0"/>
          <c:showCatName val="0"/>
          <c:showSerName val="0"/>
          <c:showPercent val="0"/>
          <c:showBubbleSize val="0"/>
        </c:dLbls>
        <c:gapWidth val="182"/>
        <c:axId val="505647536"/>
        <c:axId val="505648096"/>
      </c:barChart>
      <c:catAx>
        <c:axId val="505647536"/>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648096"/>
        <c:crosses val="autoZero"/>
        <c:auto val="1"/>
        <c:lblAlgn val="ctr"/>
        <c:lblOffset val="100"/>
        <c:noMultiLvlLbl val="0"/>
      </c:catAx>
      <c:valAx>
        <c:axId val="505648096"/>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647536"/>
        <c:crosses val="autoZero"/>
        <c:crossBetween val="between"/>
      </c:valAx>
      <c:spPr>
        <a:noFill/>
        <a:ln>
          <a:noFill/>
        </a:ln>
        <a:effectLst/>
      </c:spPr>
    </c:plotArea>
    <c:legend>
      <c:legendPos val="b"/>
      <c:layout>
        <c:manualLayout>
          <c:xMode val="edge"/>
          <c:yMode val="edge"/>
          <c:x val="0.73657035102049828"/>
          <c:y val="0"/>
          <c:w val="0.20322523772579959"/>
          <c:h val="7.830986065766169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400" b="0" i="0" baseline="0">
                <a:effectLst/>
              </a:rPr>
              <a:t>Median Weekly Rents by LGA - March 2016</a:t>
            </a:r>
            <a:endParaRPr lang="en-AU" sz="1400">
              <a:effectLst/>
            </a:endParaRPr>
          </a:p>
          <a:p>
            <a:pPr algn="l">
              <a:defRPr/>
            </a:pPr>
            <a:r>
              <a:rPr lang="en-AU" sz="1400" b="0" i="0" baseline="0">
                <a:effectLst/>
              </a:rPr>
              <a:t>Regional Victoria</a:t>
            </a:r>
            <a:endParaRPr lang="en-AU" sz="1400">
              <a:effectLst/>
            </a:endParaRPr>
          </a:p>
          <a:p>
            <a:pPr algn="l">
              <a:defRPr/>
            </a:pPr>
            <a:r>
              <a:rPr lang="en-AU" sz="800" b="0" i="0" baseline="0">
                <a:effectLst/>
              </a:rPr>
              <a:t>Source: DHHS Quarterly Rental Report</a:t>
            </a:r>
            <a:endParaRPr lang="en-AU" sz="600">
              <a:effectLst/>
            </a:endParaRPr>
          </a:p>
        </c:rich>
      </c:tx>
      <c:layout>
        <c:manualLayout>
          <c:xMode val="edge"/>
          <c:yMode val="edge"/>
          <c:x val="1.0152525519853245E-2"/>
          <c:y val="4.4426497642305589E-3"/>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7607174312006211"/>
          <c:y val="0.11150915586755432"/>
          <c:w val="0.68351102537332686"/>
          <c:h val="0.87215548117316943"/>
        </c:manualLayout>
      </c:layout>
      <c:barChart>
        <c:barDir val="bar"/>
        <c:grouping val="clustered"/>
        <c:varyColors val="0"/>
        <c:ser>
          <c:idx val="0"/>
          <c:order val="0"/>
          <c:tx>
            <c:strRef>
              <c:f>'Table 12'!$B$5</c:f>
              <c:strCache>
                <c:ptCount val="1"/>
                <c:pt idx="0">
                  <c:v>1 Bed Flat</c:v>
                </c:pt>
              </c:strCache>
            </c:strRef>
          </c:tx>
          <c:spPr>
            <a:solidFill>
              <a:schemeClr val="accent6"/>
            </a:solidFill>
            <a:ln>
              <a:noFill/>
            </a:ln>
            <a:effectLst/>
          </c:spPr>
          <c:invertIfNegative val="0"/>
          <c:cat>
            <c:strRef>
              <c:f>'Table 12'!$A$48:$A$99</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'Table 12'!$B$48:$B$99</c:f>
              <c:numCache>
                <c:formatCode>"$"#,##0_);[Red]\("$"#,##0\)</c:formatCode>
                <c:ptCount val="52"/>
                <c:pt idx="1">
                  <c:v>165</c:v>
                </c:pt>
                <c:pt idx="2">
                  <c:v>180</c:v>
                </c:pt>
                <c:pt idx="3">
                  <c:v>210</c:v>
                </c:pt>
                <c:pt idx="4">
                  <c:v>165</c:v>
                </c:pt>
                <c:pt idx="5">
                  <c:v>175</c:v>
                </c:pt>
                <c:pt idx="6">
                  <c:v>150</c:v>
                </c:pt>
                <c:pt idx="7">
                  <c:v>160</c:v>
                </c:pt>
                <c:pt idx="8">
                  <c:v>150</c:v>
                </c:pt>
                <c:pt idx="9">
                  <c:v>170</c:v>
                </c:pt>
                <c:pt idx="10">
                  <c:v>170</c:v>
                </c:pt>
                <c:pt idx="13">
                  <c:v>0</c:v>
                </c:pt>
                <c:pt idx="14">
                  <c:v>0</c:v>
                </c:pt>
                <c:pt idx="15">
                  <c:v>0</c:v>
                </c:pt>
                <c:pt idx="16">
                  <c:v>0</c:v>
                </c:pt>
                <c:pt idx="17">
                  <c:v>0</c:v>
                </c:pt>
                <c:pt idx="18">
                  <c:v>0</c:v>
                </c:pt>
                <c:pt idx="19">
                  <c:v>0</c:v>
                </c:pt>
                <c:pt idx="20">
                  <c:v>145</c:v>
                </c:pt>
                <c:pt idx="21">
                  <c:v>0</c:v>
                </c:pt>
                <c:pt idx="24">
                  <c:v>180</c:v>
                </c:pt>
                <c:pt idx="25">
                  <c:v>0</c:v>
                </c:pt>
                <c:pt idx="26">
                  <c:v>150</c:v>
                </c:pt>
                <c:pt idx="27">
                  <c:v>0</c:v>
                </c:pt>
                <c:pt idx="28">
                  <c:v>145</c:v>
                </c:pt>
                <c:pt idx="29">
                  <c:v>0</c:v>
                </c:pt>
                <c:pt idx="30">
                  <c:v>180</c:v>
                </c:pt>
                <c:pt idx="31">
                  <c:v>0</c:v>
                </c:pt>
                <c:pt idx="32">
                  <c:v>180</c:v>
                </c:pt>
                <c:pt idx="33">
                  <c:v>0</c:v>
                </c:pt>
                <c:pt idx="34">
                  <c:v>135</c:v>
                </c:pt>
                <c:pt idx="35">
                  <c:v>238</c:v>
                </c:pt>
                <c:pt idx="36">
                  <c:v>0</c:v>
                </c:pt>
                <c:pt idx="37">
                  <c:v>0</c:v>
                </c:pt>
                <c:pt idx="38">
                  <c:v>0</c:v>
                </c:pt>
                <c:pt idx="39">
                  <c:v>0</c:v>
                </c:pt>
                <c:pt idx="40">
                  <c:v>115</c:v>
                </c:pt>
                <c:pt idx="41">
                  <c:v>0</c:v>
                </c:pt>
                <c:pt idx="42">
                  <c:v>0</c:v>
                </c:pt>
                <c:pt idx="43">
                  <c:v>0</c:v>
                </c:pt>
                <c:pt idx="44">
                  <c:v>0</c:v>
                </c:pt>
                <c:pt idx="45">
                  <c:v>130</c:v>
                </c:pt>
                <c:pt idx="46">
                  <c:v>0</c:v>
                </c:pt>
                <c:pt idx="47">
                  <c:v>140</c:v>
                </c:pt>
                <c:pt idx="48">
                  <c:v>0</c:v>
                </c:pt>
                <c:pt idx="49">
                  <c:v>168</c:v>
                </c:pt>
                <c:pt idx="50">
                  <c:v>0</c:v>
                </c:pt>
                <c:pt idx="51">
                  <c:v>0</c:v>
                </c:pt>
              </c:numCache>
            </c:numRef>
          </c:val>
        </c:ser>
        <c:ser>
          <c:idx val="1"/>
          <c:order val="1"/>
          <c:tx>
            <c:strRef>
              <c:f>'Table 12'!$C$5</c:f>
              <c:strCache>
                <c:ptCount val="1"/>
                <c:pt idx="0">
                  <c:v>2 Bed Flat</c:v>
                </c:pt>
              </c:strCache>
            </c:strRef>
          </c:tx>
          <c:spPr>
            <a:solidFill>
              <a:schemeClr val="accent5"/>
            </a:solidFill>
            <a:ln>
              <a:noFill/>
            </a:ln>
            <a:effectLst/>
          </c:spPr>
          <c:invertIfNegative val="0"/>
          <c:cat>
            <c:strRef>
              <c:f>'Table 12'!$A$48:$A$99</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'Table 12'!$C$48:$C$99</c:f>
              <c:numCache>
                <c:formatCode>"$"#,##0_);[Red]\("$"#,##0\)</c:formatCode>
                <c:ptCount val="52"/>
                <c:pt idx="1">
                  <c:v>235</c:v>
                </c:pt>
                <c:pt idx="2">
                  <c:v>240</c:v>
                </c:pt>
                <c:pt idx="3">
                  <c:v>280</c:v>
                </c:pt>
                <c:pt idx="4">
                  <c:v>220</c:v>
                </c:pt>
                <c:pt idx="5">
                  <c:v>215</c:v>
                </c:pt>
                <c:pt idx="6">
                  <c:v>195</c:v>
                </c:pt>
                <c:pt idx="7">
                  <c:v>200</c:v>
                </c:pt>
                <c:pt idx="8">
                  <c:v>210</c:v>
                </c:pt>
                <c:pt idx="9">
                  <c:v>240</c:v>
                </c:pt>
                <c:pt idx="10">
                  <c:v>230</c:v>
                </c:pt>
                <c:pt idx="13">
                  <c:v>255</c:v>
                </c:pt>
                <c:pt idx="14">
                  <c:v>250</c:v>
                </c:pt>
                <c:pt idx="15">
                  <c:v>290</c:v>
                </c:pt>
                <c:pt idx="16">
                  <c:v>295</c:v>
                </c:pt>
                <c:pt idx="17">
                  <c:v>240</c:v>
                </c:pt>
                <c:pt idx="18">
                  <c:v>220</c:v>
                </c:pt>
                <c:pt idx="19">
                  <c:v>0</c:v>
                </c:pt>
                <c:pt idx="20">
                  <c:v>225</c:v>
                </c:pt>
                <c:pt idx="21">
                  <c:v>340</c:v>
                </c:pt>
                <c:pt idx="24">
                  <c:v>180</c:v>
                </c:pt>
                <c:pt idx="25">
                  <c:v>220</c:v>
                </c:pt>
                <c:pt idx="26">
                  <c:v>195</c:v>
                </c:pt>
                <c:pt idx="27">
                  <c:v>0</c:v>
                </c:pt>
                <c:pt idx="28">
                  <c:v>205</c:v>
                </c:pt>
                <c:pt idx="29">
                  <c:v>210</c:v>
                </c:pt>
                <c:pt idx="30">
                  <c:v>220</c:v>
                </c:pt>
                <c:pt idx="31">
                  <c:v>0</c:v>
                </c:pt>
                <c:pt idx="32">
                  <c:v>230</c:v>
                </c:pt>
                <c:pt idx="33">
                  <c:v>155</c:v>
                </c:pt>
                <c:pt idx="34">
                  <c:v>178</c:v>
                </c:pt>
                <c:pt idx="35">
                  <c:v>320</c:v>
                </c:pt>
                <c:pt idx="36">
                  <c:v>0</c:v>
                </c:pt>
                <c:pt idx="37">
                  <c:v>233</c:v>
                </c:pt>
                <c:pt idx="38">
                  <c:v>0</c:v>
                </c:pt>
                <c:pt idx="39">
                  <c:v>260</c:v>
                </c:pt>
                <c:pt idx="40">
                  <c:v>220</c:v>
                </c:pt>
                <c:pt idx="41">
                  <c:v>270</c:v>
                </c:pt>
                <c:pt idx="42">
                  <c:v>0</c:v>
                </c:pt>
                <c:pt idx="43">
                  <c:v>163</c:v>
                </c:pt>
                <c:pt idx="44">
                  <c:v>0</c:v>
                </c:pt>
                <c:pt idx="45">
                  <c:v>180</c:v>
                </c:pt>
                <c:pt idx="46">
                  <c:v>220</c:v>
                </c:pt>
                <c:pt idx="47">
                  <c:v>220</c:v>
                </c:pt>
                <c:pt idx="48">
                  <c:v>0</c:v>
                </c:pt>
                <c:pt idx="49">
                  <c:v>250</c:v>
                </c:pt>
                <c:pt idx="50">
                  <c:v>0</c:v>
                </c:pt>
                <c:pt idx="51">
                  <c:v>0</c:v>
                </c:pt>
              </c:numCache>
            </c:numRef>
          </c:val>
        </c:ser>
        <c:ser>
          <c:idx val="2"/>
          <c:order val="2"/>
          <c:tx>
            <c:strRef>
              <c:f>'Table 12'!$D$5</c:f>
              <c:strCache>
                <c:ptCount val="1"/>
                <c:pt idx="0">
                  <c:v>3 Bed Flat</c:v>
                </c:pt>
              </c:strCache>
            </c:strRef>
          </c:tx>
          <c:spPr>
            <a:solidFill>
              <a:schemeClr val="accent4"/>
            </a:solidFill>
            <a:ln>
              <a:noFill/>
            </a:ln>
            <a:effectLst/>
          </c:spPr>
          <c:invertIfNegative val="0"/>
          <c:cat>
            <c:strRef>
              <c:f>'Table 12'!$A$48:$A$99</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'Table 12'!$D$48:$D$99</c:f>
              <c:numCache>
                <c:formatCode>"$"#,##0_);[Red]\("$"#,##0\)</c:formatCode>
                <c:ptCount val="52"/>
                <c:pt idx="1">
                  <c:v>290</c:v>
                </c:pt>
                <c:pt idx="2">
                  <c:v>280</c:v>
                </c:pt>
                <c:pt idx="3">
                  <c:v>340</c:v>
                </c:pt>
                <c:pt idx="4">
                  <c:v>320</c:v>
                </c:pt>
                <c:pt idx="5">
                  <c:v>290</c:v>
                </c:pt>
                <c:pt idx="6">
                  <c:v>260</c:v>
                </c:pt>
                <c:pt idx="7">
                  <c:v>260</c:v>
                </c:pt>
                <c:pt idx="8">
                  <c:v>315</c:v>
                </c:pt>
                <c:pt idx="9">
                  <c:v>300</c:v>
                </c:pt>
                <c:pt idx="10">
                  <c:v>290</c:v>
                </c:pt>
                <c:pt idx="13">
                  <c:v>283</c:v>
                </c:pt>
                <c:pt idx="14">
                  <c:v>275</c:v>
                </c:pt>
                <c:pt idx="15">
                  <c:v>0</c:v>
                </c:pt>
                <c:pt idx="16">
                  <c:v>355</c:v>
                </c:pt>
                <c:pt idx="17">
                  <c:v>303</c:v>
                </c:pt>
                <c:pt idx="18">
                  <c:v>0</c:v>
                </c:pt>
                <c:pt idx="19">
                  <c:v>0</c:v>
                </c:pt>
                <c:pt idx="20">
                  <c:v>265</c:v>
                </c:pt>
                <c:pt idx="21">
                  <c:v>358</c:v>
                </c:pt>
                <c:pt idx="24">
                  <c:v>0</c:v>
                </c:pt>
                <c:pt idx="25">
                  <c:v>0</c:v>
                </c:pt>
                <c:pt idx="26">
                  <c:v>0</c:v>
                </c:pt>
                <c:pt idx="27">
                  <c:v>0</c:v>
                </c:pt>
                <c:pt idx="28">
                  <c:v>285</c:v>
                </c:pt>
                <c:pt idx="29">
                  <c:v>0</c:v>
                </c:pt>
                <c:pt idx="30">
                  <c:v>293</c:v>
                </c:pt>
                <c:pt idx="31">
                  <c:v>0</c:v>
                </c:pt>
                <c:pt idx="32">
                  <c:v>250</c:v>
                </c:pt>
                <c:pt idx="33">
                  <c:v>0</c:v>
                </c:pt>
                <c:pt idx="34">
                  <c:v>250</c:v>
                </c:pt>
                <c:pt idx="35">
                  <c:v>0</c:v>
                </c:pt>
                <c:pt idx="36">
                  <c:v>0</c:v>
                </c:pt>
                <c:pt idx="37">
                  <c:v>0</c:v>
                </c:pt>
                <c:pt idx="38">
                  <c:v>0</c:v>
                </c:pt>
                <c:pt idx="39">
                  <c:v>0</c:v>
                </c:pt>
                <c:pt idx="40">
                  <c:v>285</c:v>
                </c:pt>
                <c:pt idx="41">
                  <c:v>0</c:v>
                </c:pt>
                <c:pt idx="42">
                  <c:v>0</c:v>
                </c:pt>
                <c:pt idx="43">
                  <c:v>0</c:v>
                </c:pt>
                <c:pt idx="44">
                  <c:v>0</c:v>
                </c:pt>
                <c:pt idx="45">
                  <c:v>0</c:v>
                </c:pt>
                <c:pt idx="46">
                  <c:v>0</c:v>
                </c:pt>
                <c:pt idx="47">
                  <c:v>0</c:v>
                </c:pt>
                <c:pt idx="48">
                  <c:v>0</c:v>
                </c:pt>
                <c:pt idx="49">
                  <c:v>315</c:v>
                </c:pt>
                <c:pt idx="50">
                  <c:v>0</c:v>
                </c:pt>
                <c:pt idx="51">
                  <c:v>0</c:v>
                </c:pt>
              </c:numCache>
            </c:numRef>
          </c:val>
        </c:ser>
        <c:dLbls>
          <c:showLegendKey val="0"/>
          <c:showVal val="0"/>
          <c:showCatName val="0"/>
          <c:showSerName val="0"/>
          <c:showPercent val="0"/>
          <c:showBubbleSize val="0"/>
        </c:dLbls>
        <c:gapWidth val="182"/>
        <c:axId val="505651456"/>
        <c:axId val="505652016"/>
      </c:barChart>
      <c:catAx>
        <c:axId val="505651456"/>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652016"/>
        <c:crosses val="autoZero"/>
        <c:auto val="1"/>
        <c:lblAlgn val="ctr"/>
        <c:lblOffset val="100"/>
        <c:noMultiLvlLbl val="0"/>
      </c:catAx>
      <c:valAx>
        <c:axId val="505652016"/>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651456"/>
        <c:crosses val="autoZero"/>
        <c:crossBetween val="between"/>
      </c:valAx>
      <c:spPr>
        <a:noFill/>
        <a:ln>
          <a:noFill/>
        </a:ln>
        <a:effectLst/>
      </c:spPr>
    </c:plotArea>
    <c:legend>
      <c:legendPos val="b"/>
      <c:layout>
        <c:manualLayout>
          <c:xMode val="edge"/>
          <c:yMode val="edge"/>
          <c:x val="0.73657035102049828"/>
          <c:y val="0"/>
          <c:w val="0.20322523772579959"/>
          <c:h val="7.638912599884609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Annual Population Change in Victoria</a:t>
            </a:r>
            <a:r>
              <a:rPr lang="en-AU" baseline="0"/>
              <a:t> </a:t>
            </a:r>
          </a:p>
          <a:p>
            <a:pPr algn="l">
              <a:defRPr/>
            </a:pPr>
            <a:r>
              <a:rPr lang="en-AU" sz="900" baseline="0"/>
              <a:t>Source: ABS demographic Statstics 3101</a:t>
            </a:r>
            <a:r>
              <a:rPr lang="en-AU" sz="900"/>
              <a:t> </a:t>
            </a:r>
          </a:p>
        </c:rich>
      </c:tx>
      <c:layout>
        <c:manualLayout>
          <c:xMode val="edge"/>
          <c:yMode val="edge"/>
          <c:x val="1.3924283242666064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Sheet4!$G$5</c:f>
              <c:strCache>
                <c:ptCount val="1"/>
                <c:pt idx="0">
                  <c:v>Natural Increase</c:v>
                </c:pt>
              </c:strCache>
            </c:strRef>
          </c:tx>
          <c:spPr>
            <a:ln w="28575" cap="rnd">
              <a:solidFill>
                <a:schemeClr val="accent1"/>
              </a:solidFill>
              <a:round/>
            </a:ln>
            <a:effectLst/>
          </c:spPr>
          <c:marker>
            <c:symbol val="none"/>
          </c:marker>
          <c:cat>
            <c:numRef>
              <c:f>Sheet4!$F$6:$F$140</c:f>
              <c:numCache>
                <c:formatCode>mmm\-yyyy</c:formatCode>
                <c:ptCount val="135"/>
                <c:pt idx="0">
                  <c:v>30103</c:v>
                </c:pt>
                <c:pt idx="1">
                  <c:v>30195</c:v>
                </c:pt>
                <c:pt idx="2">
                  <c:v>30286</c:v>
                </c:pt>
                <c:pt idx="3">
                  <c:v>30376</c:v>
                </c:pt>
                <c:pt idx="4">
                  <c:v>30468</c:v>
                </c:pt>
                <c:pt idx="5">
                  <c:v>30560</c:v>
                </c:pt>
                <c:pt idx="6">
                  <c:v>30651</c:v>
                </c:pt>
                <c:pt idx="7">
                  <c:v>30742</c:v>
                </c:pt>
                <c:pt idx="8">
                  <c:v>30834</c:v>
                </c:pt>
                <c:pt idx="9">
                  <c:v>30926</c:v>
                </c:pt>
                <c:pt idx="10">
                  <c:v>31017</c:v>
                </c:pt>
                <c:pt idx="11">
                  <c:v>31107</c:v>
                </c:pt>
                <c:pt idx="12">
                  <c:v>31199</c:v>
                </c:pt>
                <c:pt idx="13">
                  <c:v>31291</c:v>
                </c:pt>
                <c:pt idx="14">
                  <c:v>31382</c:v>
                </c:pt>
                <c:pt idx="15">
                  <c:v>31472</c:v>
                </c:pt>
                <c:pt idx="16">
                  <c:v>31564</c:v>
                </c:pt>
                <c:pt idx="17">
                  <c:v>31656</c:v>
                </c:pt>
                <c:pt idx="18">
                  <c:v>31747</c:v>
                </c:pt>
                <c:pt idx="19">
                  <c:v>31837</c:v>
                </c:pt>
                <c:pt idx="20">
                  <c:v>31929</c:v>
                </c:pt>
                <c:pt idx="21">
                  <c:v>32021</c:v>
                </c:pt>
                <c:pt idx="22">
                  <c:v>32112</c:v>
                </c:pt>
                <c:pt idx="23">
                  <c:v>32203</c:v>
                </c:pt>
                <c:pt idx="24">
                  <c:v>32295</c:v>
                </c:pt>
                <c:pt idx="25">
                  <c:v>32387</c:v>
                </c:pt>
                <c:pt idx="26">
                  <c:v>32478</c:v>
                </c:pt>
                <c:pt idx="27">
                  <c:v>32568</c:v>
                </c:pt>
                <c:pt idx="28">
                  <c:v>32660</c:v>
                </c:pt>
                <c:pt idx="29">
                  <c:v>32752</c:v>
                </c:pt>
                <c:pt idx="30">
                  <c:v>32843</c:v>
                </c:pt>
                <c:pt idx="31">
                  <c:v>32933</c:v>
                </c:pt>
                <c:pt idx="32">
                  <c:v>33025</c:v>
                </c:pt>
                <c:pt idx="33">
                  <c:v>33117</c:v>
                </c:pt>
                <c:pt idx="34">
                  <c:v>33208</c:v>
                </c:pt>
                <c:pt idx="35">
                  <c:v>33298</c:v>
                </c:pt>
                <c:pt idx="36">
                  <c:v>33390</c:v>
                </c:pt>
                <c:pt idx="37">
                  <c:v>33482</c:v>
                </c:pt>
                <c:pt idx="38">
                  <c:v>33573</c:v>
                </c:pt>
                <c:pt idx="39">
                  <c:v>33664</c:v>
                </c:pt>
                <c:pt idx="40">
                  <c:v>33756</c:v>
                </c:pt>
                <c:pt idx="41">
                  <c:v>33848</c:v>
                </c:pt>
                <c:pt idx="42">
                  <c:v>33939</c:v>
                </c:pt>
                <c:pt idx="43">
                  <c:v>34029</c:v>
                </c:pt>
                <c:pt idx="44">
                  <c:v>34121</c:v>
                </c:pt>
                <c:pt idx="45">
                  <c:v>34213</c:v>
                </c:pt>
                <c:pt idx="46">
                  <c:v>34304</c:v>
                </c:pt>
                <c:pt idx="47">
                  <c:v>34394</c:v>
                </c:pt>
                <c:pt idx="48">
                  <c:v>34486</c:v>
                </c:pt>
                <c:pt idx="49">
                  <c:v>34578</c:v>
                </c:pt>
                <c:pt idx="50">
                  <c:v>34669</c:v>
                </c:pt>
                <c:pt idx="51">
                  <c:v>34759</c:v>
                </c:pt>
                <c:pt idx="52">
                  <c:v>34851</c:v>
                </c:pt>
                <c:pt idx="53">
                  <c:v>34943</c:v>
                </c:pt>
                <c:pt idx="54">
                  <c:v>35034</c:v>
                </c:pt>
                <c:pt idx="55">
                  <c:v>35125</c:v>
                </c:pt>
                <c:pt idx="56">
                  <c:v>35217</c:v>
                </c:pt>
                <c:pt idx="57">
                  <c:v>35309</c:v>
                </c:pt>
                <c:pt idx="58">
                  <c:v>35400</c:v>
                </c:pt>
                <c:pt idx="59">
                  <c:v>35490</c:v>
                </c:pt>
                <c:pt idx="60">
                  <c:v>35582</c:v>
                </c:pt>
                <c:pt idx="61">
                  <c:v>35674</c:v>
                </c:pt>
                <c:pt idx="62">
                  <c:v>35765</c:v>
                </c:pt>
                <c:pt idx="63">
                  <c:v>35855</c:v>
                </c:pt>
                <c:pt idx="64">
                  <c:v>35947</c:v>
                </c:pt>
                <c:pt idx="65">
                  <c:v>36039</c:v>
                </c:pt>
                <c:pt idx="66">
                  <c:v>36130</c:v>
                </c:pt>
                <c:pt idx="67">
                  <c:v>36220</c:v>
                </c:pt>
                <c:pt idx="68">
                  <c:v>36312</c:v>
                </c:pt>
                <c:pt idx="69">
                  <c:v>36404</c:v>
                </c:pt>
                <c:pt idx="70">
                  <c:v>36495</c:v>
                </c:pt>
                <c:pt idx="71">
                  <c:v>36586</c:v>
                </c:pt>
                <c:pt idx="72">
                  <c:v>36678</c:v>
                </c:pt>
                <c:pt idx="73">
                  <c:v>36770</c:v>
                </c:pt>
                <c:pt idx="74">
                  <c:v>36861</c:v>
                </c:pt>
                <c:pt idx="75">
                  <c:v>36951</c:v>
                </c:pt>
                <c:pt idx="76">
                  <c:v>37043</c:v>
                </c:pt>
                <c:pt idx="77">
                  <c:v>37135</c:v>
                </c:pt>
                <c:pt idx="78">
                  <c:v>37226</c:v>
                </c:pt>
                <c:pt idx="79">
                  <c:v>37316</c:v>
                </c:pt>
                <c:pt idx="80">
                  <c:v>37408</c:v>
                </c:pt>
                <c:pt idx="81">
                  <c:v>37500</c:v>
                </c:pt>
                <c:pt idx="82">
                  <c:v>37591</c:v>
                </c:pt>
                <c:pt idx="83">
                  <c:v>37681</c:v>
                </c:pt>
                <c:pt idx="84">
                  <c:v>37773</c:v>
                </c:pt>
                <c:pt idx="85">
                  <c:v>37865</c:v>
                </c:pt>
                <c:pt idx="86">
                  <c:v>37956</c:v>
                </c:pt>
                <c:pt idx="87">
                  <c:v>38047</c:v>
                </c:pt>
                <c:pt idx="88">
                  <c:v>38139</c:v>
                </c:pt>
                <c:pt idx="89">
                  <c:v>38231</c:v>
                </c:pt>
                <c:pt idx="90">
                  <c:v>38322</c:v>
                </c:pt>
                <c:pt idx="91">
                  <c:v>38412</c:v>
                </c:pt>
                <c:pt idx="92">
                  <c:v>38504</c:v>
                </c:pt>
                <c:pt idx="93">
                  <c:v>38596</c:v>
                </c:pt>
                <c:pt idx="94">
                  <c:v>38687</c:v>
                </c:pt>
                <c:pt idx="95">
                  <c:v>38777</c:v>
                </c:pt>
                <c:pt idx="96">
                  <c:v>38869</c:v>
                </c:pt>
                <c:pt idx="97">
                  <c:v>38961</c:v>
                </c:pt>
                <c:pt idx="98">
                  <c:v>39052</c:v>
                </c:pt>
                <c:pt idx="99">
                  <c:v>39142</c:v>
                </c:pt>
                <c:pt idx="100">
                  <c:v>39234</c:v>
                </c:pt>
                <c:pt idx="101">
                  <c:v>39326</c:v>
                </c:pt>
                <c:pt idx="102">
                  <c:v>39417</c:v>
                </c:pt>
                <c:pt idx="103">
                  <c:v>39508</c:v>
                </c:pt>
                <c:pt idx="104">
                  <c:v>39600</c:v>
                </c:pt>
                <c:pt idx="105">
                  <c:v>39692</c:v>
                </c:pt>
                <c:pt idx="106">
                  <c:v>39783</c:v>
                </c:pt>
                <c:pt idx="107">
                  <c:v>39873</c:v>
                </c:pt>
                <c:pt idx="108">
                  <c:v>39965</c:v>
                </c:pt>
                <c:pt idx="109">
                  <c:v>40057</c:v>
                </c:pt>
                <c:pt idx="110">
                  <c:v>40148</c:v>
                </c:pt>
                <c:pt idx="111">
                  <c:v>40238</c:v>
                </c:pt>
                <c:pt idx="112">
                  <c:v>40330</c:v>
                </c:pt>
                <c:pt idx="113">
                  <c:v>40422</c:v>
                </c:pt>
                <c:pt idx="114">
                  <c:v>40513</c:v>
                </c:pt>
                <c:pt idx="115">
                  <c:v>40603</c:v>
                </c:pt>
                <c:pt idx="116">
                  <c:v>40695</c:v>
                </c:pt>
                <c:pt idx="117">
                  <c:v>40787</c:v>
                </c:pt>
                <c:pt idx="118">
                  <c:v>40878</c:v>
                </c:pt>
                <c:pt idx="119">
                  <c:v>40969</c:v>
                </c:pt>
                <c:pt idx="120">
                  <c:v>41061</c:v>
                </c:pt>
                <c:pt idx="121">
                  <c:v>41153</c:v>
                </c:pt>
                <c:pt idx="122">
                  <c:v>41244</c:v>
                </c:pt>
                <c:pt idx="123">
                  <c:v>41334</c:v>
                </c:pt>
                <c:pt idx="124">
                  <c:v>41426</c:v>
                </c:pt>
                <c:pt idx="125">
                  <c:v>41518</c:v>
                </c:pt>
                <c:pt idx="126">
                  <c:v>41609</c:v>
                </c:pt>
                <c:pt idx="127">
                  <c:v>41699</c:v>
                </c:pt>
                <c:pt idx="128">
                  <c:v>41791</c:v>
                </c:pt>
                <c:pt idx="129">
                  <c:v>41883</c:v>
                </c:pt>
                <c:pt idx="130">
                  <c:v>41974</c:v>
                </c:pt>
                <c:pt idx="131">
                  <c:v>42064</c:v>
                </c:pt>
                <c:pt idx="132">
                  <c:v>42156</c:v>
                </c:pt>
                <c:pt idx="133">
                  <c:v>42248</c:v>
                </c:pt>
                <c:pt idx="134">
                  <c:v>42339</c:v>
                </c:pt>
              </c:numCache>
            </c:numRef>
          </c:cat>
          <c:val>
            <c:numRef>
              <c:f>Sheet4!$G$6:$G$140</c:f>
              <c:numCache>
                <c:formatCode>_-* #,##0_-;\-* #,##0_-;_-* "-"??_-;_-@_-</c:formatCode>
                <c:ptCount val="135"/>
                <c:pt idx="0">
                  <c:v>30346</c:v>
                </c:pt>
                <c:pt idx="1">
                  <c:v>28801</c:v>
                </c:pt>
                <c:pt idx="2">
                  <c:v>29182</c:v>
                </c:pt>
                <c:pt idx="3">
                  <c:v>28772</c:v>
                </c:pt>
                <c:pt idx="4">
                  <c:v>29378</c:v>
                </c:pt>
                <c:pt idx="5">
                  <c:v>30909</c:v>
                </c:pt>
                <c:pt idx="6">
                  <c:v>30563</c:v>
                </c:pt>
                <c:pt idx="7">
                  <c:v>31023</c:v>
                </c:pt>
                <c:pt idx="8">
                  <c:v>30596</c:v>
                </c:pt>
                <c:pt idx="9">
                  <c:v>29781</c:v>
                </c:pt>
                <c:pt idx="10">
                  <c:v>29964</c:v>
                </c:pt>
                <c:pt idx="11">
                  <c:v>29881</c:v>
                </c:pt>
                <c:pt idx="12">
                  <c:v>30269</c:v>
                </c:pt>
                <c:pt idx="13">
                  <c:v>29990</c:v>
                </c:pt>
                <c:pt idx="14">
                  <c:v>30191</c:v>
                </c:pt>
                <c:pt idx="15">
                  <c:v>29163</c:v>
                </c:pt>
                <c:pt idx="16">
                  <c:v>29094</c:v>
                </c:pt>
                <c:pt idx="17">
                  <c:v>30067</c:v>
                </c:pt>
                <c:pt idx="18">
                  <c:v>29987</c:v>
                </c:pt>
                <c:pt idx="19">
                  <c:v>30592</c:v>
                </c:pt>
                <c:pt idx="20">
                  <c:v>30556</c:v>
                </c:pt>
                <c:pt idx="21">
                  <c:v>30456</c:v>
                </c:pt>
                <c:pt idx="22">
                  <c:v>29958</c:v>
                </c:pt>
                <c:pt idx="23">
                  <c:v>30216</c:v>
                </c:pt>
                <c:pt idx="24">
                  <c:v>30585</c:v>
                </c:pt>
                <c:pt idx="25">
                  <c:v>30720</c:v>
                </c:pt>
                <c:pt idx="26">
                  <c:v>31408</c:v>
                </c:pt>
                <c:pt idx="27">
                  <c:v>31958</c:v>
                </c:pt>
                <c:pt idx="28">
                  <c:v>31613</c:v>
                </c:pt>
                <c:pt idx="29">
                  <c:v>31477</c:v>
                </c:pt>
                <c:pt idx="30">
                  <c:v>31623</c:v>
                </c:pt>
                <c:pt idx="31">
                  <c:v>32377</c:v>
                </c:pt>
                <c:pt idx="32">
                  <c:v>33692</c:v>
                </c:pt>
                <c:pt idx="33">
                  <c:v>35048</c:v>
                </c:pt>
                <c:pt idx="34">
                  <c:v>35984</c:v>
                </c:pt>
                <c:pt idx="35">
                  <c:v>35532</c:v>
                </c:pt>
                <c:pt idx="36">
                  <c:v>34950</c:v>
                </c:pt>
                <c:pt idx="37">
                  <c:v>34409</c:v>
                </c:pt>
                <c:pt idx="38">
                  <c:v>34100</c:v>
                </c:pt>
                <c:pt idx="39">
                  <c:v>34127</c:v>
                </c:pt>
                <c:pt idx="40">
                  <c:v>33519</c:v>
                </c:pt>
                <c:pt idx="41">
                  <c:v>33814</c:v>
                </c:pt>
                <c:pt idx="42">
                  <c:v>33819</c:v>
                </c:pt>
                <c:pt idx="43">
                  <c:v>33472</c:v>
                </c:pt>
                <c:pt idx="44">
                  <c:v>33681</c:v>
                </c:pt>
                <c:pt idx="45">
                  <c:v>33187</c:v>
                </c:pt>
                <c:pt idx="46">
                  <c:v>33017</c:v>
                </c:pt>
                <c:pt idx="47">
                  <c:v>33029</c:v>
                </c:pt>
                <c:pt idx="48">
                  <c:v>32578</c:v>
                </c:pt>
                <c:pt idx="49">
                  <c:v>31803</c:v>
                </c:pt>
                <c:pt idx="50">
                  <c:v>31786</c:v>
                </c:pt>
                <c:pt idx="51">
                  <c:v>31464</c:v>
                </c:pt>
                <c:pt idx="52">
                  <c:v>31348</c:v>
                </c:pt>
                <c:pt idx="53">
                  <c:v>31263</c:v>
                </c:pt>
                <c:pt idx="54">
                  <c:v>30195</c:v>
                </c:pt>
                <c:pt idx="55">
                  <c:v>29344</c:v>
                </c:pt>
                <c:pt idx="56">
                  <c:v>28500</c:v>
                </c:pt>
                <c:pt idx="57">
                  <c:v>28233</c:v>
                </c:pt>
                <c:pt idx="58">
                  <c:v>28735</c:v>
                </c:pt>
                <c:pt idx="59">
                  <c:v>28540</c:v>
                </c:pt>
                <c:pt idx="60">
                  <c:v>28663</c:v>
                </c:pt>
                <c:pt idx="61">
                  <c:v>28150</c:v>
                </c:pt>
                <c:pt idx="62">
                  <c:v>27852</c:v>
                </c:pt>
                <c:pt idx="63">
                  <c:v>27790</c:v>
                </c:pt>
                <c:pt idx="64">
                  <c:v>27722</c:v>
                </c:pt>
                <c:pt idx="65">
                  <c:v>27842</c:v>
                </c:pt>
                <c:pt idx="66">
                  <c:v>27194</c:v>
                </c:pt>
                <c:pt idx="67">
                  <c:v>27466</c:v>
                </c:pt>
                <c:pt idx="68">
                  <c:v>27077</c:v>
                </c:pt>
                <c:pt idx="69">
                  <c:v>27883</c:v>
                </c:pt>
                <c:pt idx="70">
                  <c:v>28081</c:v>
                </c:pt>
                <c:pt idx="71">
                  <c:v>27678</c:v>
                </c:pt>
                <c:pt idx="72">
                  <c:v>27742</c:v>
                </c:pt>
                <c:pt idx="73">
                  <c:v>26964</c:v>
                </c:pt>
                <c:pt idx="74">
                  <c:v>26749</c:v>
                </c:pt>
                <c:pt idx="75">
                  <c:v>26304</c:v>
                </c:pt>
                <c:pt idx="76">
                  <c:v>26436</c:v>
                </c:pt>
                <c:pt idx="77">
                  <c:v>27224</c:v>
                </c:pt>
                <c:pt idx="78">
                  <c:v>27131</c:v>
                </c:pt>
                <c:pt idx="79">
                  <c:v>27686</c:v>
                </c:pt>
                <c:pt idx="80">
                  <c:v>27782</c:v>
                </c:pt>
                <c:pt idx="81">
                  <c:v>26984</c:v>
                </c:pt>
                <c:pt idx="82">
                  <c:v>27340</c:v>
                </c:pt>
                <c:pt idx="83">
                  <c:v>27221</c:v>
                </c:pt>
                <c:pt idx="84">
                  <c:v>27145</c:v>
                </c:pt>
                <c:pt idx="85">
                  <c:v>27548</c:v>
                </c:pt>
                <c:pt idx="86">
                  <c:v>27883</c:v>
                </c:pt>
                <c:pt idx="87">
                  <c:v>28377</c:v>
                </c:pt>
                <c:pt idx="88">
                  <c:v>28351</c:v>
                </c:pt>
                <c:pt idx="89">
                  <c:v>28964</c:v>
                </c:pt>
                <c:pt idx="90">
                  <c:v>28744</c:v>
                </c:pt>
                <c:pt idx="91">
                  <c:v>28863</c:v>
                </c:pt>
                <c:pt idx="92">
                  <c:v>29908</c:v>
                </c:pt>
                <c:pt idx="93">
                  <c:v>29837</c:v>
                </c:pt>
                <c:pt idx="94">
                  <c:v>30543</c:v>
                </c:pt>
                <c:pt idx="95">
                  <c:v>31003</c:v>
                </c:pt>
                <c:pt idx="96">
                  <c:v>30707</c:v>
                </c:pt>
                <c:pt idx="97">
                  <c:v>32085</c:v>
                </c:pt>
                <c:pt idx="98">
                  <c:v>32758</c:v>
                </c:pt>
                <c:pt idx="99">
                  <c:v>33880</c:v>
                </c:pt>
                <c:pt idx="100">
                  <c:v>34793</c:v>
                </c:pt>
                <c:pt idx="101">
                  <c:v>34911</c:v>
                </c:pt>
                <c:pt idx="102">
                  <c:v>35395</c:v>
                </c:pt>
                <c:pt idx="103">
                  <c:v>35389</c:v>
                </c:pt>
                <c:pt idx="104">
                  <c:v>35318</c:v>
                </c:pt>
                <c:pt idx="105">
                  <c:v>35109</c:v>
                </c:pt>
                <c:pt idx="106">
                  <c:v>35212</c:v>
                </c:pt>
                <c:pt idx="107">
                  <c:v>34582</c:v>
                </c:pt>
                <c:pt idx="108">
                  <c:v>35194</c:v>
                </c:pt>
                <c:pt idx="109">
                  <c:v>35635</c:v>
                </c:pt>
                <c:pt idx="110">
                  <c:v>36413</c:v>
                </c:pt>
                <c:pt idx="111">
                  <c:v>37592</c:v>
                </c:pt>
                <c:pt idx="112">
                  <c:v>37664</c:v>
                </c:pt>
                <c:pt idx="113">
                  <c:v>37426</c:v>
                </c:pt>
                <c:pt idx="114">
                  <c:v>36168</c:v>
                </c:pt>
                <c:pt idx="115">
                  <c:v>35474</c:v>
                </c:pt>
                <c:pt idx="116">
                  <c:v>35172</c:v>
                </c:pt>
                <c:pt idx="117">
                  <c:v>35613</c:v>
                </c:pt>
                <c:pt idx="118">
                  <c:v>36594</c:v>
                </c:pt>
                <c:pt idx="119">
                  <c:v>37683</c:v>
                </c:pt>
                <c:pt idx="120">
                  <c:v>38850</c:v>
                </c:pt>
                <c:pt idx="121">
                  <c:v>38799</c:v>
                </c:pt>
                <c:pt idx="122">
                  <c:v>39763</c:v>
                </c:pt>
                <c:pt idx="123">
                  <c:v>39850</c:v>
                </c:pt>
                <c:pt idx="124">
                  <c:v>39954</c:v>
                </c:pt>
                <c:pt idx="125">
                  <c:v>40452</c:v>
                </c:pt>
                <c:pt idx="126">
                  <c:v>39622</c:v>
                </c:pt>
                <c:pt idx="127">
                  <c:v>39723</c:v>
                </c:pt>
                <c:pt idx="128">
                  <c:v>39219</c:v>
                </c:pt>
                <c:pt idx="129">
                  <c:v>38494</c:v>
                </c:pt>
                <c:pt idx="130">
                  <c:v>35678</c:v>
                </c:pt>
                <c:pt idx="131">
                  <c:v>32993</c:v>
                </c:pt>
                <c:pt idx="132">
                  <c:v>35129</c:v>
                </c:pt>
                <c:pt idx="133">
                  <c:v>35677</c:v>
                </c:pt>
                <c:pt idx="134">
                  <c:v>36249</c:v>
                </c:pt>
              </c:numCache>
            </c:numRef>
          </c:val>
          <c:smooth val="0"/>
        </c:ser>
        <c:ser>
          <c:idx val="1"/>
          <c:order val="1"/>
          <c:tx>
            <c:strRef>
              <c:f>Sheet4!$H$5</c:f>
              <c:strCache>
                <c:ptCount val="1"/>
                <c:pt idx="0">
                  <c:v>Net Overseas Migration</c:v>
                </c:pt>
              </c:strCache>
            </c:strRef>
          </c:tx>
          <c:spPr>
            <a:ln w="28575" cap="rnd">
              <a:solidFill>
                <a:schemeClr val="accent4">
                  <a:lumMod val="75000"/>
                </a:schemeClr>
              </a:solidFill>
              <a:round/>
            </a:ln>
            <a:effectLst/>
          </c:spPr>
          <c:marker>
            <c:symbol val="none"/>
          </c:marker>
          <c:cat>
            <c:numRef>
              <c:f>Sheet4!$F$6:$F$140</c:f>
              <c:numCache>
                <c:formatCode>mmm\-yyyy</c:formatCode>
                <c:ptCount val="135"/>
                <c:pt idx="0">
                  <c:v>30103</c:v>
                </c:pt>
                <c:pt idx="1">
                  <c:v>30195</c:v>
                </c:pt>
                <c:pt idx="2">
                  <c:v>30286</c:v>
                </c:pt>
                <c:pt idx="3">
                  <c:v>30376</c:v>
                </c:pt>
                <c:pt idx="4">
                  <c:v>30468</c:v>
                </c:pt>
                <c:pt idx="5">
                  <c:v>30560</c:v>
                </c:pt>
                <c:pt idx="6">
                  <c:v>30651</c:v>
                </c:pt>
                <c:pt idx="7">
                  <c:v>30742</c:v>
                </c:pt>
                <c:pt idx="8">
                  <c:v>30834</c:v>
                </c:pt>
                <c:pt idx="9">
                  <c:v>30926</c:v>
                </c:pt>
                <c:pt idx="10">
                  <c:v>31017</c:v>
                </c:pt>
                <c:pt idx="11">
                  <c:v>31107</c:v>
                </c:pt>
                <c:pt idx="12">
                  <c:v>31199</c:v>
                </c:pt>
                <c:pt idx="13">
                  <c:v>31291</c:v>
                </c:pt>
                <c:pt idx="14">
                  <c:v>31382</c:v>
                </c:pt>
                <c:pt idx="15">
                  <c:v>31472</c:v>
                </c:pt>
                <c:pt idx="16">
                  <c:v>31564</c:v>
                </c:pt>
                <c:pt idx="17">
                  <c:v>31656</c:v>
                </c:pt>
                <c:pt idx="18">
                  <c:v>31747</c:v>
                </c:pt>
                <c:pt idx="19">
                  <c:v>31837</c:v>
                </c:pt>
                <c:pt idx="20">
                  <c:v>31929</c:v>
                </c:pt>
                <c:pt idx="21">
                  <c:v>32021</c:v>
                </c:pt>
                <c:pt idx="22">
                  <c:v>32112</c:v>
                </c:pt>
                <c:pt idx="23">
                  <c:v>32203</c:v>
                </c:pt>
                <c:pt idx="24">
                  <c:v>32295</c:v>
                </c:pt>
                <c:pt idx="25">
                  <c:v>32387</c:v>
                </c:pt>
                <c:pt idx="26">
                  <c:v>32478</c:v>
                </c:pt>
                <c:pt idx="27">
                  <c:v>32568</c:v>
                </c:pt>
                <c:pt idx="28">
                  <c:v>32660</c:v>
                </c:pt>
                <c:pt idx="29">
                  <c:v>32752</c:v>
                </c:pt>
                <c:pt idx="30">
                  <c:v>32843</c:v>
                </c:pt>
                <c:pt idx="31">
                  <c:v>32933</c:v>
                </c:pt>
                <c:pt idx="32">
                  <c:v>33025</c:v>
                </c:pt>
                <c:pt idx="33">
                  <c:v>33117</c:v>
                </c:pt>
                <c:pt idx="34">
                  <c:v>33208</c:v>
                </c:pt>
                <c:pt idx="35">
                  <c:v>33298</c:v>
                </c:pt>
                <c:pt idx="36">
                  <c:v>33390</c:v>
                </c:pt>
                <c:pt idx="37">
                  <c:v>33482</c:v>
                </c:pt>
                <c:pt idx="38">
                  <c:v>33573</c:v>
                </c:pt>
                <c:pt idx="39">
                  <c:v>33664</c:v>
                </c:pt>
                <c:pt idx="40">
                  <c:v>33756</c:v>
                </c:pt>
                <c:pt idx="41">
                  <c:v>33848</c:v>
                </c:pt>
                <c:pt idx="42">
                  <c:v>33939</c:v>
                </c:pt>
                <c:pt idx="43">
                  <c:v>34029</c:v>
                </c:pt>
                <c:pt idx="44">
                  <c:v>34121</c:v>
                </c:pt>
                <c:pt idx="45">
                  <c:v>34213</c:v>
                </c:pt>
                <c:pt idx="46">
                  <c:v>34304</c:v>
                </c:pt>
                <c:pt idx="47">
                  <c:v>34394</c:v>
                </c:pt>
                <c:pt idx="48">
                  <c:v>34486</c:v>
                </c:pt>
                <c:pt idx="49">
                  <c:v>34578</c:v>
                </c:pt>
                <c:pt idx="50">
                  <c:v>34669</c:v>
                </c:pt>
                <c:pt idx="51">
                  <c:v>34759</c:v>
                </c:pt>
                <c:pt idx="52">
                  <c:v>34851</c:v>
                </c:pt>
                <c:pt idx="53">
                  <c:v>34943</c:v>
                </c:pt>
                <c:pt idx="54">
                  <c:v>35034</c:v>
                </c:pt>
                <c:pt idx="55">
                  <c:v>35125</c:v>
                </c:pt>
                <c:pt idx="56">
                  <c:v>35217</c:v>
                </c:pt>
                <c:pt idx="57">
                  <c:v>35309</c:v>
                </c:pt>
                <c:pt idx="58">
                  <c:v>35400</c:v>
                </c:pt>
                <c:pt idx="59">
                  <c:v>35490</c:v>
                </c:pt>
                <c:pt idx="60">
                  <c:v>35582</c:v>
                </c:pt>
                <c:pt idx="61">
                  <c:v>35674</c:v>
                </c:pt>
                <c:pt idx="62">
                  <c:v>35765</c:v>
                </c:pt>
                <c:pt idx="63">
                  <c:v>35855</c:v>
                </c:pt>
                <c:pt idx="64">
                  <c:v>35947</c:v>
                </c:pt>
                <c:pt idx="65">
                  <c:v>36039</c:v>
                </c:pt>
                <c:pt idx="66">
                  <c:v>36130</c:v>
                </c:pt>
                <c:pt idx="67">
                  <c:v>36220</c:v>
                </c:pt>
                <c:pt idx="68">
                  <c:v>36312</c:v>
                </c:pt>
                <c:pt idx="69">
                  <c:v>36404</c:v>
                </c:pt>
                <c:pt idx="70">
                  <c:v>36495</c:v>
                </c:pt>
                <c:pt idx="71">
                  <c:v>36586</c:v>
                </c:pt>
                <c:pt idx="72">
                  <c:v>36678</c:v>
                </c:pt>
                <c:pt idx="73">
                  <c:v>36770</c:v>
                </c:pt>
                <c:pt idx="74">
                  <c:v>36861</c:v>
                </c:pt>
                <c:pt idx="75">
                  <c:v>36951</c:v>
                </c:pt>
                <c:pt idx="76">
                  <c:v>37043</c:v>
                </c:pt>
                <c:pt idx="77">
                  <c:v>37135</c:v>
                </c:pt>
                <c:pt idx="78">
                  <c:v>37226</c:v>
                </c:pt>
                <c:pt idx="79">
                  <c:v>37316</c:v>
                </c:pt>
                <c:pt idx="80">
                  <c:v>37408</c:v>
                </c:pt>
                <c:pt idx="81">
                  <c:v>37500</c:v>
                </c:pt>
                <c:pt idx="82">
                  <c:v>37591</c:v>
                </c:pt>
                <c:pt idx="83">
                  <c:v>37681</c:v>
                </c:pt>
                <c:pt idx="84">
                  <c:v>37773</c:v>
                </c:pt>
                <c:pt idx="85">
                  <c:v>37865</c:v>
                </c:pt>
                <c:pt idx="86">
                  <c:v>37956</c:v>
                </c:pt>
                <c:pt idx="87">
                  <c:v>38047</c:v>
                </c:pt>
                <c:pt idx="88">
                  <c:v>38139</c:v>
                </c:pt>
                <c:pt idx="89">
                  <c:v>38231</c:v>
                </c:pt>
                <c:pt idx="90">
                  <c:v>38322</c:v>
                </c:pt>
                <c:pt idx="91">
                  <c:v>38412</c:v>
                </c:pt>
                <c:pt idx="92">
                  <c:v>38504</c:v>
                </c:pt>
                <c:pt idx="93">
                  <c:v>38596</c:v>
                </c:pt>
                <c:pt idx="94">
                  <c:v>38687</c:v>
                </c:pt>
                <c:pt idx="95">
                  <c:v>38777</c:v>
                </c:pt>
                <c:pt idx="96">
                  <c:v>38869</c:v>
                </c:pt>
                <c:pt idx="97">
                  <c:v>38961</c:v>
                </c:pt>
                <c:pt idx="98">
                  <c:v>39052</c:v>
                </c:pt>
                <c:pt idx="99">
                  <c:v>39142</c:v>
                </c:pt>
                <c:pt idx="100">
                  <c:v>39234</c:v>
                </c:pt>
                <c:pt idx="101">
                  <c:v>39326</c:v>
                </c:pt>
                <c:pt idx="102">
                  <c:v>39417</c:v>
                </c:pt>
                <c:pt idx="103">
                  <c:v>39508</c:v>
                </c:pt>
                <c:pt idx="104">
                  <c:v>39600</c:v>
                </c:pt>
                <c:pt idx="105">
                  <c:v>39692</c:v>
                </c:pt>
                <c:pt idx="106">
                  <c:v>39783</c:v>
                </c:pt>
                <c:pt idx="107">
                  <c:v>39873</c:v>
                </c:pt>
                <c:pt idx="108">
                  <c:v>39965</c:v>
                </c:pt>
                <c:pt idx="109">
                  <c:v>40057</c:v>
                </c:pt>
                <c:pt idx="110">
                  <c:v>40148</c:v>
                </c:pt>
                <c:pt idx="111">
                  <c:v>40238</c:v>
                </c:pt>
                <c:pt idx="112">
                  <c:v>40330</c:v>
                </c:pt>
                <c:pt idx="113">
                  <c:v>40422</c:v>
                </c:pt>
                <c:pt idx="114">
                  <c:v>40513</c:v>
                </c:pt>
                <c:pt idx="115">
                  <c:v>40603</c:v>
                </c:pt>
                <c:pt idx="116">
                  <c:v>40695</c:v>
                </c:pt>
                <c:pt idx="117">
                  <c:v>40787</c:v>
                </c:pt>
                <c:pt idx="118">
                  <c:v>40878</c:v>
                </c:pt>
                <c:pt idx="119">
                  <c:v>40969</c:v>
                </c:pt>
                <c:pt idx="120">
                  <c:v>41061</c:v>
                </c:pt>
                <c:pt idx="121">
                  <c:v>41153</c:v>
                </c:pt>
                <c:pt idx="122">
                  <c:v>41244</c:v>
                </c:pt>
                <c:pt idx="123">
                  <c:v>41334</c:v>
                </c:pt>
                <c:pt idx="124">
                  <c:v>41426</c:v>
                </c:pt>
                <c:pt idx="125">
                  <c:v>41518</c:v>
                </c:pt>
                <c:pt idx="126">
                  <c:v>41609</c:v>
                </c:pt>
                <c:pt idx="127">
                  <c:v>41699</c:v>
                </c:pt>
                <c:pt idx="128">
                  <c:v>41791</c:v>
                </c:pt>
                <c:pt idx="129">
                  <c:v>41883</c:v>
                </c:pt>
                <c:pt idx="130">
                  <c:v>41974</c:v>
                </c:pt>
                <c:pt idx="131">
                  <c:v>42064</c:v>
                </c:pt>
                <c:pt idx="132">
                  <c:v>42156</c:v>
                </c:pt>
                <c:pt idx="133">
                  <c:v>42248</c:v>
                </c:pt>
                <c:pt idx="134">
                  <c:v>42339</c:v>
                </c:pt>
              </c:numCache>
            </c:numRef>
          </c:cat>
          <c:val>
            <c:numRef>
              <c:f>Sheet4!$H$6:$H$140</c:f>
              <c:numCache>
                <c:formatCode>_-* #,##0_-;\-* #,##0_-;_-* "-"??_-;_-@_-</c:formatCode>
                <c:ptCount val="135"/>
                <c:pt idx="0">
                  <c:v>31144</c:v>
                </c:pt>
                <c:pt idx="1">
                  <c:v>29071</c:v>
                </c:pt>
                <c:pt idx="2">
                  <c:v>24960</c:v>
                </c:pt>
                <c:pt idx="3">
                  <c:v>23306</c:v>
                </c:pt>
                <c:pt idx="4">
                  <c:v>19674</c:v>
                </c:pt>
                <c:pt idx="5">
                  <c:v>17174</c:v>
                </c:pt>
                <c:pt idx="6">
                  <c:v>16305</c:v>
                </c:pt>
                <c:pt idx="7">
                  <c:v>13976</c:v>
                </c:pt>
                <c:pt idx="8">
                  <c:v>14730</c:v>
                </c:pt>
                <c:pt idx="9">
                  <c:v>16117</c:v>
                </c:pt>
                <c:pt idx="10">
                  <c:v>17704</c:v>
                </c:pt>
                <c:pt idx="11">
                  <c:v>20314</c:v>
                </c:pt>
                <c:pt idx="12">
                  <c:v>20158</c:v>
                </c:pt>
                <c:pt idx="13">
                  <c:v>21610</c:v>
                </c:pt>
                <c:pt idx="14">
                  <c:v>23938</c:v>
                </c:pt>
                <c:pt idx="15">
                  <c:v>24630</c:v>
                </c:pt>
                <c:pt idx="16">
                  <c:v>26420</c:v>
                </c:pt>
                <c:pt idx="17">
                  <c:v>27238</c:v>
                </c:pt>
                <c:pt idx="18">
                  <c:v>28238</c:v>
                </c:pt>
                <c:pt idx="19">
                  <c:v>31028</c:v>
                </c:pt>
                <c:pt idx="20">
                  <c:v>32836</c:v>
                </c:pt>
                <c:pt idx="21">
                  <c:v>35603</c:v>
                </c:pt>
                <c:pt idx="22">
                  <c:v>36004</c:v>
                </c:pt>
                <c:pt idx="23">
                  <c:v>38097</c:v>
                </c:pt>
                <c:pt idx="24">
                  <c:v>37252</c:v>
                </c:pt>
                <c:pt idx="25">
                  <c:v>40026</c:v>
                </c:pt>
                <c:pt idx="26">
                  <c:v>41788</c:v>
                </c:pt>
                <c:pt idx="27">
                  <c:v>41171</c:v>
                </c:pt>
                <c:pt idx="28">
                  <c:v>39414</c:v>
                </c:pt>
                <c:pt idx="29">
                  <c:v>35510</c:v>
                </c:pt>
                <c:pt idx="30">
                  <c:v>34057</c:v>
                </c:pt>
                <c:pt idx="31">
                  <c:v>33092</c:v>
                </c:pt>
                <c:pt idx="32">
                  <c:v>34013</c:v>
                </c:pt>
                <c:pt idx="33">
                  <c:v>31939</c:v>
                </c:pt>
                <c:pt idx="34">
                  <c:v>27163</c:v>
                </c:pt>
                <c:pt idx="35">
                  <c:v>26273</c:v>
                </c:pt>
                <c:pt idx="36">
                  <c:v>23513</c:v>
                </c:pt>
                <c:pt idx="37">
                  <c:v>23266</c:v>
                </c:pt>
                <c:pt idx="38">
                  <c:v>21478</c:v>
                </c:pt>
                <c:pt idx="39">
                  <c:v>19883</c:v>
                </c:pt>
                <c:pt idx="40">
                  <c:v>18362</c:v>
                </c:pt>
                <c:pt idx="41">
                  <c:v>15639</c:v>
                </c:pt>
                <c:pt idx="42">
                  <c:v>13988</c:v>
                </c:pt>
                <c:pt idx="43">
                  <c:v>11129</c:v>
                </c:pt>
                <c:pt idx="44">
                  <c:v>7965</c:v>
                </c:pt>
                <c:pt idx="45">
                  <c:v>7875</c:v>
                </c:pt>
                <c:pt idx="46">
                  <c:v>7997</c:v>
                </c:pt>
                <c:pt idx="47">
                  <c:v>8061</c:v>
                </c:pt>
                <c:pt idx="48">
                  <c:v>10698</c:v>
                </c:pt>
                <c:pt idx="49">
                  <c:v>12985</c:v>
                </c:pt>
                <c:pt idx="50">
                  <c:v>13333</c:v>
                </c:pt>
                <c:pt idx="51">
                  <c:v>15302</c:v>
                </c:pt>
                <c:pt idx="52">
                  <c:v>19295</c:v>
                </c:pt>
                <c:pt idx="53">
                  <c:v>20146</c:v>
                </c:pt>
                <c:pt idx="54">
                  <c:v>26176</c:v>
                </c:pt>
                <c:pt idx="55">
                  <c:v>26033</c:v>
                </c:pt>
                <c:pt idx="56">
                  <c:v>25692</c:v>
                </c:pt>
                <c:pt idx="57">
                  <c:v>26524</c:v>
                </c:pt>
                <c:pt idx="58">
                  <c:v>23432</c:v>
                </c:pt>
                <c:pt idx="59">
                  <c:v>24642</c:v>
                </c:pt>
                <c:pt idx="60">
                  <c:v>21078</c:v>
                </c:pt>
                <c:pt idx="61">
                  <c:v>18877</c:v>
                </c:pt>
                <c:pt idx="62">
                  <c:v>17217</c:v>
                </c:pt>
                <c:pt idx="63">
                  <c:v>18699</c:v>
                </c:pt>
                <c:pt idx="64">
                  <c:v>19313</c:v>
                </c:pt>
                <c:pt idx="65">
                  <c:v>20473</c:v>
                </c:pt>
                <c:pt idx="66">
                  <c:v>23548</c:v>
                </c:pt>
                <c:pt idx="67">
                  <c:v>23887</c:v>
                </c:pt>
                <c:pt idx="68">
                  <c:v>24691</c:v>
                </c:pt>
                <c:pt idx="69">
                  <c:v>25482</c:v>
                </c:pt>
                <c:pt idx="70">
                  <c:v>24846</c:v>
                </c:pt>
                <c:pt idx="71">
                  <c:v>26298</c:v>
                </c:pt>
                <c:pt idx="72">
                  <c:v>26982</c:v>
                </c:pt>
                <c:pt idx="73">
                  <c:v>28182</c:v>
                </c:pt>
                <c:pt idx="74">
                  <c:v>29463</c:v>
                </c:pt>
                <c:pt idx="75">
                  <c:v>34108</c:v>
                </c:pt>
                <c:pt idx="76">
                  <c:v>35336</c:v>
                </c:pt>
                <c:pt idx="77">
                  <c:v>30351</c:v>
                </c:pt>
                <c:pt idx="78">
                  <c:v>29562</c:v>
                </c:pt>
                <c:pt idx="79">
                  <c:v>22579</c:v>
                </c:pt>
                <c:pt idx="80">
                  <c:v>20252</c:v>
                </c:pt>
                <c:pt idx="81">
                  <c:v>22637</c:v>
                </c:pt>
                <c:pt idx="82">
                  <c:v>23629</c:v>
                </c:pt>
                <c:pt idx="83">
                  <c:v>25403</c:v>
                </c:pt>
                <c:pt idx="84">
                  <c:v>26777</c:v>
                </c:pt>
                <c:pt idx="85">
                  <c:v>27740</c:v>
                </c:pt>
                <c:pt idx="86">
                  <c:v>26569</c:v>
                </c:pt>
                <c:pt idx="87">
                  <c:v>25618</c:v>
                </c:pt>
                <c:pt idx="88">
                  <c:v>25020</c:v>
                </c:pt>
                <c:pt idx="89">
                  <c:v>26805</c:v>
                </c:pt>
                <c:pt idx="90">
                  <c:v>27808</c:v>
                </c:pt>
                <c:pt idx="91">
                  <c:v>31550</c:v>
                </c:pt>
                <c:pt idx="92">
                  <c:v>32292</c:v>
                </c:pt>
                <c:pt idx="93">
                  <c:v>33355</c:v>
                </c:pt>
                <c:pt idx="94">
                  <c:v>35809</c:v>
                </c:pt>
                <c:pt idx="95">
                  <c:v>37796</c:v>
                </c:pt>
                <c:pt idx="96">
                  <c:v>39561</c:v>
                </c:pt>
                <c:pt idx="97">
                  <c:v>44459</c:v>
                </c:pt>
                <c:pt idx="98">
                  <c:v>48578</c:v>
                </c:pt>
                <c:pt idx="99">
                  <c:v>55154</c:v>
                </c:pt>
                <c:pt idx="100">
                  <c:v>62539</c:v>
                </c:pt>
                <c:pt idx="101">
                  <c:v>65195</c:v>
                </c:pt>
                <c:pt idx="102">
                  <c:v>66472</c:v>
                </c:pt>
                <c:pt idx="103">
                  <c:v>69357</c:v>
                </c:pt>
                <c:pt idx="104">
                  <c:v>73562</c:v>
                </c:pt>
                <c:pt idx="105">
                  <c:v>78829</c:v>
                </c:pt>
                <c:pt idx="106">
                  <c:v>83225</c:v>
                </c:pt>
                <c:pt idx="107">
                  <c:v>84162</c:v>
                </c:pt>
                <c:pt idx="108">
                  <c:v>83616</c:v>
                </c:pt>
                <c:pt idx="109">
                  <c:v>79838</c:v>
                </c:pt>
                <c:pt idx="110">
                  <c:v>72087</c:v>
                </c:pt>
                <c:pt idx="111">
                  <c:v>62447</c:v>
                </c:pt>
                <c:pt idx="112">
                  <c:v>53679</c:v>
                </c:pt>
                <c:pt idx="113">
                  <c:v>44950</c:v>
                </c:pt>
                <c:pt idx="114">
                  <c:v>43214</c:v>
                </c:pt>
                <c:pt idx="115">
                  <c:v>42670</c:v>
                </c:pt>
                <c:pt idx="116">
                  <c:v>44631</c:v>
                </c:pt>
                <c:pt idx="117">
                  <c:v>47597</c:v>
                </c:pt>
                <c:pt idx="118">
                  <c:v>50311</c:v>
                </c:pt>
                <c:pt idx="119">
                  <c:v>53028</c:v>
                </c:pt>
                <c:pt idx="120">
                  <c:v>54415</c:v>
                </c:pt>
                <c:pt idx="121">
                  <c:v>55867</c:v>
                </c:pt>
                <c:pt idx="122">
                  <c:v>55734</c:v>
                </c:pt>
                <c:pt idx="123">
                  <c:v>55562</c:v>
                </c:pt>
                <c:pt idx="124">
                  <c:v>55627</c:v>
                </c:pt>
                <c:pt idx="125">
                  <c:v>57093</c:v>
                </c:pt>
                <c:pt idx="126">
                  <c:v>57125</c:v>
                </c:pt>
                <c:pt idx="127">
                  <c:v>58304</c:v>
                </c:pt>
                <c:pt idx="128">
                  <c:v>56563</c:v>
                </c:pt>
                <c:pt idx="129">
                  <c:v>57057</c:v>
                </c:pt>
                <c:pt idx="130">
                  <c:v>56764</c:v>
                </c:pt>
                <c:pt idx="131">
                  <c:v>57467</c:v>
                </c:pt>
                <c:pt idx="132">
                  <c:v>57513</c:v>
                </c:pt>
                <c:pt idx="133">
                  <c:v>58277</c:v>
                </c:pt>
                <c:pt idx="134">
                  <c:v>60532</c:v>
                </c:pt>
              </c:numCache>
            </c:numRef>
          </c:val>
          <c:smooth val="0"/>
        </c:ser>
        <c:ser>
          <c:idx val="2"/>
          <c:order val="2"/>
          <c:tx>
            <c:strRef>
              <c:f>Sheet4!$I$5</c:f>
              <c:strCache>
                <c:ptCount val="1"/>
                <c:pt idx="0">
                  <c:v>Net Interstate Migration</c:v>
                </c:pt>
              </c:strCache>
            </c:strRef>
          </c:tx>
          <c:spPr>
            <a:ln w="28575" cap="rnd">
              <a:solidFill>
                <a:schemeClr val="accent6"/>
              </a:solidFill>
              <a:round/>
            </a:ln>
            <a:effectLst/>
          </c:spPr>
          <c:marker>
            <c:symbol val="none"/>
          </c:marker>
          <c:cat>
            <c:numRef>
              <c:f>Sheet4!$F$6:$F$140</c:f>
              <c:numCache>
                <c:formatCode>mmm\-yyyy</c:formatCode>
                <c:ptCount val="135"/>
                <c:pt idx="0">
                  <c:v>30103</c:v>
                </c:pt>
                <c:pt idx="1">
                  <c:v>30195</c:v>
                </c:pt>
                <c:pt idx="2">
                  <c:v>30286</c:v>
                </c:pt>
                <c:pt idx="3">
                  <c:v>30376</c:v>
                </c:pt>
                <c:pt idx="4">
                  <c:v>30468</c:v>
                </c:pt>
                <c:pt idx="5">
                  <c:v>30560</c:v>
                </c:pt>
                <c:pt idx="6">
                  <c:v>30651</c:v>
                </c:pt>
                <c:pt idx="7">
                  <c:v>30742</c:v>
                </c:pt>
                <c:pt idx="8">
                  <c:v>30834</c:v>
                </c:pt>
                <c:pt idx="9">
                  <c:v>30926</c:v>
                </c:pt>
                <c:pt idx="10">
                  <c:v>31017</c:v>
                </c:pt>
                <c:pt idx="11">
                  <c:v>31107</c:v>
                </c:pt>
                <c:pt idx="12">
                  <c:v>31199</c:v>
                </c:pt>
                <c:pt idx="13">
                  <c:v>31291</c:v>
                </c:pt>
                <c:pt idx="14">
                  <c:v>31382</c:v>
                </c:pt>
                <c:pt idx="15">
                  <c:v>31472</c:v>
                </c:pt>
                <c:pt idx="16">
                  <c:v>31564</c:v>
                </c:pt>
                <c:pt idx="17">
                  <c:v>31656</c:v>
                </c:pt>
                <c:pt idx="18">
                  <c:v>31747</c:v>
                </c:pt>
                <c:pt idx="19">
                  <c:v>31837</c:v>
                </c:pt>
                <c:pt idx="20">
                  <c:v>31929</c:v>
                </c:pt>
                <c:pt idx="21">
                  <c:v>32021</c:v>
                </c:pt>
                <c:pt idx="22">
                  <c:v>32112</c:v>
                </c:pt>
                <c:pt idx="23">
                  <c:v>32203</c:v>
                </c:pt>
                <c:pt idx="24">
                  <c:v>32295</c:v>
                </c:pt>
                <c:pt idx="25">
                  <c:v>32387</c:v>
                </c:pt>
                <c:pt idx="26">
                  <c:v>32478</c:v>
                </c:pt>
                <c:pt idx="27">
                  <c:v>32568</c:v>
                </c:pt>
                <c:pt idx="28">
                  <c:v>32660</c:v>
                </c:pt>
                <c:pt idx="29">
                  <c:v>32752</c:v>
                </c:pt>
                <c:pt idx="30">
                  <c:v>32843</c:v>
                </c:pt>
                <c:pt idx="31">
                  <c:v>32933</c:v>
                </c:pt>
                <c:pt idx="32">
                  <c:v>33025</c:v>
                </c:pt>
                <c:pt idx="33">
                  <c:v>33117</c:v>
                </c:pt>
                <c:pt idx="34">
                  <c:v>33208</c:v>
                </c:pt>
                <c:pt idx="35">
                  <c:v>33298</c:v>
                </c:pt>
                <c:pt idx="36">
                  <c:v>33390</c:v>
                </c:pt>
                <c:pt idx="37">
                  <c:v>33482</c:v>
                </c:pt>
                <c:pt idx="38">
                  <c:v>33573</c:v>
                </c:pt>
                <c:pt idx="39">
                  <c:v>33664</c:v>
                </c:pt>
                <c:pt idx="40">
                  <c:v>33756</c:v>
                </c:pt>
                <c:pt idx="41">
                  <c:v>33848</c:v>
                </c:pt>
                <c:pt idx="42">
                  <c:v>33939</c:v>
                </c:pt>
                <c:pt idx="43">
                  <c:v>34029</c:v>
                </c:pt>
                <c:pt idx="44">
                  <c:v>34121</c:v>
                </c:pt>
                <c:pt idx="45">
                  <c:v>34213</c:v>
                </c:pt>
                <c:pt idx="46">
                  <c:v>34304</c:v>
                </c:pt>
                <c:pt idx="47">
                  <c:v>34394</c:v>
                </c:pt>
                <c:pt idx="48">
                  <c:v>34486</c:v>
                </c:pt>
                <c:pt idx="49">
                  <c:v>34578</c:v>
                </c:pt>
                <c:pt idx="50">
                  <c:v>34669</c:v>
                </c:pt>
                <c:pt idx="51">
                  <c:v>34759</c:v>
                </c:pt>
                <c:pt idx="52">
                  <c:v>34851</c:v>
                </c:pt>
                <c:pt idx="53">
                  <c:v>34943</c:v>
                </c:pt>
                <c:pt idx="54">
                  <c:v>35034</c:v>
                </c:pt>
                <c:pt idx="55">
                  <c:v>35125</c:v>
                </c:pt>
                <c:pt idx="56">
                  <c:v>35217</c:v>
                </c:pt>
                <c:pt idx="57">
                  <c:v>35309</c:v>
                </c:pt>
                <c:pt idx="58">
                  <c:v>35400</c:v>
                </c:pt>
                <c:pt idx="59">
                  <c:v>35490</c:v>
                </c:pt>
                <c:pt idx="60">
                  <c:v>35582</c:v>
                </c:pt>
                <c:pt idx="61">
                  <c:v>35674</c:v>
                </c:pt>
                <c:pt idx="62">
                  <c:v>35765</c:v>
                </c:pt>
                <c:pt idx="63">
                  <c:v>35855</c:v>
                </c:pt>
                <c:pt idx="64">
                  <c:v>35947</c:v>
                </c:pt>
                <c:pt idx="65">
                  <c:v>36039</c:v>
                </c:pt>
                <c:pt idx="66">
                  <c:v>36130</c:v>
                </c:pt>
                <c:pt idx="67">
                  <c:v>36220</c:v>
                </c:pt>
                <c:pt idx="68">
                  <c:v>36312</c:v>
                </c:pt>
                <c:pt idx="69">
                  <c:v>36404</c:v>
                </c:pt>
                <c:pt idx="70">
                  <c:v>36495</c:v>
                </c:pt>
                <c:pt idx="71">
                  <c:v>36586</c:v>
                </c:pt>
                <c:pt idx="72">
                  <c:v>36678</c:v>
                </c:pt>
                <c:pt idx="73">
                  <c:v>36770</c:v>
                </c:pt>
                <c:pt idx="74">
                  <c:v>36861</c:v>
                </c:pt>
                <c:pt idx="75">
                  <c:v>36951</c:v>
                </c:pt>
                <c:pt idx="76">
                  <c:v>37043</c:v>
                </c:pt>
                <c:pt idx="77">
                  <c:v>37135</c:v>
                </c:pt>
                <c:pt idx="78">
                  <c:v>37226</c:v>
                </c:pt>
                <c:pt idx="79">
                  <c:v>37316</c:v>
                </c:pt>
                <c:pt idx="80">
                  <c:v>37408</c:v>
                </c:pt>
                <c:pt idx="81">
                  <c:v>37500</c:v>
                </c:pt>
                <c:pt idx="82">
                  <c:v>37591</c:v>
                </c:pt>
                <c:pt idx="83">
                  <c:v>37681</c:v>
                </c:pt>
                <c:pt idx="84">
                  <c:v>37773</c:v>
                </c:pt>
                <c:pt idx="85">
                  <c:v>37865</c:v>
                </c:pt>
                <c:pt idx="86">
                  <c:v>37956</c:v>
                </c:pt>
                <c:pt idx="87">
                  <c:v>38047</c:v>
                </c:pt>
                <c:pt idx="88">
                  <c:v>38139</c:v>
                </c:pt>
                <c:pt idx="89">
                  <c:v>38231</c:v>
                </c:pt>
                <c:pt idx="90">
                  <c:v>38322</c:v>
                </c:pt>
                <c:pt idx="91">
                  <c:v>38412</c:v>
                </c:pt>
                <c:pt idx="92">
                  <c:v>38504</c:v>
                </c:pt>
                <c:pt idx="93">
                  <c:v>38596</c:v>
                </c:pt>
                <c:pt idx="94">
                  <c:v>38687</c:v>
                </c:pt>
                <c:pt idx="95">
                  <c:v>38777</c:v>
                </c:pt>
                <c:pt idx="96">
                  <c:v>38869</c:v>
                </c:pt>
                <c:pt idx="97">
                  <c:v>38961</c:v>
                </c:pt>
                <c:pt idx="98">
                  <c:v>39052</c:v>
                </c:pt>
                <c:pt idx="99">
                  <c:v>39142</c:v>
                </c:pt>
                <c:pt idx="100">
                  <c:v>39234</c:v>
                </c:pt>
                <c:pt idx="101">
                  <c:v>39326</c:v>
                </c:pt>
                <c:pt idx="102">
                  <c:v>39417</c:v>
                </c:pt>
                <c:pt idx="103">
                  <c:v>39508</c:v>
                </c:pt>
                <c:pt idx="104">
                  <c:v>39600</c:v>
                </c:pt>
                <c:pt idx="105">
                  <c:v>39692</c:v>
                </c:pt>
                <c:pt idx="106">
                  <c:v>39783</c:v>
                </c:pt>
                <c:pt idx="107">
                  <c:v>39873</c:v>
                </c:pt>
                <c:pt idx="108">
                  <c:v>39965</c:v>
                </c:pt>
                <c:pt idx="109">
                  <c:v>40057</c:v>
                </c:pt>
                <c:pt idx="110">
                  <c:v>40148</c:v>
                </c:pt>
                <c:pt idx="111">
                  <c:v>40238</c:v>
                </c:pt>
                <c:pt idx="112">
                  <c:v>40330</c:v>
                </c:pt>
                <c:pt idx="113">
                  <c:v>40422</c:v>
                </c:pt>
                <c:pt idx="114">
                  <c:v>40513</c:v>
                </c:pt>
                <c:pt idx="115">
                  <c:v>40603</c:v>
                </c:pt>
                <c:pt idx="116">
                  <c:v>40695</c:v>
                </c:pt>
                <c:pt idx="117">
                  <c:v>40787</c:v>
                </c:pt>
                <c:pt idx="118">
                  <c:v>40878</c:v>
                </c:pt>
                <c:pt idx="119">
                  <c:v>40969</c:v>
                </c:pt>
                <c:pt idx="120">
                  <c:v>41061</c:v>
                </c:pt>
                <c:pt idx="121">
                  <c:v>41153</c:v>
                </c:pt>
                <c:pt idx="122">
                  <c:v>41244</c:v>
                </c:pt>
                <c:pt idx="123">
                  <c:v>41334</c:v>
                </c:pt>
                <c:pt idx="124">
                  <c:v>41426</c:v>
                </c:pt>
                <c:pt idx="125">
                  <c:v>41518</c:v>
                </c:pt>
                <c:pt idx="126">
                  <c:v>41609</c:v>
                </c:pt>
                <c:pt idx="127">
                  <c:v>41699</c:v>
                </c:pt>
                <c:pt idx="128">
                  <c:v>41791</c:v>
                </c:pt>
                <c:pt idx="129">
                  <c:v>41883</c:v>
                </c:pt>
                <c:pt idx="130">
                  <c:v>41974</c:v>
                </c:pt>
                <c:pt idx="131">
                  <c:v>42064</c:v>
                </c:pt>
                <c:pt idx="132">
                  <c:v>42156</c:v>
                </c:pt>
                <c:pt idx="133">
                  <c:v>42248</c:v>
                </c:pt>
                <c:pt idx="134">
                  <c:v>42339</c:v>
                </c:pt>
              </c:numCache>
            </c:numRef>
          </c:cat>
          <c:val>
            <c:numRef>
              <c:f>Sheet4!$I$6:$I$140</c:f>
              <c:numCache>
                <c:formatCode>_-* #,##0_-;\-* #,##0_-;_-* "-"??_-;_-@_-</c:formatCode>
                <c:ptCount val="135"/>
                <c:pt idx="0">
                  <c:v>-14429</c:v>
                </c:pt>
                <c:pt idx="1">
                  <c:v>-11372</c:v>
                </c:pt>
                <c:pt idx="2">
                  <c:v>-8757</c:v>
                </c:pt>
                <c:pt idx="3">
                  <c:v>-6560</c:v>
                </c:pt>
                <c:pt idx="4">
                  <c:v>-5136</c:v>
                </c:pt>
                <c:pt idx="5">
                  <c:v>-4517</c:v>
                </c:pt>
                <c:pt idx="6">
                  <c:v>-3917</c:v>
                </c:pt>
                <c:pt idx="7">
                  <c:v>-2876</c:v>
                </c:pt>
                <c:pt idx="8">
                  <c:v>-3340</c:v>
                </c:pt>
                <c:pt idx="9">
                  <c:v>-3374</c:v>
                </c:pt>
                <c:pt idx="10">
                  <c:v>-3402</c:v>
                </c:pt>
                <c:pt idx="11">
                  <c:v>-5575</c:v>
                </c:pt>
                <c:pt idx="12">
                  <c:v>-5799</c:v>
                </c:pt>
                <c:pt idx="13">
                  <c:v>-7298</c:v>
                </c:pt>
                <c:pt idx="14">
                  <c:v>-10290</c:v>
                </c:pt>
                <c:pt idx="15">
                  <c:v>-11420</c:v>
                </c:pt>
                <c:pt idx="16">
                  <c:v>-13201</c:v>
                </c:pt>
                <c:pt idx="17">
                  <c:v>-13642</c:v>
                </c:pt>
                <c:pt idx="18">
                  <c:v>-13295</c:v>
                </c:pt>
                <c:pt idx="19">
                  <c:v>-13758</c:v>
                </c:pt>
                <c:pt idx="20">
                  <c:v>-13105</c:v>
                </c:pt>
                <c:pt idx="21">
                  <c:v>-13281</c:v>
                </c:pt>
                <c:pt idx="22">
                  <c:v>-13865</c:v>
                </c:pt>
                <c:pt idx="23">
                  <c:v>-14767</c:v>
                </c:pt>
                <c:pt idx="24">
                  <c:v>-14423</c:v>
                </c:pt>
                <c:pt idx="25">
                  <c:v>-13128</c:v>
                </c:pt>
                <c:pt idx="26">
                  <c:v>-11899</c:v>
                </c:pt>
                <c:pt idx="27">
                  <c:v>-12201</c:v>
                </c:pt>
                <c:pt idx="28">
                  <c:v>-12504</c:v>
                </c:pt>
                <c:pt idx="29">
                  <c:v>-12768</c:v>
                </c:pt>
                <c:pt idx="30">
                  <c:v>-11567</c:v>
                </c:pt>
                <c:pt idx="31">
                  <c:v>-9581</c:v>
                </c:pt>
                <c:pt idx="32">
                  <c:v>-7829</c:v>
                </c:pt>
                <c:pt idx="33">
                  <c:v>-7811</c:v>
                </c:pt>
                <c:pt idx="34">
                  <c:v>-9053</c:v>
                </c:pt>
                <c:pt idx="35">
                  <c:v>-11249</c:v>
                </c:pt>
                <c:pt idx="36">
                  <c:v>-14853</c:v>
                </c:pt>
                <c:pt idx="37">
                  <c:v>-17157</c:v>
                </c:pt>
                <c:pt idx="38">
                  <c:v>-18455</c:v>
                </c:pt>
                <c:pt idx="39">
                  <c:v>-19074</c:v>
                </c:pt>
                <c:pt idx="40">
                  <c:v>-18427</c:v>
                </c:pt>
                <c:pt idx="41">
                  <c:v>-20397</c:v>
                </c:pt>
                <c:pt idx="42">
                  <c:v>-21011</c:v>
                </c:pt>
                <c:pt idx="43">
                  <c:v>-22795</c:v>
                </c:pt>
                <c:pt idx="44">
                  <c:v>-25388</c:v>
                </c:pt>
                <c:pt idx="45">
                  <c:v>-27365</c:v>
                </c:pt>
                <c:pt idx="46">
                  <c:v>-28718</c:v>
                </c:pt>
                <c:pt idx="47">
                  <c:v>-29523</c:v>
                </c:pt>
                <c:pt idx="48">
                  <c:v>-29195</c:v>
                </c:pt>
                <c:pt idx="49">
                  <c:v>-26316</c:v>
                </c:pt>
                <c:pt idx="50">
                  <c:v>-24750</c:v>
                </c:pt>
                <c:pt idx="51">
                  <c:v>-22564</c:v>
                </c:pt>
                <c:pt idx="52">
                  <c:v>-22020</c:v>
                </c:pt>
                <c:pt idx="53">
                  <c:v>-20414</c:v>
                </c:pt>
                <c:pt idx="54">
                  <c:v>-18205</c:v>
                </c:pt>
                <c:pt idx="55">
                  <c:v>-15051</c:v>
                </c:pt>
                <c:pt idx="56">
                  <c:v>-12800</c:v>
                </c:pt>
                <c:pt idx="57">
                  <c:v>-11318</c:v>
                </c:pt>
                <c:pt idx="58">
                  <c:v>-9981</c:v>
                </c:pt>
                <c:pt idx="59">
                  <c:v>-7462</c:v>
                </c:pt>
                <c:pt idx="60">
                  <c:v>-6195</c:v>
                </c:pt>
                <c:pt idx="61">
                  <c:v>-4128</c:v>
                </c:pt>
                <c:pt idx="62">
                  <c:v>-2641</c:v>
                </c:pt>
                <c:pt idx="63">
                  <c:v>-1840</c:v>
                </c:pt>
                <c:pt idx="64">
                  <c:v>-270</c:v>
                </c:pt>
                <c:pt idx="65">
                  <c:v>-158</c:v>
                </c:pt>
                <c:pt idx="66">
                  <c:v>1394</c:v>
                </c:pt>
                <c:pt idx="67">
                  <c:v>1803</c:v>
                </c:pt>
                <c:pt idx="68">
                  <c:v>2527</c:v>
                </c:pt>
                <c:pt idx="69">
                  <c:v>3643</c:v>
                </c:pt>
                <c:pt idx="70">
                  <c:v>3883</c:v>
                </c:pt>
                <c:pt idx="71">
                  <c:v>4886</c:v>
                </c:pt>
                <c:pt idx="72">
                  <c:v>5219</c:v>
                </c:pt>
                <c:pt idx="73">
                  <c:v>5756</c:v>
                </c:pt>
                <c:pt idx="74">
                  <c:v>4920</c:v>
                </c:pt>
                <c:pt idx="75">
                  <c:v>5377</c:v>
                </c:pt>
                <c:pt idx="76">
                  <c:v>5163</c:v>
                </c:pt>
                <c:pt idx="77">
                  <c:v>4957</c:v>
                </c:pt>
                <c:pt idx="78">
                  <c:v>5104</c:v>
                </c:pt>
                <c:pt idx="79">
                  <c:v>4914</c:v>
                </c:pt>
                <c:pt idx="80">
                  <c:v>3609</c:v>
                </c:pt>
                <c:pt idx="81">
                  <c:v>2100</c:v>
                </c:pt>
                <c:pt idx="82">
                  <c:v>1144</c:v>
                </c:pt>
                <c:pt idx="83">
                  <c:v>-135</c:v>
                </c:pt>
                <c:pt idx="84">
                  <c:v>-743</c:v>
                </c:pt>
                <c:pt idx="85">
                  <c:v>-729</c:v>
                </c:pt>
                <c:pt idx="86">
                  <c:v>-2221</c:v>
                </c:pt>
                <c:pt idx="87">
                  <c:v>-3103</c:v>
                </c:pt>
                <c:pt idx="88">
                  <c:v>-3051</c:v>
                </c:pt>
                <c:pt idx="89">
                  <c:v>-3248</c:v>
                </c:pt>
                <c:pt idx="90">
                  <c:v>-2583</c:v>
                </c:pt>
                <c:pt idx="91">
                  <c:v>-3128</c:v>
                </c:pt>
                <c:pt idx="92">
                  <c:v>-3070</c:v>
                </c:pt>
                <c:pt idx="93">
                  <c:v>-3431</c:v>
                </c:pt>
                <c:pt idx="94">
                  <c:v>-3571</c:v>
                </c:pt>
                <c:pt idx="95">
                  <c:v>-2363</c:v>
                </c:pt>
                <c:pt idx="96">
                  <c:v>-1831</c:v>
                </c:pt>
                <c:pt idx="97">
                  <c:v>-1001</c:v>
                </c:pt>
                <c:pt idx="98">
                  <c:v>-613</c:v>
                </c:pt>
                <c:pt idx="99">
                  <c:v>-1467</c:v>
                </c:pt>
                <c:pt idx="100">
                  <c:v>-1617</c:v>
                </c:pt>
                <c:pt idx="101">
                  <c:v>-1562</c:v>
                </c:pt>
                <c:pt idx="102">
                  <c:v>-2558</c:v>
                </c:pt>
                <c:pt idx="103">
                  <c:v>-1884</c:v>
                </c:pt>
                <c:pt idx="104">
                  <c:v>-1924</c:v>
                </c:pt>
                <c:pt idx="105">
                  <c:v>-1638</c:v>
                </c:pt>
                <c:pt idx="106">
                  <c:v>-225</c:v>
                </c:pt>
                <c:pt idx="107">
                  <c:v>529</c:v>
                </c:pt>
                <c:pt idx="108">
                  <c:v>1523</c:v>
                </c:pt>
                <c:pt idx="109">
                  <c:v>1804</c:v>
                </c:pt>
                <c:pt idx="110">
                  <c:v>2592</c:v>
                </c:pt>
                <c:pt idx="111">
                  <c:v>2777</c:v>
                </c:pt>
                <c:pt idx="112">
                  <c:v>3314</c:v>
                </c:pt>
                <c:pt idx="113">
                  <c:v>3229</c:v>
                </c:pt>
                <c:pt idx="114">
                  <c:v>3131</c:v>
                </c:pt>
                <c:pt idx="115">
                  <c:v>3401</c:v>
                </c:pt>
                <c:pt idx="116">
                  <c:v>3534</c:v>
                </c:pt>
                <c:pt idx="117">
                  <c:v>3544</c:v>
                </c:pt>
                <c:pt idx="118">
                  <c:v>3372</c:v>
                </c:pt>
                <c:pt idx="119">
                  <c:v>2555</c:v>
                </c:pt>
                <c:pt idx="120">
                  <c:v>1439</c:v>
                </c:pt>
                <c:pt idx="121">
                  <c:v>1483</c:v>
                </c:pt>
                <c:pt idx="122">
                  <c:v>2335</c:v>
                </c:pt>
                <c:pt idx="123">
                  <c:v>3454</c:v>
                </c:pt>
                <c:pt idx="124">
                  <c:v>5443</c:v>
                </c:pt>
                <c:pt idx="125">
                  <c:v>6903</c:v>
                </c:pt>
                <c:pt idx="126">
                  <c:v>7528</c:v>
                </c:pt>
                <c:pt idx="127">
                  <c:v>8367</c:v>
                </c:pt>
                <c:pt idx="128">
                  <c:v>8783</c:v>
                </c:pt>
                <c:pt idx="129">
                  <c:v>8455</c:v>
                </c:pt>
                <c:pt idx="130">
                  <c:v>9336</c:v>
                </c:pt>
                <c:pt idx="131">
                  <c:v>9774</c:v>
                </c:pt>
                <c:pt idx="132">
                  <c:v>10190</c:v>
                </c:pt>
                <c:pt idx="133">
                  <c:v>11187</c:v>
                </c:pt>
                <c:pt idx="134">
                  <c:v>13049</c:v>
                </c:pt>
              </c:numCache>
            </c:numRef>
          </c:val>
          <c:smooth val="0"/>
        </c:ser>
        <c:ser>
          <c:idx val="3"/>
          <c:order val="3"/>
          <c:tx>
            <c:strRef>
              <c:f>Sheet4!$J$5</c:f>
              <c:strCache>
                <c:ptCount val="1"/>
                <c:pt idx="0">
                  <c:v>Total Population Change</c:v>
                </c:pt>
              </c:strCache>
            </c:strRef>
          </c:tx>
          <c:spPr>
            <a:ln w="28575" cap="rnd">
              <a:solidFill>
                <a:schemeClr val="accent2">
                  <a:lumMod val="50000"/>
                </a:schemeClr>
              </a:solidFill>
              <a:round/>
            </a:ln>
            <a:effectLst/>
          </c:spPr>
          <c:marker>
            <c:symbol val="none"/>
          </c:marker>
          <c:cat>
            <c:numRef>
              <c:f>Sheet4!$F$6:$F$140</c:f>
              <c:numCache>
                <c:formatCode>mmm\-yyyy</c:formatCode>
                <c:ptCount val="135"/>
                <c:pt idx="0">
                  <c:v>30103</c:v>
                </c:pt>
                <c:pt idx="1">
                  <c:v>30195</c:v>
                </c:pt>
                <c:pt idx="2">
                  <c:v>30286</c:v>
                </c:pt>
                <c:pt idx="3">
                  <c:v>30376</c:v>
                </c:pt>
                <c:pt idx="4">
                  <c:v>30468</c:v>
                </c:pt>
                <c:pt idx="5">
                  <c:v>30560</c:v>
                </c:pt>
                <c:pt idx="6">
                  <c:v>30651</c:v>
                </c:pt>
                <c:pt idx="7">
                  <c:v>30742</c:v>
                </c:pt>
                <c:pt idx="8">
                  <c:v>30834</c:v>
                </c:pt>
                <c:pt idx="9">
                  <c:v>30926</c:v>
                </c:pt>
                <c:pt idx="10">
                  <c:v>31017</c:v>
                </c:pt>
                <c:pt idx="11">
                  <c:v>31107</c:v>
                </c:pt>
                <c:pt idx="12">
                  <c:v>31199</c:v>
                </c:pt>
                <c:pt idx="13">
                  <c:v>31291</c:v>
                </c:pt>
                <c:pt idx="14">
                  <c:v>31382</c:v>
                </c:pt>
                <c:pt idx="15">
                  <c:v>31472</c:v>
                </c:pt>
                <c:pt idx="16">
                  <c:v>31564</c:v>
                </c:pt>
                <c:pt idx="17">
                  <c:v>31656</c:v>
                </c:pt>
                <c:pt idx="18">
                  <c:v>31747</c:v>
                </c:pt>
                <c:pt idx="19">
                  <c:v>31837</c:v>
                </c:pt>
                <c:pt idx="20">
                  <c:v>31929</c:v>
                </c:pt>
                <c:pt idx="21">
                  <c:v>32021</c:v>
                </c:pt>
                <c:pt idx="22">
                  <c:v>32112</c:v>
                </c:pt>
                <c:pt idx="23">
                  <c:v>32203</c:v>
                </c:pt>
                <c:pt idx="24">
                  <c:v>32295</c:v>
                </c:pt>
                <c:pt idx="25">
                  <c:v>32387</c:v>
                </c:pt>
                <c:pt idx="26">
                  <c:v>32478</c:v>
                </c:pt>
                <c:pt idx="27">
                  <c:v>32568</c:v>
                </c:pt>
                <c:pt idx="28">
                  <c:v>32660</c:v>
                </c:pt>
                <c:pt idx="29">
                  <c:v>32752</c:v>
                </c:pt>
                <c:pt idx="30">
                  <c:v>32843</c:v>
                </c:pt>
                <c:pt idx="31">
                  <c:v>32933</c:v>
                </c:pt>
                <c:pt idx="32">
                  <c:v>33025</c:v>
                </c:pt>
                <c:pt idx="33">
                  <c:v>33117</c:v>
                </c:pt>
                <c:pt idx="34">
                  <c:v>33208</c:v>
                </c:pt>
                <c:pt idx="35">
                  <c:v>33298</c:v>
                </c:pt>
                <c:pt idx="36">
                  <c:v>33390</c:v>
                </c:pt>
                <c:pt idx="37">
                  <c:v>33482</c:v>
                </c:pt>
                <c:pt idx="38">
                  <c:v>33573</c:v>
                </c:pt>
                <c:pt idx="39">
                  <c:v>33664</c:v>
                </c:pt>
                <c:pt idx="40">
                  <c:v>33756</c:v>
                </c:pt>
                <c:pt idx="41">
                  <c:v>33848</c:v>
                </c:pt>
                <c:pt idx="42">
                  <c:v>33939</c:v>
                </c:pt>
                <c:pt idx="43">
                  <c:v>34029</c:v>
                </c:pt>
                <c:pt idx="44">
                  <c:v>34121</c:v>
                </c:pt>
                <c:pt idx="45">
                  <c:v>34213</c:v>
                </c:pt>
                <c:pt idx="46">
                  <c:v>34304</c:v>
                </c:pt>
                <c:pt idx="47">
                  <c:v>34394</c:v>
                </c:pt>
                <c:pt idx="48">
                  <c:v>34486</c:v>
                </c:pt>
                <c:pt idx="49">
                  <c:v>34578</c:v>
                </c:pt>
                <c:pt idx="50">
                  <c:v>34669</c:v>
                </c:pt>
                <c:pt idx="51">
                  <c:v>34759</c:v>
                </c:pt>
                <c:pt idx="52">
                  <c:v>34851</c:v>
                </c:pt>
                <c:pt idx="53">
                  <c:v>34943</c:v>
                </c:pt>
                <c:pt idx="54">
                  <c:v>35034</c:v>
                </c:pt>
                <c:pt idx="55">
                  <c:v>35125</c:v>
                </c:pt>
                <c:pt idx="56">
                  <c:v>35217</c:v>
                </c:pt>
                <c:pt idx="57">
                  <c:v>35309</c:v>
                </c:pt>
                <c:pt idx="58">
                  <c:v>35400</c:v>
                </c:pt>
                <c:pt idx="59">
                  <c:v>35490</c:v>
                </c:pt>
                <c:pt idx="60">
                  <c:v>35582</c:v>
                </c:pt>
                <c:pt idx="61">
                  <c:v>35674</c:v>
                </c:pt>
                <c:pt idx="62">
                  <c:v>35765</c:v>
                </c:pt>
                <c:pt idx="63">
                  <c:v>35855</c:v>
                </c:pt>
                <c:pt idx="64">
                  <c:v>35947</c:v>
                </c:pt>
                <c:pt idx="65">
                  <c:v>36039</c:v>
                </c:pt>
                <c:pt idx="66">
                  <c:v>36130</c:v>
                </c:pt>
                <c:pt idx="67">
                  <c:v>36220</c:v>
                </c:pt>
                <c:pt idx="68">
                  <c:v>36312</c:v>
                </c:pt>
                <c:pt idx="69">
                  <c:v>36404</c:v>
                </c:pt>
                <c:pt idx="70">
                  <c:v>36495</c:v>
                </c:pt>
                <c:pt idx="71">
                  <c:v>36586</c:v>
                </c:pt>
                <c:pt idx="72">
                  <c:v>36678</c:v>
                </c:pt>
                <c:pt idx="73">
                  <c:v>36770</c:v>
                </c:pt>
                <c:pt idx="74">
                  <c:v>36861</c:v>
                </c:pt>
                <c:pt idx="75">
                  <c:v>36951</c:v>
                </c:pt>
                <c:pt idx="76">
                  <c:v>37043</c:v>
                </c:pt>
                <c:pt idx="77">
                  <c:v>37135</c:v>
                </c:pt>
                <c:pt idx="78">
                  <c:v>37226</c:v>
                </c:pt>
                <c:pt idx="79">
                  <c:v>37316</c:v>
                </c:pt>
                <c:pt idx="80">
                  <c:v>37408</c:v>
                </c:pt>
                <c:pt idx="81">
                  <c:v>37500</c:v>
                </c:pt>
                <c:pt idx="82">
                  <c:v>37591</c:v>
                </c:pt>
                <c:pt idx="83">
                  <c:v>37681</c:v>
                </c:pt>
                <c:pt idx="84">
                  <c:v>37773</c:v>
                </c:pt>
                <c:pt idx="85">
                  <c:v>37865</c:v>
                </c:pt>
                <c:pt idx="86">
                  <c:v>37956</c:v>
                </c:pt>
                <c:pt idx="87">
                  <c:v>38047</c:v>
                </c:pt>
                <c:pt idx="88">
                  <c:v>38139</c:v>
                </c:pt>
                <c:pt idx="89">
                  <c:v>38231</c:v>
                </c:pt>
                <c:pt idx="90">
                  <c:v>38322</c:v>
                </c:pt>
                <c:pt idx="91">
                  <c:v>38412</c:v>
                </c:pt>
                <c:pt idx="92">
                  <c:v>38504</c:v>
                </c:pt>
                <c:pt idx="93">
                  <c:v>38596</c:v>
                </c:pt>
                <c:pt idx="94">
                  <c:v>38687</c:v>
                </c:pt>
                <c:pt idx="95">
                  <c:v>38777</c:v>
                </c:pt>
                <c:pt idx="96">
                  <c:v>38869</c:v>
                </c:pt>
                <c:pt idx="97">
                  <c:v>38961</c:v>
                </c:pt>
                <c:pt idx="98">
                  <c:v>39052</c:v>
                </c:pt>
                <c:pt idx="99">
                  <c:v>39142</c:v>
                </c:pt>
                <c:pt idx="100">
                  <c:v>39234</c:v>
                </c:pt>
                <c:pt idx="101">
                  <c:v>39326</c:v>
                </c:pt>
                <c:pt idx="102">
                  <c:v>39417</c:v>
                </c:pt>
                <c:pt idx="103">
                  <c:v>39508</c:v>
                </c:pt>
                <c:pt idx="104">
                  <c:v>39600</c:v>
                </c:pt>
                <c:pt idx="105">
                  <c:v>39692</c:v>
                </c:pt>
                <c:pt idx="106">
                  <c:v>39783</c:v>
                </c:pt>
                <c:pt idx="107">
                  <c:v>39873</c:v>
                </c:pt>
                <c:pt idx="108">
                  <c:v>39965</c:v>
                </c:pt>
                <c:pt idx="109">
                  <c:v>40057</c:v>
                </c:pt>
                <c:pt idx="110">
                  <c:v>40148</c:v>
                </c:pt>
                <c:pt idx="111">
                  <c:v>40238</c:v>
                </c:pt>
                <c:pt idx="112">
                  <c:v>40330</c:v>
                </c:pt>
                <c:pt idx="113">
                  <c:v>40422</c:v>
                </c:pt>
                <c:pt idx="114">
                  <c:v>40513</c:v>
                </c:pt>
                <c:pt idx="115">
                  <c:v>40603</c:v>
                </c:pt>
                <c:pt idx="116">
                  <c:v>40695</c:v>
                </c:pt>
                <c:pt idx="117">
                  <c:v>40787</c:v>
                </c:pt>
                <c:pt idx="118">
                  <c:v>40878</c:v>
                </c:pt>
                <c:pt idx="119">
                  <c:v>40969</c:v>
                </c:pt>
                <c:pt idx="120">
                  <c:v>41061</c:v>
                </c:pt>
                <c:pt idx="121">
                  <c:v>41153</c:v>
                </c:pt>
                <c:pt idx="122">
                  <c:v>41244</c:v>
                </c:pt>
                <c:pt idx="123">
                  <c:v>41334</c:v>
                </c:pt>
                <c:pt idx="124">
                  <c:v>41426</c:v>
                </c:pt>
                <c:pt idx="125">
                  <c:v>41518</c:v>
                </c:pt>
                <c:pt idx="126">
                  <c:v>41609</c:v>
                </c:pt>
                <c:pt idx="127">
                  <c:v>41699</c:v>
                </c:pt>
                <c:pt idx="128">
                  <c:v>41791</c:v>
                </c:pt>
                <c:pt idx="129">
                  <c:v>41883</c:v>
                </c:pt>
                <c:pt idx="130">
                  <c:v>41974</c:v>
                </c:pt>
                <c:pt idx="131">
                  <c:v>42064</c:v>
                </c:pt>
                <c:pt idx="132">
                  <c:v>42156</c:v>
                </c:pt>
                <c:pt idx="133">
                  <c:v>42248</c:v>
                </c:pt>
                <c:pt idx="134">
                  <c:v>42339</c:v>
                </c:pt>
              </c:numCache>
            </c:numRef>
          </c:cat>
          <c:val>
            <c:numRef>
              <c:f>Sheet4!$J$6:$J$140</c:f>
              <c:numCache>
                <c:formatCode>_-* #,##0_-;\-* #,##0_-;_-* "-"??_-;_-@_-</c:formatCode>
                <c:ptCount val="135"/>
                <c:pt idx="0">
                  <c:v>45953</c:v>
                </c:pt>
                <c:pt idx="1">
                  <c:v>45398</c:v>
                </c:pt>
                <c:pt idx="2">
                  <c:v>44289</c:v>
                </c:pt>
                <c:pt idx="3">
                  <c:v>44428</c:v>
                </c:pt>
                <c:pt idx="4">
                  <c:v>42832</c:v>
                </c:pt>
                <c:pt idx="5">
                  <c:v>42454</c:v>
                </c:pt>
                <c:pt idx="6">
                  <c:v>41811</c:v>
                </c:pt>
                <c:pt idx="7">
                  <c:v>40955</c:v>
                </c:pt>
                <c:pt idx="8">
                  <c:v>40790</c:v>
                </c:pt>
                <c:pt idx="9">
                  <c:v>41364</c:v>
                </c:pt>
                <c:pt idx="10">
                  <c:v>43142</c:v>
                </c:pt>
                <c:pt idx="11">
                  <c:v>43532</c:v>
                </c:pt>
                <c:pt idx="12">
                  <c:v>43576</c:v>
                </c:pt>
                <c:pt idx="13">
                  <c:v>43247</c:v>
                </c:pt>
                <c:pt idx="14">
                  <c:v>42781</c:v>
                </c:pt>
                <c:pt idx="15">
                  <c:v>41312</c:v>
                </c:pt>
                <c:pt idx="16">
                  <c:v>40788</c:v>
                </c:pt>
                <c:pt idx="17">
                  <c:v>42146</c:v>
                </c:pt>
                <c:pt idx="18">
                  <c:v>43421</c:v>
                </c:pt>
                <c:pt idx="19">
                  <c:v>46361</c:v>
                </c:pt>
                <c:pt idx="20">
                  <c:v>49255</c:v>
                </c:pt>
                <c:pt idx="21">
                  <c:v>51765</c:v>
                </c:pt>
                <c:pt idx="22">
                  <c:v>51103</c:v>
                </c:pt>
                <c:pt idx="23">
                  <c:v>52571</c:v>
                </c:pt>
                <c:pt idx="24">
                  <c:v>52458</c:v>
                </c:pt>
                <c:pt idx="25">
                  <c:v>56669</c:v>
                </c:pt>
                <c:pt idx="26">
                  <c:v>60355</c:v>
                </c:pt>
                <c:pt idx="27">
                  <c:v>59993</c:v>
                </c:pt>
                <c:pt idx="28">
                  <c:v>57595</c:v>
                </c:pt>
                <c:pt idx="29">
                  <c:v>53161</c:v>
                </c:pt>
                <c:pt idx="30">
                  <c:v>52925</c:v>
                </c:pt>
                <c:pt idx="31">
                  <c:v>54570</c:v>
                </c:pt>
                <c:pt idx="32">
                  <c:v>58428</c:v>
                </c:pt>
                <c:pt idx="33">
                  <c:v>57646</c:v>
                </c:pt>
                <c:pt idx="34">
                  <c:v>52482</c:v>
                </c:pt>
                <c:pt idx="35">
                  <c:v>48862</c:v>
                </c:pt>
                <c:pt idx="36">
                  <c:v>41781</c:v>
                </c:pt>
                <c:pt idx="37">
                  <c:v>38226</c:v>
                </c:pt>
                <c:pt idx="38">
                  <c:v>34376</c:v>
                </c:pt>
                <c:pt idx="39">
                  <c:v>31731</c:v>
                </c:pt>
                <c:pt idx="40">
                  <c:v>29844</c:v>
                </c:pt>
                <c:pt idx="41">
                  <c:v>25427</c:v>
                </c:pt>
                <c:pt idx="42">
                  <c:v>23136</c:v>
                </c:pt>
                <c:pt idx="43">
                  <c:v>18124</c:v>
                </c:pt>
                <c:pt idx="44">
                  <c:v>12549</c:v>
                </c:pt>
                <c:pt idx="45">
                  <c:v>9958</c:v>
                </c:pt>
                <c:pt idx="46">
                  <c:v>8519</c:v>
                </c:pt>
                <c:pt idx="47">
                  <c:v>7745</c:v>
                </c:pt>
                <c:pt idx="48">
                  <c:v>10223</c:v>
                </c:pt>
                <c:pt idx="49">
                  <c:v>14584</c:v>
                </c:pt>
                <c:pt idx="50">
                  <c:v>16467</c:v>
                </c:pt>
                <c:pt idx="51">
                  <c:v>20279</c:v>
                </c:pt>
                <c:pt idx="52">
                  <c:v>24671</c:v>
                </c:pt>
                <c:pt idx="53">
                  <c:v>27008</c:v>
                </c:pt>
                <c:pt idx="54">
                  <c:v>34148</c:v>
                </c:pt>
                <c:pt idx="55">
                  <c:v>36284</c:v>
                </c:pt>
                <c:pt idx="56">
                  <c:v>37324</c:v>
                </c:pt>
                <c:pt idx="57">
                  <c:v>38094</c:v>
                </c:pt>
                <c:pt idx="58">
                  <c:v>35551</c:v>
                </c:pt>
                <c:pt idx="59">
                  <c:v>37783</c:v>
                </c:pt>
                <c:pt idx="60">
                  <c:v>34313</c:v>
                </c:pt>
                <c:pt idx="61">
                  <c:v>33695</c:v>
                </c:pt>
                <c:pt idx="62">
                  <c:v>33252</c:v>
                </c:pt>
                <c:pt idx="63">
                  <c:v>35516</c:v>
                </c:pt>
                <c:pt idx="64">
                  <c:v>37673</c:v>
                </c:pt>
                <c:pt idx="65">
                  <c:v>39133</c:v>
                </c:pt>
                <c:pt idx="66">
                  <c:v>43189</c:v>
                </c:pt>
                <c:pt idx="67">
                  <c:v>44280</c:v>
                </c:pt>
                <c:pt idx="68">
                  <c:v>45492</c:v>
                </c:pt>
                <c:pt idx="69">
                  <c:v>48318</c:v>
                </c:pt>
                <c:pt idx="70">
                  <c:v>48236</c:v>
                </c:pt>
                <c:pt idx="71">
                  <c:v>50408</c:v>
                </c:pt>
                <c:pt idx="72">
                  <c:v>51603</c:v>
                </c:pt>
                <c:pt idx="73">
                  <c:v>52810</c:v>
                </c:pt>
                <c:pt idx="74">
                  <c:v>53274</c:v>
                </c:pt>
                <c:pt idx="75">
                  <c:v>58165</c:v>
                </c:pt>
                <c:pt idx="76">
                  <c:v>59550</c:v>
                </c:pt>
                <c:pt idx="77">
                  <c:v>57616</c:v>
                </c:pt>
                <c:pt idx="78">
                  <c:v>59357</c:v>
                </c:pt>
                <c:pt idx="79">
                  <c:v>55215</c:v>
                </c:pt>
                <c:pt idx="80">
                  <c:v>54159</c:v>
                </c:pt>
                <c:pt idx="81">
                  <c:v>54331</c:v>
                </c:pt>
                <c:pt idx="82">
                  <c:v>54812</c:v>
                </c:pt>
                <c:pt idx="83">
                  <c:v>55274</c:v>
                </c:pt>
                <c:pt idx="84">
                  <c:v>56035</c:v>
                </c:pt>
                <c:pt idx="85">
                  <c:v>57443</c:v>
                </c:pt>
                <c:pt idx="86">
                  <c:v>55152</c:v>
                </c:pt>
                <c:pt idx="87">
                  <c:v>53856</c:v>
                </c:pt>
                <c:pt idx="88">
                  <c:v>53340</c:v>
                </c:pt>
                <c:pt idx="89">
                  <c:v>55533</c:v>
                </c:pt>
                <c:pt idx="90">
                  <c:v>56971</c:v>
                </c:pt>
                <c:pt idx="91">
                  <c:v>60272</c:v>
                </c:pt>
                <c:pt idx="92">
                  <c:v>62097</c:v>
                </c:pt>
                <c:pt idx="93">
                  <c:v>62882</c:v>
                </c:pt>
                <c:pt idx="94">
                  <c:v>66056</c:v>
                </c:pt>
                <c:pt idx="95">
                  <c:v>69865</c:v>
                </c:pt>
                <c:pt idx="96">
                  <c:v>72020</c:v>
                </c:pt>
                <c:pt idx="97">
                  <c:v>77352</c:v>
                </c:pt>
                <c:pt idx="98">
                  <c:v>80762</c:v>
                </c:pt>
                <c:pt idx="99">
                  <c:v>85867</c:v>
                </c:pt>
                <c:pt idx="100">
                  <c:v>92256</c:v>
                </c:pt>
                <c:pt idx="101">
                  <c:v>94922</c:v>
                </c:pt>
                <c:pt idx="102">
                  <c:v>95538</c:v>
                </c:pt>
                <c:pt idx="103">
                  <c:v>98926</c:v>
                </c:pt>
                <c:pt idx="104">
                  <c:v>102853</c:v>
                </c:pt>
                <c:pt idx="105">
                  <c:v>108034</c:v>
                </c:pt>
                <c:pt idx="106">
                  <c:v>113782</c:v>
                </c:pt>
                <c:pt idx="107">
                  <c:v>114672</c:v>
                </c:pt>
                <c:pt idx="108">
                  <c:v>115559</c:v>
                </c:pt>
                <c:pt idx="109">
                  <c:v>112325</c:v>
                </c:pt>
                <c:pt idx="110">
                  <c:v>105964</c:v>
                </c:pt>
                <c:pt idx="111">
                  <c:v>97500</c:v>
                </c:pt>
                <c:pt idx="112">
                  <c:v>89167</c:v>
                </c:pt>
                <c:pt idx="113">
                  <c:v>79836</c:v>
                </c:pt>
                <c:pt idx="114">
                  <c:v>76462</c:v>
                </c:pt>
                <c:pt idx="115">
                  <c:v>75206</c:v>
                </c:pt>
                <c:pt idx="116">
                  <c:v>76716</c:v>
                </c:pt>
                <c:pt idx="117">
                  <c:v>81793</c:v>
                </c:pt>
                <c:pt idx="118">
                  <c:v>86959</c:v>
                </c:pt>
                <c:pt idx="119">
                  <c:v>91603</c:v>
                </c:pt>
                <c:pt idx="120">
                  <c:v>94704</c:v>
                </c:pt>
                <c:pt idx="121">
                  <c:v>96149</c:v>
                </c:pt>
                <c:pt idx="122">
                  <c:v>97832</c:v>
                </c:pt>
                <c:pt idx="123">
                  <c:v>98866</c:v>
                </c:pt>
                <c:pt idx="124">
                  <c:v>101024</c:v>
                </c:pt>
                <c:pt idx="125">
                  <c:v>104448</c:v>
                </c:pt>
                <c:pt idx="126">
                  <c:v>104275</c:v>
                </c:pt>
                <c:pt idx="127">
                  <c:v>106394</c:v>
                </c:pt>
                <c:pt idx="128">
                  <c:v>104565</c:v>
                </c:pt>
                <c:pt idx="129">
                  <c:v>104006</c:v>
                </c:pt>
                <c:pt idx="130">
                  <c:v>101778</c:v>
                </c:pt>
                <c:pt idx="131">
                  <c:v>100234</c:v>
                </c:pt>
                <c:pt idx="132">
                  <c:v>102832</c:v>
                </c:pt>
                <c:pt idx="133">
                  <c:v>105141</c:v>
                </c:pt>
                <c:pt idx="134">
                  <c:v>109830</c:v>
                </c:pt>
              </c:numCache>
            </c:numRef>
          </c:val>
          <c:smooth val="0"/>
        </c:ser>
        <c:dLbls>
          <c:showLegendKey val="0"/>
          <c:showVal val="0"/>
          <c:showCatName val="0"/>
          <c:showSerName val="0"/>
          <c:showPercent val="0"/>
          <c:showBubbleSize val="0"/>
        </c:dLbls>
        <c:smooth val="0"/>
        <c:axId val="643363584"/>
        <c:axId val="643364144"/>
      </c:lineChart>
      <c:dateAx>
        <c:axId val="643363584"/>
        <c:scaling>
          <c:orientation val="minMax"/>
        </c:scaling>
        <c:delete val="0"/>
        <c:axPos val="b"/>
        <c:numFmt formatCode="mmm\-yyyy" sourceLinked="1"/>
        <c:majorTickMark val="out"/>
        <c:min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3364144"/>
        <c:crosses val="autoZero"/>
        <c:auto val="1"/>
        <c:lblOffset val="100"/>
        <c:baseTimeUnit val="months"/>
        <c:majorUnit val="12"/>
        <c:majorTimeUnit val="months"/>
      </c:dateAx>
      <c:valAx>
        <c:axId val="643364144"/>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3363584"/>
        <c:crosses val="autoZero"/>
        <c:crossBetween val="between"/>
      </c:valAx>
      <c:spPr>
        <a:solidFill>
          <a:schemeClr val="bg2"/>
        </a:solidFill>
        <a:ln>
          <a:noFill/>
        </a:ln>
        <a:effectLst/>
      </c:spPr>
    </c:plotArea>
    <c:legend>
      <c:legendPos val="b"/>
      <c:layout>
        <c:manualLayout>
          <c:xMode val="edge"/>
          <c:yMode val="edge"/>
          <c:x val="0.49042162218121799"/>
          <c:y val="9.4607388050292306E-3"/>
          <c:w val="0.5095783778187819"/>
          <c:h val="0.1185279157837043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a:t>Active Residential</a:t>
            </a:r>
            <a:r>
              <a:rPr lang="en-US" baseline="0"/>
              <a:t> Rental Bonds </a:t>
            </a:r>
            <a:r>
              <a:rPr lang="en-US"/>
              <a:t>March 2016</a:t>
            </a:r>
          </a:p>
          <a:p>
            <a:pPr algn="l">
              <a:defRPr/>
            </a:pPr>
            <a:r>
              <a:rPr lang="en-US"/>
              <a:t>Metropolitan Melbourne</a:t>
            </a:r>
          </a:p>
          <a:p>
            <a:pPr algn="l">
              <a:defRPr/>
            </a:pPr>
            <a:r>
              <a:rPr lang="en-US" sz="800"/>
              <a:t>Source: DHHS Quarterly Rental</a:t>
            </a:r>
            <a:r>
              <a:rPr lang="en-US" sz="800" baseline="0"/>
              <a:t> Report</a:t>
            </a:r>
            <a:endParaRPr lang="en-US" sz="800"/>
          </a:p>
        </c:rich>
      </c:tx>
      <c:layout>
        <c:manualLayout>
          <c:xMode val="edge"/>
          <c:yMode val="edge"/>
          <c:x val="2.8098033009192125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'Active Bond '!$X$3</c:f>
              <c:strCache>
                <c:ptCount val="1"/>
                <c:pt idx="0">
                  <c:v>Mar 2016</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'Active Bond '!$W$4:$W$44</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Penin'a</c:v>
                </c:pt>
                <c:pt idx="35">
                  <c:v>Western Subregion</c:v>
                </c:pt>
                <c:pt idx="36">
                  <c:v>Brimbank</c:v>
                </c:pt>
                <c:pt idx="37">
                  <c:v>Hobsons Bay</c:v>
                </c:pt>
                <c:pt idx="38">
                  <c:v>Melton</c:v>
                </c:pt>
                <c:pt idx="39">
                  <c:v>Moonee Valley</c:v>
                </c:pt>
                <c:pt idx="40">
                  <c:v>Wyndham</c:v>
                </c:pt>
              </c:strCache>
            </c:strRef>
          </c:cat>
          <c:val>
            <c:numRef>
              <c:f>'Active Bond '!$X$4:$X$44</c:f>
              <c:numCache>
                <c:formatCode>#,##0</c:formatCode>
                <c:ptCount val="41"/>
                <c:pt idx="1">
                  <c:v>11681</c:v>
                </c:pt>
                <c:pt idx="2">
                  <c:v>41958</c:v>
                </c:pt>
                <c:pt idx="3">
                  <c:v>20969</c:v>
                </c:pt>
                <c:pt idx="4">
                  <c:v>21493</c:v>
                </c:pt>
                <c:pt idx="5">
                  <c:v>16318</c:v>
                </c:pt>
                <c:pt idx="8">
                  <c:v>18845</c:v>
                </c:pt>
                <c:pt idx="9">
                  <c:v>8973</c:v>
                </c:pt>
                <c:pt idx="10">
                  <c:v>6638</c:v>
                </c:pt>
                <c:pt idx="11">
                  <c:v>8178</c:v>
                </c:pt>
                <c:pt idx="12">
                  <c:v>15438</c:v>
                </c:pt>
                <c:pt idx="13">
                  <c:v>14182</c:v>
                </c:pt>
                <c:pt idx="14">
                  <c:v>6317</c:v>
                </c:pt>
                <c:pt idx="17">
                  <c:v>10665</c:v>
                </c:pt>
                <c:pt idx="18">
                  <c:v>17459</c:v>
                </c:pt>
                <c:pt idx="19">
                  <c:v>11625</c:v>
                </c:pt>
                <c:pt idx="20">
                  <c:v>2323</c:v>
                </c:pt>
                <c:pt idx="21">
                  <c:v>21279</c:v>
                </c:pt>
                <c:pt idx="22">
                  <c:v>2932</c:v>
                </c:pt>
                <c:pt idx="23">
                  <c:v>11184</c:v>
                </c:pt>
                <c:pt idx="26">
                  <c:v>7412</c:v>
                </c:pt>
                <c:pt idx="27">
                  <c:v>6449</c:v>
                </c:pt>
                <c:pt idx="28">
                  <c:v>16369</c:v>
                </c:pt>
                <c:pt idx="29">
                  <c:v>12875</c:v>
                </c:pt>
                <c:pt idx="30">
                  <c:v>19454</c:v>
                </c:pt>
                <c:pt idx="31">
                  <c:v>14403</c:v>
                </c:pt>
                <c:pt idx="32">
                  <c:v>12994</c:v>
                </c:pt>
                <c:pt idx="33">
                  <c:v>10686</c:v>
                </c:pt>
                <c:pt idx="36">
                  <c:v>14129</c:v>
                </c:pt>
                <c:pt idx="37">
                  <c:v>7704</c:v>
                </c:pt>
                <c:pt idx="38">
                  <c:v>10017</c:v>
                </c:pt>
                <c:pt idx="39">
                  <c:v>11435</c:v>
                </c:pt>
                <c:pt idx="40">
                  <c:v>17232</c:v>
                </c:pt>
              </c:numCache>
            </c:numRef>
          </c:val>
        </c:ser>
        <c:dLbls>
          <c:showLegendKey val="0"/>
          <c:showVal val="0"/>
          <c:showCatName val="0"/>
          <c:showSerName val="0"/>
          <c:showPercent val="0"/>
          <c:showBubbleSize val="0"/>
        </c:dLbls>
        <c:gapWidth val="25"/>
        <c:axId val="505654256"/>
        <c:axId val="505654816"/>
      </c:barChart>
      <c:catAx>
        <c:axId val="5056542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654816"/>
        <c:crosses val="autoZero"/>
        <c:auto val="1"/>
        <c:lblAlgn val="ctr"/>
        <c:lblOffset val="100"/>
        <c:noMultiLvlLbl val="0"/>
      </c:catAx>
      <c:valAx>
        <c:axId val="505654816"/>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6542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a:t>Active Residential</a:t>
            </a:r>
            <a:r>
              <a:rPr lang="en-US" baseline="0"/>
              <a:t> Rental Bonds </a:t>
            </a:r>
            <a:r>
              <a:rPr lang="en-US"/>
              <a:t>March 2016</a:t>
            </a:r>
          </a:p>
          <a:p>
            <a:pPr algn="l">
              <a:defRPr/>
            </a:pPr>
            <a:r>
              <a:rPr lang="en-US"/>
              <a:t>Regional</a:t>
            </a:r>
            <a:r>
              <a:rPr lang="en-US" baseline="0"/>
              <a:t> Victoria</a:t>
            </a:r>
            <a:endParaRPr lang="en-US"/>
          </a:p>
          <a:p>
            <a:pPr algn="l">
              <a:defRPr/>
            </a:pPr>
            <a:r>
              <a:rPr lang="en-US" sz="800"/>
              <a:t>Source: DHHS Quarterly Rental</a:t>
            </a:r>
            <a:r>
              <a:rPr lang="en-US" sz="800" baseline="0"/>
              <a:t> Report</a:t>
            </a:r>
            <a:endParaRPr lang="en-US" sz="800"/>
          </a:p>
        </c:rich>
      </c:tx>
      <c:layout>
        <c:manualLayout>
          <c:xMode val="edge"/>
          <c:yMode val="edge"/>
          <c:x val="2.8098033009192125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'Active Bond '!$X$3</c:f>
              <c:strCache>
                <c:ptCount val="1"/>
                <c:pt idx="0">
                  <c:v>Mar 2016</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'Active Bond '!$W$46:$W$97</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'Active Bond '!$X$46:$X$97</c:f>
              <c:numCache>
                <c:formatCode>#,##0</c:formatCode>
                <c:ptCount val="52"/>
                <c:pt idx="1">
                  <c:v>10238</c:v>
                </c:pt>
                <c:pt idx="2">
                  <c:v>9704</c:v>
                </c:pt>
                <c:pt idx="3">
                  <c:v>20158</c:v>
                </c:pt>
                <c:pt idx="4">
                  <c:v>5058</c:v>
                </c:pt>
                <c:pt idx="5">
                  <c:v>1501</c:v>
                </c:pt>
                <c:pt idx="6">
                  <c:v>5923</c:v>
                </c:pt>
                <c:pt idx="7">
                  <c:v>4665</c:v>
                </c:pt>
                <c:pt idx="8">
                  <c:v>1896</c:v>
                </c:pt>
                <c:pt idx="9">
                  <c:v>3158</c:v>
                </c:pt>
                <c:pt idx="10">
                  <c:v>3880</c:v>
                </c:pt>
                <c:pt idx="13">
                  <c:v>2879</c:v>
                </c:pt>
                <c:pt idx="14">
                  <c:v>2850</c:v>
                </c:pt>
                <c:pt idx="15">
                  <c:v>405</c:v>
                </c:pt>
                <c:pt idx="16">
                  <c:v>1822</c:v>
                </c:pt>
                <c:pt idx="17">
                  <c:v>1521</c:v>
                </c:pt>
                <c:pt idx="18">
                  <c:v>646</c:v>
                </c:pt>
                <c:pt idx="19">
                  <c:v>106</c:v>
                </c:pt>
                <c:pt idx="20">
                  <c:v>1355</c:v>
                </c:pt>
                <c:pt idx="21">
                  <c:v>2040</c:v>
                </c:pt>
                <c:pt idx="24">
                  <c:v>776</c:v>
                </c:pt>
                <c:pt idx="25">
                  <c:v>683</c:v>
                </c:pt>
                <c:pt idx="26">
                  <c:v>1019</c:v>
                </c:pt>
                <c:pt idx="27">
                  <c:v>149</c:v>
                </c:pt>
                <c:pt idx="28">
                  <c:v>2151</c:v>
                </c:pt>
                <c:pt idx="29">
                  <c:v>763</c:v>
                </c:pt>
                <c:pt idx="30">
                  <c:v>1245</c:v>
                </c:pt>
                <c:pt idx="31">
                  <c:v>652</c:v>
                </c:pt>
                <c:pt idx="32">
                  <c:v>2867</c:v>
                </c:pt>
                <c:pt idx="33">
                  <c:v>490</c:v>
                </c:pt>
                <c:pt idx="34">
                  <c:v>1163</c:v>
                </c:pt>
                <c:pt idx="35">
                  <c:v>769</c:v>
                </c:pt>
                <c:pt idx="36">
                  <c:v>254</c:v>
                </c:pt>
                <c:pt idx="37">
                  <c:v>736</c:v>
                </c:pt>
                <c:pt idx="38">
                  <c:v>178</c:v>
                </c:pt>
                <c:pt idx="39">
                  <c:v>356</c:v>
                </c:pt>
                <c:pt idx="40">
                  <c:v>1797</c:v>
                </c:pt>
                <c:pt idx="41">
                  <c:v>920</c:v>
                </c:pt>
                <c:pt idx="42">
                  <c:v>626</c:v>
                </c:pt>
                <c:pt idx="43">
                  <c:v>644</c:v>
                </c:pt>
                <c:pt idx="44">
                  <c:v>195</c:v>
                </c:pt>
                <c:pt idx="45">
                  <c:v>885</c:v>
                </c:pt>
                <c:pt idx="46">
                  <c:v>510</c:v>
                </c:pt>
                <c:pt idx="47">
                  <c:v>1298</c:v>
                </c:pt>
                <c:pt idx="48">
                  <c:v>252</c:v>
                </c:pt>
                <c:pt idx="49">
                  <c:v>2756</c:v>
                </c:pt>
                <c:pt idx="50">
                  <c:v>75</c:v>
                </c:pt>
                <c:pt idx="51">
                  <c:v>237</c:v>
                </c:pt>
              </c:numCache>
            </c:numRef>
          </c:val>
        </c:ser>
        <c:dLbls>
          <c:showLegendKey val="0"/>
          <c:showVal val="0"/>
          <c:showCatName val="0"/>
          <c:showSerName val="0"/>
          <c:showPercent val="0"/>
          <c:showBubbleSize val="0"/>
        </c:dLbls>
        <c:gapWidth val="25"/>
        <c:axId val="505657056"/>
        <c:axId val="778585088"/>
      </c:barChart>
      <c:catAx>
        <c:axId val="5056570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8585088"/>
        <c:crosses val="autoZero"/>
        <c:auto val="1"/>
        <c:lblAlgn val="ctr"/>
        <c:lblOffset val="100"/>
        <c:noMultiLvlLbl val="0"/>
      </c:catAx>
      <c:valAx>
        <c:axId val="778585088"/>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6570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a:t>Growth</a:t>
            </a:r>
            <a:r>
              <a:rPr lang="en-US" baseline="0"/>
              <a:t> in </a:t>
            </a:r>
            <a:r>
              <a:rPr lang="en-US"/>
              <a:t>Active Residential</a:t>
            </a:r>
            <a:r>
              <a:rPr lang="en-US" baseline="0"/>
              <a:t> Rental Bonds (%) - Last 12 months </a:t>
            </a:r>
          </a:p>
          <a:p>
            <a:pPr algn="l">
              <a:defRPr/>
            </a:pPr>
            <a:r>
              <a:rPr lang="en-US"/>
              <a:t>Metropolitan Melbourne</a:t>
            </a:r>
          </a:p>
          <a:p>
            <a:pPr algn="l">
              <a:defRPr/>
            </a:pPr>
            <a:r>
              <a:rPr lang="en-US" sz="800"/>
              <a:t>Source: DHHS Quarterly Rental</a:t>
            </a:r>
            <a:r>
              <a:rPr lang="en-US" sz="800" baseline="0"/>
              <a:t> Report</a:t>
            </a:r>
            <a:endParaRPr lang="en-US" sz="800"/>
          </a:p>
        </c:rich>
      </c:tx>
      <c:layout>
        <c:manualLayout>
          <c:xMode val="edge"/>
          <c:yMode val="edge"/>
          <c:x val="2.8098033009192125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'Active Bond '!$Y$3</c:f>
              <c:strCache>
                <c:ptCount val="1"/>
                <c:pt idx="0">
                  <c:v>1 year</c:v>
                </c:pt>
              </c:strCache>
            </c:strRef>
          </c:tx>
          <c:spPr>
            <a:solidFill>
              <a:srgbClr val="00206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'Active Bond '!$W$4:$W$44</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Penin'a</c:v>
                </c:pt>
                <c:pt idx="35">
                  <c:v>Western Subregion</c:v>
                </c:pt>
                <c:pt idx="36">
                  <c:v>Brimbank</c:v>
                </c:pt>
                <c:pt idx="37">
                  <c:v>Hobsons Bay</c:v>
                </c:pt>
                <c:pt idx="38">
                  <c:v>Melton</c:v>
                </c:pt>
                <c:pt idx="39">
                  <c:v>Moonee Valley</c:v>
                </c:pt>
                <c:pt idx="40">
                  <c:v>Wyndham</c:v>
                </c:pt>
              </c:strCache>
            </c:strRef>
          </c:cat>
          <c:val>
            <c:numRef>
              <c:f>'Active Bond '!$Y$4:$Y$44</c:f>
              <c:numCache>
                <c:formatCode>0.0%</c:formatCode>
                <c:ptCount val="41"/>
                <c:pt idx="1">
                  <c:v>3.3991325130565686E-2</c:v>
                </c:pt>
                <c:pt idx="2">
                  <c:v>4.4017019582472727E-2</c:v>
                </c:pt>
                <c:pt idx="3">
                  <c:v>4.5992430412493679E-3</c:v>
                </c:pt>
                <c:pt idx="4">
                  <c:v>3.9765855546417761E-2</c:v>
                </c:pt>
                <c:pt idx="5">
                  <c:v>7.2705758611622429E-2</c:v>
                </c:pt>
                <c:pt idx="8">
                  <c:v>3.8578120694406248E-2</c:v>
                </c:pt>
                <c:pt idx="9">
                  <c:v>6.1893491124260347E-2</c:v>
                </c:pt>
                <c:pt idx="10">
                  <c:v>4.3874823085390702E-2</c:v>
                </c:pt>
                <c:pt idx="11">
                  <c:v>4.1650745128009259E-2</c:v>
                </c:pt>
                <c:pt idx="12">
                  <c:v>3.1262525050100187E-2</c:v>
                </c:pt>
                <c:pt idx="13">
                  <c:v>3.1043256997455471E-2</c:v>
                </c:pt>
                <c:pt idx="14">
                  <c:v>8.4610472541506443E-3</c:v>
                </c:pt>
                <c:pt idx="17">
                  <c:v>3.4633294528521485E-2</c:v>
                </c:pt>
                <c:pt idx="18">
                  <c:v>3.3627375525427716E-2</c:v>
                </c:pt>
                <c:pt idx="19">
                  <c:v>6.5927012653585138E-2</c:v>
                </c:pt>
                <c:pt idx="20">
                  <c:v>3.7980339588918666E-2</c:v>
                </c:pt>
                <c:pt idx="21">
                  <c:v>2.8965183752417856E-2</c:v>
                </c:pt>
                <c:pt idx="22">
                  <c:v>6.3860667634252577E-2</c:v>
                </c:pt>
                <c:pt idx="23">
                  <c:v>7.2497123130034424E-2</c:v>
                </c:pt>
                <c:pt idx="26">
                  <c:v>2.6592797783933531E-2</c:v>
                </c:pt>
                <c:pt idx="27">
                  <c:v>4.7425694331655111E-2</c:v>
                </c:pt>
                <c:pt idx="28">
                  <c:v>5.6746287927695205E-2</c:v>
                </c:pt>
                <c:pt idx="29">
                  <c:v>1.0913944723618174E-2</c:v>
                </c:pt>
                <c:pt idx="30">
                  <c:v>2.2710545683944927E-2</c:v>
                </c:pt>
                <c:pt idx="31">
                  <c:v>3.7680115273775128E-2</c:v>
                </c:pt>
                <c:pt idx="32">
                  <c:v>3.3320079522862756E-2</c:v>
                </c:pt>
                <c:pt idx="33">
                  <c:v>7.0681368391292132E-3</c:v>
                </c:pt>
                <c:pt idx="36">
                  <c:v>1.9261289857163577E-2</c:v>
                </c:pt>
                <c:pt idx="37">
                  <c:v>7.5856657075594747E-3</c:v>
                </c:pt>
                <c:pt idx="38">
                  <c:v>5.0550603041426223E-2</c:v>
                </c:pt>
                <c:pt idx="39">
                  <c:v>4.4578423312322979E-2</c:v>
                </c:pt>
                <c:pt idx="40">
                  <c:v>3.9575289575289663E-2</c:v>
                </c:pt>
              </c:numCache>
            </c:numRef>
          </c:val>
        </c:ser>
        <c:dLbls>
          <c:showLegendKey val="0"/>
          <c:showVal val="0"/>
          <c:showCatName val="0"/>
          <c:showSerName val="0"/>
          <c:showPercent val="0"/>
          <c:showBubbleSize val="0"/>
        </c:dLbls>
        <c:gapWidth val="25"/>
        <c:axId val="778587328"/>
        <c:axId val="778587888"/>
      </c:barChart>
      <c:catAx>
        <c:axId val="778587328"/>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8587888"/>
        <c:crosses val="autoZero"/>
        <c:auto val="1"/>
        <c:lblAlgn val="ctr"/>
        <c:lblOffset val="100"/>
        <c:noMultiLvlLbl val="0"/>
      </c:catAx>
      <c:valAx>
        <c:axId val="778587888"/>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85873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a:t>Growth</a:t>
            </a:r>
            <a:r>
              <a:rPr lang="en-US" baseline="0"/>
              <a:t> in </a:t>
            </a:r>
            <a:r>
              <a:rPr lang="en-US"/>
              <a:t>Active Residential</a:t>
            </a:r>
            <a:r>
              <a:rPr lang="en-US" baseline="0"/>
              <a:t> Rental Bonds (%) - Last 12 months </a:t>
            </a:r>
          </a:p>
          <a:p>
            <a:pPr algn="l">
              <a:defRPr/>
            </a:pPr>
            <a:r>
              <a:rPr lang="en-US"/>
              <a:t>Regional Victoria</a:t>
            </a:r>
          </a:p>
          <a:p>
            <a:pPr algn="l">
              <a:defRPr/>
            </a:pPr>
            <a:r>
              <a:rPr lang="en-US" sz="800"/>
              <a:t>Source: DHHS Quarterly Rental</a:t>
            </a:r>
            <a:r>
              <a:rPr lang="en-US" sz="800" baseline="0"/>
              <a:t> Report</a:t>
            </a:r>
            <a:endParaRPr lang="en-US" sz="800"/>
          </a:p>
        </c:rich>
      </c:tx>
      <c:layout>
        <c:manualLayout>
          <c:xMode val="edge"/>
          <c:yMode val="edge"/>
          <c:x val="2.8098033009192125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'Active Bond '!$Y$3</c:f>
              <c:strCache>
                <c:ptCount val="1"/>
                <c:pt idx="0">
                  <c:v>1 year</c:v>
                </c:pt>
              </c:strCache>
            </c:strRef>
          </c:tx>
          <c:spPr>
            <a:solidFill>
              <a:srgbClr val="00206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'Active Bond '!$W$46:$W$97</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'Active Bond '!$Y$46:$Y$97</c:f>
              <c:numCache>
                <c:formatCode>0.0%</c:formatCode>
                <c:ptCount val="52"/>
                <c:pt idx="1">
                  <c:v>1.7795009444278698E-2</c:v>
                </c:pt>
                <c:pt idx="2">
                  <c:v>2.6661024121878985E-2</c:v>
                </c:pt>
                <c:pt idx="3">
                  <c:v>3.4327056288162572E-2</c:v>
                </c:pt>
                <c:pt idx="4">
                  <c:v>-3.938558487593502E-3</c:v>
                </c:pt>
                <c:pt idx="5">
                  <c:v>-1.5737704918032835E-2</c:v>
                </c:pt>
                <c:pt idx="6">
                  <c:v>9.028960817717202E-3</c:v>
                </c:pt>
                <c:pt idx="7">
                  <c:v>-5.3304904051172386E-3</c:v>
                </c:pt>
                <c:pt idx="8">
                  <c:v>2.5419145484045336E-2</c:v>
                </c:pt>
                <c:pt idx="9">
                  <c:v>-1.4049328754292878E-2</c:v>
                </c:pt>
                <c:pt idx="10">
                  <c:v>4.1407867494824835E-3</c:v>
                </c:pt>
                <c:pt idx="13">
                  <c:v>1.6237204376985614E-2</c:v>
                </c:pt>
                <c:pt idx="14">
                  <c:v>4.9723756906077332E-2</c:v>
                </c:pt>
                <c:pt idx="15">
                  <c:v>8.0000000000000071E-2</c:v>
                </c:pt>
                <c:pt idx="16">
                  <c:v>9.418282548476542E-3</c:v>
                </c:pt>
                <c:pt idx="17">
                  <c:v>2.2864828513786239E-2</c:v>
                </c:pt>
                <c:pt idx="18">
                  <c:v>7.8003120124805481E-3</c:v>
                </c:pt>
                <c:pt idx="19">
                  <c:v>-6.1946902654867242E-2</c:v>
                </c:pt>
                <c:pt idx="20">
                  <c:v>1.2705530642750373E-2</c:v>
                </c:pt>
                <c:pt idx="21">
                  <c:v>1.7456359102244301E-2</c:v>
                </c:pt>
                <c:pt idx="24">
                  <c:v>-1.3977128335451061E-2</c:v>
                </c:pt>
                <c:pt idx="25">
                  <c:v>-1.0144927536231862E-2</c:v>
                </c:pt>
                <c:pt idx="26">
                  <c:v>-1.4506769825918808E-2</c:v>
                </c:pt>
                <c:pt idx="27">
                  <c:v>-3.2467532467532423E-2</c:v>
                </c:pt>
                <c:pt idx="28">
                  <c:v>-7.3834794646977508E-3</c:v>
                </c:pt>
                <c:pt idx="29">
                  <c:v>2.1419009370816644E-2</c:v>
                </c:pt>
                <c:pt idx="30">
                  <c:v>1.5497553017944643E-2</c:v>
                </c:pt>
                <c:pt idx="31">
                  <c:v>1.0852713178294504E-2</c:v>
                </c:pt>
                <c:pt idx="32">
                  <c:v>-2.1167634004779834E-2</c:v>
                </c:pt>
                <c:pt idx="33">
                  <c:v>-2.0366598778004397E-3</c:v>
                </c:pt>
                <c:pt idx="34">
                  <c:v>-1.7736486486486513E-2</c:v>
                </c:pt>
                <c:pt idx="35">
                  <c:v>-1.0296010296010349E-2</c:v>
                </c:pt>
                <c:pt idx="36">
                  <c:v>-3.0534351145038219E-2</c:v>
                </c:pt>
                <c:pt idx="37">
                  <c:v>-9.421265141319024E-3</c:v>
                </c:pt>
                <c:pt idx="38">
                  <c:v>3.488372093023262E-2</c:v>
                </c:pt>
                <c:pt idx="39">
                  <c:v>-2.8011204481792618E-3</c:v>
                </c:pt>
                <c:pt idx="40">
                  <c:v>2.7901785714286031E-3</c:v>
                </c:pt>
                <c:pt idx="41">
                  <c:v>3.0235162374020241E-2</c:v>
                </c:pt>
                <c:pt idx="42">
                  <c:v>-1.8808777429467072E-2</c:v>
                </c:pt>
                <c:pt idx="43">
                  <c:v>-3.8805970149253688E-2</c:v>
                </c:pt>
                <c:pt idx="44">
                  <c:v>-2.010050251256279E-2</c:v>
                </c:pt>
                <c:pt idx="45">
                  <c:v>-1.1173184357541888E-2</c:v>
                </c:pt>
                <c:pt idx="46">
                  <c:v>0</c:v>
                </c:pt>
                <c:pt idx="47">
                  <c:v>-1.5384615384614886E-3</c:v>
                </c:pt>
                <c:pt idx="48">
                  <c:v>-1.1764705882352899E-2</c:v>
                </c:pt>
                <c:pt idx="49">
                  <c:v>9.1541559868180133E-3</c:v>
                </c:pt>
                <c:pt idx="50">
                  <c:v>-5.0632911392405111E-2</c:v>
                </c:pt>
                <c:pt idx="51">
                  <c:v>-2.8688524590163911E-2</c:v>
                </c:pt>
              </c:numCache>
            </c:numRef>
          </c:val>
        </c:ser>
        <c:dLbls>
          <c:showLegendKey val="0"/>
          <c:showVal val="0"/>
          <c:showCatName val="0"/>
          <c:showSerName val="0"/>
          <c:showPercent val="0"/>
          <c:showBubbleSize val="0"/>
        </c:dLbls>
        <c:gapWidth val="25"/>
        <c:axId val="778590128"/>
        <c:axId val="778590688"/>
      </c:barChart>
      <c:catAx>
        <c:axId val="778590128"/>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low"/>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8590688"/>
        <c:crosses val="autoZero"/>
        <c:auto val="1"/>
        <c:lblAlgn val="ctr"/>
        <c:lblOffset val="100"/>
        <c:noMultiLvlLbl val="0"/>
      </c:catAx>
      <c:valAx>
        <c:axId val="778590688"/>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85901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a:t>Unemployment Rate (%) - March 2016</a:t>
            </a:r>
          </a:p>
          <a:p>
            <a:pPr algn="l">
              <a:defRPr/>
            </a:pPr>
            <a:r>
              <a:rPr lang="en-US"/>
              <a:t>Metropolitan</a:t>
            </a:r>
            <a:r>
              <a:rPr lang="en-US" baseline="0"/>
              <a:t> Melbourne</a:t>
            </a:r>
          </a:p>
          <a:p>
            <a:pPr algn="l">
              <a:defRPr/>
            </a:pPr>
            <a:r>
              <a:rPr lang="en-US" sz="800" baseline="0"/>
              <a:t>Source: Department of Employment Small Area Labour Market</a:t>
            </a:r>
            <a:endParaRPr lang="en-US" sz="800"/>
          </a:p>
        </c:rich>
      </c:tx>
      <c:layout>
        <c:manualLayout>
          <c:xMode val="edge"/>
          <c:yMode val="edge"/>
          <c:x val="8.7099811676083938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597572549194062"/>
          <c:y val="0.12070845596355248"/>
          <c:w val="0.73739527262482019"/>
          <c:h val="0.86064507347540464"/>
        </c:manualLayout>
      </c:layout>
      <c:barChart>
        <c:barDir val="bar"/>
        <c:grouping val="clustered"/>
        <c:varyColors val="0"/>
        <c:ser>
          <c:idx val="1"/>
          <c:order val="0"/>
          <c:tx>
            <c:v>March 2015</c:v>
          </c:tx>
          <c:spPr>
            <a:solidFill>
              <a:schemeClr val="tx2">
                <a:lumMod val="40000"/>
                <a:lumOff val="6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Sheet1!$D$2:$D$42</c:f>
              <c:numCache>
                <c:formatCode>#,##0.0</c:formatCode>
                <c:ptCount val="41"/>
                <c:pt idx="1">
                  <c:v>7.4</c:v>
                </c:pt>
                <c:pt idx="2">
                  <c:v>4.8</c:v>
                </c:pt>
                <c:pt idx="3">
                  <c:v>5</c:v>
                </c:pt>
                <c:pt idx="4">
                  <c:v>4.0999999999999996</c:v>
                </c:pt>
                <c:pt idx="5">
                  <c:v>7.2</c:v>
                </c:pt>
                <c:pt idx="8">
                  <c:v>3.9</c:v>
                </c:pt>
                <c:pt idx="9">
                  <c:v>5.4</c:v>
                </c:pt>
                <c:pt idx="10">
                  <c:v>5.9</c:v>
                </c:pt>
                <c:pt idx="11">
                  <c:v>5.9</c:v>
                </c:pt>
                <c:pt idx="12">
                  <c:v>3.7</c:v>
                </c:pt>
                <c:pt idx="13">
                  <c:v>6.1</c:v>
                </c:pt>
                <c:pt idx="14">
                  <c:v>5.7</c:v>
                </c:pt>
                <c:pt idx="17">
                  <c:v>5.2</c:v>
                </c:pt>
                <c:pt idx="18">
                  <c:v>8.1</c:v>
                </c:pt>
                <c:pt idx="19">
                  <c:v>9</c:v>
                </c:pt>
                <c:pt idx="20">
                  <c:v>7.4</c:v>
                </c:pt>
                <c:pt idx="21">
                  <c:v>7.4</c:v>
                </c:pt>
                <c:pt idx="22">
                  <c:v>2.9</c:v>
                </c:pt>
                <c:pt idx="23">
                  <c:v>8.1999999999999993</c:v>
                </c:pt>
                <c:pt idx="26">
                  <c:v>4.2</c:v>
                </c:pt>
                <c:pt idx="27">
                  <c:v>6.4</c:v>
                </c:pt>
                <c:pt idx="28">
                  <c:v>7.5</c:v>
                </c:pt>
                <c:pt idx="29">
                  <c:v>8.3000000000000007</c:v>
                </c:pt>
                <c:pt idx="30">
                  <c:v>5.4</c:v>
                </c:pt>
                <c:pt idx="31">
                  <c:v>12.1</c:v>
                </c:pt>
                <c:pt idx="32">
                  <c:v>6.8</c:v>
                </c:pt>
                <c:pt idx="33">
                  <c:v>5.9</c:v>
                </c:pt>
                <c:pt idx="36">
                  <c:v>10.199999999999999</c:v>
                </c:pt>
                <c:pt idx="37">
                  <c:v>6</c:v>
                </c:pt>
                <c:pt idx="38">
                  <c:v>7.7</c:v>
                </c:pt>
                <c:pt idx="39">
                  <c:v>5.6</c:v>
                </c:pt>
                <c:pt idx="40">
                  <c:v>7</c:v>
                </c:pt>
              </c:numCache>
            </c:numRef>
          </c:val>
        </c:ser>
        <c:ser>
          <c:idx val="0"/>
          <c:order val="1"/>
          <c:tx>
            <c:v>March 2016</c:v>
          </c:tx>
          <c:spPr>
            <a:solidFill>
              <a:schemeClr val="tx2"/>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Sheet1!$C$2:$C$42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Sheet1!$F$2:$F$42</c:f>
              <c:numCache>
                <c:formatCode>#,##0.0</c:formatCode>
                <c:ptCount val="41"/>
                <c:pt idx="1">
                  <c:v>7.2</c:v>
                </c:pt>
                <c:pt idx="2">
                  <c:v>4.2</c:v>
                </c:pt>
                <c:pt idx="3">
                  <c:v>4.4000000000000004</c:v>
                </c:pt>
                <c:pt idx="4">
                  <c:v>3.2</c:v>
                </c:pt>
                <c:pt idx="5">
                  <c:v>6.3</c:v>
                </c:pt>
                <c:pt idx="8">
                  <c:v>4</c:v>
                </c:pt>
                <c:pt idx="9">
                  <c:v>4.5999999999999996</c:v>
                </c:pt>
                <c:pt idx="10">
                  <c:v>5.9</c:v>
                </c:pt>
                <c:pt idx="11">
                  <c:v>5.2</c:v>
                </c:pt>
                <c:pt idx="12">
                  <c:v>3.8</c:v>
                </c:pt>
                <c:pt idx="13">
                  <c:v>6</c:v>
                </c:pt>
                <c:pt idx="14">
                  <c:v>4.9000000000000004</c:v>
                </c:pt>
                <c:pt idx="17">
                  <c:v>4.0999999999999996</c:v>
                </c:pt>
                <c:pt idx="18">
                  <c:v>6.9</c:v>
                </c:pt>
                <c:pt idx="19">
                  <c:v>9.1</c:v>
                </c:pt>
                <c:pt idx="20">
                  <c:v>6.9</c:v>
                </c:pt>
                <c:pt idx="21">
                  <c:v>6.6</c:v>
                </c:pt>
                <c:pt idx="22">
                  <c:v>2.2999999999999998</c:v>
                </c:pt>
                <c:pt idx="23">
                  <c:v>7</c:v>
                </c:pt>
                <c:pt idx="26">
                  <c:v>3.3</c:v>
                </c:pt>
                <c:pt idx="27">
                  <c:v>7</c:v>
                </c:pt>
                <c:pt idx="28">
                  <c:v>7.9</c:v>
                </c:pt>
                <c:pt idx="29">
                  <c:v>6.1</c:v>
                </c:pt>
                <c:pt idx="30">
                  <c:v>4.2</c:v>
                </c:pt>
                <c:pt idx="31">
                  <c:v>12.3</c:v>
                </c:pt>
                <c:pt idx="32">
                  <c:v>5.7</c:v>
                </c:pt>
                <c:pt idx="33">
                  <c:v>4.4000000000000004</c:v>
                </c:pt>
                <c:pt idx="36">
                  <c:v>9.9</c:v>
                </c:pt>
                <c:pt idx="37">
                  <c:v>5.9</c:v>
                </c:pt>
                <c:pt idx="38">
                  <c:v>7.7</c:v>
                </c:pt>
                <c:pt idx="39">
                  <c:v>5.0999999999999996</c:v>
                </c:pt>
                <c:pt idx="40">
                  <c:v>6.9</c:v>
                </c:pt>
              </c:numCache>
            </c:numRef>
          </c:val>
        </c:ser>
        <c:dLbls>
          <c:showLegendKey val="0"/>
          <c:showVal val="0"/>
          <c:showCatName val="0"/>
          <c:showSerName val="0"/>
          <c:showPercent val="0"/>
          <c:showBubbleSize val="0"/>
        </c:dLbls>
        <c:gapWidth val="25"/>
        <c:overlap val="-25"/>
        <c:axId val="778593488"/>
        <c:axId val="778594048"/>
      </c:barChart>
      <c:catAx>
        <c:axId val="778593488"/>
        <c:scaling>
          <c:orientation val="maxMin"/>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8594048"/>
        <c:crosses val="autoZero"/>
        <c:auto val="1"/>
        <c:lblAlgn val="ctr"/>
        <c:lblOffset val="100"/>
        <c:noMultiLvlLbl val="0"/>
      </c:catAx>
      <c:valAx>
        <c:axId val="778594048"/>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8593488"/>
        <c:crosses val="autoZero"/>
        <c:crossBetween val="between"/>
      </c:valAx>
      <c:spPr>
        <a:noFill/>
        <a:ln>
          <a:noFill/>
        </a:ln>
        <a:effectLst/>
      </c:spPr>
    </c:plotArea>
    <c:legend>
      <c:legendPos val="t"/>
      <c:layout>
        <c:manualLayout>
          <c:xMode val="edge"/>
          <c:yMode val="edge"/>
          <c:x val="0.69395009416195852"/>
          <c:y val="6.4335280007807227E-3"/>
          <c:w val="0.17471732876610765"/>
          <c:h val="6.339712672902189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a:t>Unemployment Rate (%) - March 2016</a:t>
            </a:r>
          </a:p>
          <a:p>
            <a:pPr algn="l">
              <a:defRPr/>
            </a:pPr>
            <a:r>
              <a:rPr lang="en-US"/>
              <a:t>Regional</a:t>
            </a:r>
            <a:r>
              <a:rPr lang="en-US" baseline="0"/>
              <a:t> Victoria</a:t>
            </a:r>
          </a:p>
          <a:p>
            <a:pPr algn="l">
              <a:defRPr/>
            </a:pPr>
            <a:r>
              <a:rPr lang="en-US" sz="800" baseline="0"/>
              <a:t>Source: Department of Employment Small Area Labour Market</a:t>
            </a:r>
            <a:endParaRPr lang="en-US" sz="800"/>
          </a:p>
        </c:rich>
      </c:tx>
      <c:layout>
        <c:manualLayout>
          <c:xMode val="edge"/>
          <c:yMode val="edge"/>
          <c:x val="8.7099811676083938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5187026409834362"/>
          <c:y val="9.7465329139025794E-2"/>
          <c:w val="0.71150073401841729"/>
          <c:h val="0.88388819629703785"/>
        </c:manualLayout>
      </c:layout>
      <c:barChart>
        <c:barDir val="bar"/>
        <c:grouping val="clustered"/>
        <c:varyColors val="0"/>
        <c:ser>
          <c:idx val="1"/>
          <c:order val="0"/>
          <c:tx>
            <c:v>March 2015</c:v>
          </c:tx>
          <c:spPr>
            <a:solidFill>
              <a:schemeClr val="tx2">
                <a:lumMod val="40000"/>
                <a:lumOff val="6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Sheet1!$C$44:$C$96</c:f>
              <c:strCache>
                <c:ptCount val="53"/>
                <c:pt idx="0">
                  <c:v>Key Regional Cities </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pt idx="52">
                  <c:v>Unincorporated Vic</c:v>
                </c:pt>
              </c:strCache>
            </c:strRef>
          </c:cat>
          <c:val>
            <c:numRef>
              <c:f>Sheet1!$D$44:$D$96</c:f>
              <c:numCache>
                <c:formatCode>#,##0.0</c:formatCode>
                <c:ptCount val="53"/>
                <c:pt idx="1">
                  <c:v>5.4</c:v>
                </c:pt>
                <c:pt idx="2">
                  <c:v>7.6</c:v>
                </c:pt>
                <c:pt idx="3">
                  <c:v>8.4</c:v>
                </c:pt>
                <c:pt idx="4">
                  <c:v>8.3000000000000007</c:v>
                </c:pt>
                <c:pt idx="5">
                  <c:v>4.0999999999999996</c:v>
                </c:pt>
                <c:pt idx="6">
                  <c:v>7</c:v>
                </c:pt>
                <c:pt idx="7">
                  <c:v>7.2</c:v>
                </c:pt>
                <c:pt idx="8">
                  <c:v>6</c:v>
                </c:pt>
                <c:pt idx="9">
                  <c:v>6.3</c:v>
                </c:pt>
                <c:pt idx="10">
                  <c:v>6.9</c:v>
                </c:pt>
                <c:pt idx="13">
                  <c:v>5.7</c:v>
                </c:pt>
                <c:pt idx="14">
                  <c:v>3.7</c:v>
                </c:pt>
                <c:pt idx="15">
                  <c:v>4.0999999999999996</c:v>
                </c:pt>
                <c:pt idx="16">
                  <c:v>3.4</c:v>
                </c:pt>
                <c:pt idx="17">
                  <c:v>5.8</c:v>
                </c:pt>
                <c:pt idx="18">
                  <c:v>5</c:v>
                </c:pt>
                <c:pt idx="19">
                  <c:v>3.9</c:v>
                </c:pt>
                <c:pt idx="20">
                  <c:v>3.5</c:v>
                </c:pt>
                <c:pt idx="21">
                  <c:v>4</c:v>
                </c:pt>
                <c:pt idx="24">
                  <c:v>4.3</c:v>
                </c:pt>
                <c:pt idx="25">
                  <c:v>5.7</c:v>
                </c:pt>
                <c:pt idx="26">
                  <c:v>6.9</c:v>
                </c:pt>
                <c:pt idx="27">
                  <c:v>4</c:v>
                </c:pt>
                <c:pt idx="28">
                  <c:v>6.7</c:v>
                </c:pt>
                <c:pt idx="29">
                  <c:v>9.5</c:v>
                </c:pt>
                <c:pt idx="30">
                  <c:v>7.2</c:v>
                </c:pt>
                <c:pt idx="31">
                  <c:v>4.5999999999999996</c:v>
                </c:pt>
                <c:pt idx="32">
                  <c:v>6.1</c:v>
                </c:pt>
                <c:pt idx="33">
                  <c:v>4.0999999999999996</c:v>
                </c:pt>
                <c:pt idx="34">
                  <c:v>7.9</c:v>
                </c:pt>
                <c:pt idx="35">
                  <c:v>4.2</c:v>
                </c:pt>
                <c:pt idx="36">
                  <c:v>4.5999999999999996</c:v>
                </c:pt>
                <c:pt idx="37">
                  <c:v>4.0999999999999996</c:v>
                </c:pt>
                <c:pt idx="38">
                  <c:v>7.8</c:v>
                </c:pt>
                <c:pt idx="39">
                  <c:v>3.7</c:v>
                </c:pt>
                <c:pt idx="40">
                  <c:v>6.8</c:v>
                </c:pt>
                <c:pt idx="41">
                  <c:v>7</c:v>
                </c:pt>
                <c:pt idx="42">
                  <c:v>3.9</c:v>
                </c:pt>
                <c:pt idx="43">
                  <c:v>5.3</c:v>
                </c:pt>
                <c:pt idx="44">
                  <c:v>5.0999999999999996</c:v>
                </c:pt>
                <c:pt idx="45">
                  <c:v>6.8</c:v>
                </c:pt>
                <c:pt idx="46">
                  <c:v>4.8</c:v>
                </c:pt>
                <c:pt idx="47">
                  <c:v>4.8</c:v>
                </c:pt>
                <c:pt idx="48">
                  <c:v>5.0999999999999996</c:v>
                </c:pt>
                <c:pt idx="49">
                  <c:v>4.7</c:v>
                </c:pt>
                <c:pt idx="50">
                  <c:v>3.3</c:v>
                </c:pt>
                <c:pt idx="51">
                  <c:v>4.5999999999999996</c:v>
                </c:pt>
                <c:pt idx="52">
                  <c:v>4.0999999999999996</c:v>
                </c:pt>
              </c:numCache>
            </c:numRef>
          </c:val>
        </c:ser>
        <c:ser>
          <c:idx val="0"/>
          <c:order val="1"/>
          <c:tx>
            <c:v>March 2016</c:v>
          </c:tx>
          <c:spPr>
            <a:solidFill>
              <a:schemeClr val="tx2"/>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Sheet1!$C$44:$C$96</c:f>
              <c:strCache>
                <c:ptCount val="53"/>
                <c:pt idx="0">
                  <c:v>Key Regional Cities </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pt idx="52">
                  <c:v>Unincorporated Vic</c:v>
                </c:pt>
              </c:strCache>
            </c:strRef>
          </c:cat>
          <c:val>
            <c:numRef>
              <c:f>Sheet1!$F$44:$F$96</c:f>
              <c:numCache>
                <c:formatCode>#,##0.0</c:formatCode>
                <c:ptCount val="53"/>
                <c:pt idx="1">
                  <c:v>5.9</c:v>
                </c:pt>
                <c:pt idx="2">
                  <c:v>7.1</c:v>
                </c:pt>
                <c:pt idx="3">
                  <c:v>6.2</c:v>
                </c:pt>
                <c:pt idx="4">
                  <c:v>6.3</c:v>
                </c:pt>
                <c:pt idx="5">
                  <c:v>4.9000000000000004</c:v>
                </c:pt>
                <c:pt idx="6">
                  <c:v>9.3000000000000007</c:v>
                </c:pt>
                <c:pt idx="7">
                  <c:v>8.6</c:v>
                </c:pt>
                <c:pt idx="8">
                  <c:v>5.7</c:v>
                </c:pt>
                <c:pt idx="9">
                  <c:v>3.2</c:v>
                </c:pt>
                <c:pt idx="10">
                  <c:v>6.8</c:v>
                </c:pt>
                <c:pt idx="13">
                  <c:v>7.4</c:v>
                </c:pt>
                <c:pt idx="14">
                  <c:v>4.8</c:v>
                </c:pt>
                <c:pt idx="15">
                  <c:v>3.6</c:v>
                </c:pt>
                <c:pt idx="16">
                  <c:v>3.2</c:v>
                </c:pt>
                <c:pt idx="17">
                  <c:v>6.1</c:v>
                </c:pt>
                <c:pt idx="18">
                  <c:v>4.7</c:v>
                </c:pt>
                <c:pt idx="19">
                  <c:v>2.8</c:v>
                </c:pt>
                <c:pt idx="20">
                  <c:v>4.4000000000000004</c:v>
                </c:pt>
                <c:pt idx="21">
                  <c:v>2.9</c:v>
                </c:pt>
                <c:pt idx="24">
                  <c:v>4.0999999999999996</c:v>
                </c:pt>
                <c:pt idx="25">
                  <c:v>7.6</c:v>
                </c:pt>
                <c:pt idx="26">
                  <c:v>6.4</c:v>
                </c:pt>
                <c:pt idx="27">
                  <c:v>5.6</c:v>
                </c:pt>
                <c:pt idx="28">
                  <c:v>5.2</c:v>
                </c:pt>
                <c:pt idx="29">
                  <c:v>10.5</c:v>
                </c:pt>
                <c:pt idx="30">
                  <c:v>3.2</c:v>
                </c:pt>
                <c:pt idx="31">
                  <c:v>2.2999999999999998</c:v>
                </c:pt>
                <c:pt idx="32">
                  <c:v>8</c:v>
                </c:pt>
                <c:pt idx="33">
                  <c:v>5</c:v>
                </c:pt>
                <c:pt idx="34">
                  <c:v>4.2</c:v>
                </c:pt>
                <c:pt idx="35">
                  <c:v>4.8</c:v>
                </c:pt>
                <c:pt idx="36">
                  <c:v>5.9</c:v>
                </c:pt>
                <c:pt idx="37">
                  <c:v>4.3</c:v>
                </c:pt>
                <c:pt idx="38">
                  <c:v>7.3</c:v>
                </c:pt>
                <c:pt idx="39">
                  <c:v>3.5</c:v>
                </c:pt>
                <c:pt idx="40">
                  <c:v>5.5</c:v>
                </c:pt>
                <c:pt idx="41">
                  <c:v>6.6</c:v>
                </c:pt>
                <c:pt idx="42">
                  <c:v>2</c:v>
                </c:pt>
                <c:pt idx="43">
                  <c:v>6.3</c:v>
                </c:pt>
                <c:pt idx="44">
                  <c:v>6.3</c:v>
                </c:pt>
                <c:pt idx="45">
                  <c:v>3.4</c:v>
                </c:pt>
                <c:pt idx="46">
                  <c:v>4.9000000000000004</c:v>
                </c:pt>
                <c:pt idx="47">
                  <c:v>5.6</c:v>
                </c:pt>
                <c:pt idx="48">
                  <c:v>5.6</c:v>
                </c:pt>
                <c:pt idx="49">
                  <c:v>6.1</c:v>
                </c:pt>
                <c:pt idx="50">
                  <c:v>4</c:v>
                </c:pt>
                <c:pt idx="51">
                  <c:v>6.7</c:v>
                </c:pt>
                <c:pt idx="52">
                  <c:v>3.7</c:v>
                </c:pt>
              </c:numCache>
            </c:numRef>
          </c:val>
        </c:ser>
        <c:dLbls>
          <c:showLegendKey val="0"/>
          <c:showVal val="0"/>
          <c:showCatName val="0"/>
          <c:showSerName val="0"/>
          <c:showPercent val="0"/>
          <c:showBubbleSize val="0"/>
        </c:dLbls>
        <c:gapWidth val="25"/>
        <c:overlap val="-25"/>
        <c:axId val="778596848"/>
        <c:axId val="778597408"/>
      </c:barChart>
      <c:catAx>
        <c:axId val="778596848"/>
        <c:scaling>
          <c:orientation val="maxMin"/>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8597408"/>
        <c:crosses val="autoZero"/>
        <c:auto val="1"/>
        <c:lblAlgn val="ctr"/>
        <c:lblOffset val="100"/>
        <c:noMultiLvlLbl val="0"/>
      </c:catAx>
      <c:valAx>
        <c:axId val="778597408"/>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8596848"/>
        <c:crosses val="autoZero"/>
        <c:crossBetween val="between"/>
      </c:valAx>
      <c:spPr>
        <a:noFill/>
        <a:ln>
          <a:noFill/>
        </a:ln>
        <a:effectLst/>
      </c:spPr>
    </c:plotArea>
    <c:legend>
      <c:legendPos val="t"/>
      <c:layout>
        <c:manualLayout>
          <c:xMode val="edge"/>
          <c:yMode val="edge"/>
          <c:x val="0.69395009416195852"/>
          <c:y val="6.4335280007807227E-3"/>
          <c:w val="0.19354972047985528"/>
          <c:h val="5.792816710052342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Unemployed Persons - March 2016</a:t>
            </a:r>
          </a:p>
          <a:p>
            <a:pPr algn="l">
              <a:defRPr/>
            </a:pPr>
            <a:r>
              <a:rPr lang="en-AU"/>
              <a:t>Metropolitan</a:t>
            </a:r>
            <a:r>
              <a:rPr lang="en-AU" baseline="0"/>
              <a:t> Melbourne</a:t>
            </a:r>
          </a:p>
          <a:p>
            <a:pPr algn="l">
              <a:defRPr/>
            </a:pPr>
            <a:r>
              <a:rPr lang="en-AU" sz="900" baseline="0"/>
              <a:t>Source: Department of Employment Small Areas Labour Market</a:t>
            </a:r>
            <a:endParaRPr lang="en-AU" sz="900"/>
          </a:p>
        </c:rich>
      </c:tx>
      <c:layout>
        <c:manualLayout>
          <c:xMode val="edge"/>
          <c:yMode val="edge"/>
          <c:x val="1.6055668856144476E-3"/>
          <c:y val="4.7326076668244201E-3"/>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1771963543927089"/>
          <c:y val="0.12204339341633408"/>
          <c:w val="0.7374500878871888"/>
          <c:h val="0.85692072447404088"/>
        </c:manualLayout>
      </c:layout>
      <c:barChart>
        <c:barDir val="bar"/>
        <c:grouping val="clustered"/>
        <c:varyColors val="0"/>
        <c:ser>
          <c:idx val="0"/>
          <c:order val="0"/>
          <c:tx>
            <c:strRef>
              <c:f>Sheet2!$G$1</c:f>
              <c:strCache>
                <c:ptCount val="1"/>
                <c:pt idx="0">
                  <c:v>Mar-15</c:v>
                </c:pt>
              </c:strCache>
            </c:strRef>
          </c:tx>
          <c:spPr>
            <a:solidFill>
              <a:srgbClr val="C898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Sheet2!$F$2:$F$42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Sheet2!$G$2:$G$42</c:f>
              <c:numCache>
                <c:formatCode>#,##0</c:formatCode>
                <c:ptCount val="41"/>
                <c:pt idx="1">
                  <c:v>3595</c:v>
                </c:pt>
                <c:pt idx="2">
                  <c:v>3632</c:v>
                </c:pt>
                <c:pt idx="3">
                  <c:v>3454</c:v>
                </c:pt>
                <c:pt idx="4">
                  <c:v>2590</c:v>
                </c:pt>
                <c:pt idx="5">
                  <c:v>4011</c:v>
                </c:pt>
                <c:pt idx="8">
                  <c:v>3664</c:v>
                </c:pt>
                <c:pt idx="9">
                  <c:v>4687</c:v>
                </c:pt>
                <c:pt idx="10">
                  <c:v>3574</c:v>
                </c:pt>
                <c:pt idx="11">
                  <c:v>3565</c:v>
                </c:pt>
                <c:pt idx="12">
                  <c:v>3505</c:v>
                </c:pt>
                <c:pt idx="13">
                  <c:v>5083</c:v>
                </c:pt>
                <c:pt idx="14">
                  <c:v>4716</c:v>
                </c:pt>
                <c:pt idx="17">
                  <c:v>3524</c:v>
                </c:pt>
                <c:pt idx="18">
                  <c:v>6330</c:v>
                </c:pt>
                <c:pt idx="19">
                  <c:v>8314</c:v>
                </c:pt>
                <c:pt idx="20">
                  <c:v>1504</c:v>
                </c:pt>
                <c:pt idx="21">
                  <c:v>6446</c:v>
                </c:pt>
                <c:pt idx="22">
                  <c:v>1093</c:v>
                </c:pt>
                <c:pt idx="23">
                  <c:v>7923</c:v>
                </c:pt>
                <c:pt idx="26">
                  <c:v>2135</c:v>
                </c:pt>
                <c:pt idx="27">
                  <c:v>2948</c:v>
                </c:pt>
                <c:pt idx="28">
                  <c:v>11195</c:v>
                </c:pt>
                <c:pt idx="29">
                  <c:v>6001</c:v>
                </c:pt>
                <c:pt idx="30">
                  <c:v>4219</c:v>
                </c:pt>
                <c:pt idx="31">
                  <c:v>8317</c:v>
                </c:pt>
                <c:pt idx="32">
                  <c:v>5531</c:v>
                </c:pt>
                <c:pt idx="33">
                  <c:v>4423</c:v>
                </c:pt>
                <c:pt idx="36">
                  <c:v>10440</c:v>
                </c:pt>
                <c:pt idx="37">
                  <c:v>3032</c:v>
                </c:pt>
                <c:pt idx="38">
                  <c:v>5441</c:v>
                </c:pt>
                <c:pt idx="39">
                  <c:v>3526</c:v>
                </c:pt>
                <c:pt idx="40">
                  <c:v>7939</c:v>
                </c:pt>
              </c:numCache>
            </c:numRef>
          </c:val>
        </c:ser>
        <c:ser>
          <c:idx val="1"/>
          <c:order val="1"/>
          <c:tx>
            <c:strRef>
              <c:f>Sheet2!$H$1</c:f>
              <c:strCache>
                <c:ptCount val="1"/>
                <c:pt idx="0">
                  <c:v>Mar-16</c:v>
                </c:pt>
              </c:strCache>
            </c:strRef>
          </c:tx>
          <c:spPr>
            <a:solidFill>
              <a:schemeClr val="accent4">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Sheet2!$F$2:$F$42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Sheet2!$H$2:$H$42</c:f>
              <c:numCache>
                <c:formatCode>#,##0</c:formatCode>
                <c:ptCount val="41"/>
                <c:pt idx="1">
                  <c:v>3619</c:v>
                </c:pt>
                <c:pt idx="2">
                  <c:v>3179</c:v>
                </c:pt>
                <c:pt idx="3">
                  <c:v>3079</c:v>
                </c:pt>
                <c:pt idx="4">
                  <c:v>2108</c:v>
                </c:pt>
                <c:pt idx="5">
                  <c:v>3516</c:v>
                </c:pt>
                <c:pt idx="8">
                  <c:v>3932</c:v>
                </c:pt>
                <c:pt idx="9">
                  <c:v>3987</c:v>
                </c:pt>
                <c:pt idx="10">
                  <c:v>3737</c:v>
                </c:pt>
                <c:pt idx="11">
                  <c:v>3179</c:v>
                </c:pt>
                <c:pt idx="12">
                  <c:v>3725</c:v>
                </c:pt>
                <c:pt idx="13">
                  <c:v>5196</c:v>
                </c:pt>
                <c:pt idx="14">
                  <c:v>4075</c:v>
                </c:pt>
                <c:pt idx="17">
                  <c:v>2830</c:v>
                </c:pt>
                <c:pt idx="18">
                  <c:v>5417</c:v>
                </c:pt>
                <c:pt idx="19">
                  <c:v>8338</c:v>
                </c:pt>
                <c:pt idx="20">
                  <c:v>1474</c:v>
                </c:pt>
                <c:pt idx="21">
                  <c:v>5761</c:v>
                </c:pt>
                <c:pt idx="22">
                  <c:v>859</c:v>
                </c:pt>
                <c:pt idx="23">
                  <c:v>6773</c:v>
                </c:pt>
                <c:pt idx="26">
                  <c:v>1753</c:v>
                </c:pt>
                <c:pt idx="27">
                  <c:v>3402</c:v>
                </c:pt>
                <c:pt idx="28">
                  <c:v>12250</c:v>
                </c:pt>
                <c:pt idx="29">
                  <c:v>4374</c:v>
                </c:pt>
                <c:pt idx="30">
                  <c:v>3433</c:v>
                </c:pt>
                <c:pt idx="31">
                  <c:v>8824</c:v>
                </c:pt>
                <c:pt idx="32">
                  <c:v>4906</c:v>
                </c:pt>
                <c:pt idx="33">
                  <c:v>3220</c:v>
                </c:pt>
                <c:pt idx="36">
                  <c:v>10362</c:v>
                </c:pt>
                <c:pt idx="37">
                  <c:v>3063</c:v>
                </c:pt>
                <c:pt idx="38">
                  <c:v>5582</c:v>
                </c:pt>
                <c:pt idx="39">
                  <c:v>3221</c:v>
                </c:pt>
                <c:pt idx="40">
                  <c:v>8006</c:v>
                </c:pt>
              </c:numCache>
            </c:numRef>
          </c:val>
        </c:ser>
        <c:dLbls>
          <c:showLegendKey val="0"/>
          <c:showVal val="0"/>
          <c:showCatName val="0"/>
          <c:showSerName val="0"/>
          <c:showPercent val="0"/>
          <c:showBubbleSize val="0"/>
        </c:dLbls>
        <c:gapWidth val="50"/>
        <c:overlap val="-10"/>
        <c:axId val="778600208"/>
        <c:axId val="778600768"/>
      </c:barChart>
      <c:catAx>
        <c:axId val="778600208"/>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8600768"/>
        <c:crosses val="autoZero"/>
        <c:auto val="1"/>
        <c:lblAlgn val="ctr"/>
        <c:lblOffset val="100"/>
        <c:noMultiLvlLbl val="0"/>
      </c:catAx>
      <c:valAx>
        <c:axId val="778600768"/>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8600208"/>
        <c:crosses val="autoZero"/>
        <c:crossBetween val="between"/>
      </c:valAx>
      <c:spPr>
        <a:noFill/>
        <a:ln>
          <a:noFill/>
        </a:ln>
        <a:effectLst/>
      </c:spPr>
    </c:plotArea>
    <c:legend>
      <c:legendPos val="b"/>
      <c:layout>
        <c:manualLayout>
          <c:xMode val="edge"/>
          <c:yMode val="edge"/>
          <c:x val="0.6072121442944185"/>
          <c:y val="9.5044674077358823E-3"/>
          <c:w val="0.39278785570558156"/>
          <c:h val="3.9966312776922759E-2"/>
        </c:manualLayout>
      </c:layout>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Unemployed Persons - March 2016</a:t>
            </a:r>
          </a:p>
          <a:p>
            <a:pPr algn="l">
              <a:defRPr/>
            </a:pPr>
            <a:r>
              <a:rPr lang="en-AU"/>
              <a:t>Regional</a:t>
            </a:r>
            <a:r>
              <a:rPr lang="en-AU" baseline="0"/>
              <a:t> Victoria</a:t>
            </a:r>
          </a:p>
          <a:p>
            <a:pPr algn="l">
              <a:defRPr/>
            </a:pPr>
            <a:r>
              <a:rPr lang="en-AU" sz="900" baseline="0"/>
              <a:t>Source: Department of Employment Small Areas Labour Market</a:t>
            </a:r>
            <a:endParaRPr lang="en-AU" sz="900"/>
          </a:p>
        </c:rich>
      </c:tx>
      <c:layout>
        <c:manualLayout>
          <c:xMode val="edge"/>
          <c:yMode val="edge"/>
          <c:x val="1.6055668856144476E-3"/>
          <c:y val="4.7326076668244201E-3"/>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948965765560894"/>
          <c:y val="0.12204339341633408"/>
          <c:w val="0.72567977739244693"/>
          <c:h val="0.85692072447404088"/>
        </c:manualLayout>
      </c:layout>
      <c:barChart>
        <c:barDir val="bar"/>
        <c:grouping val="clustered"/>
        <c:varyColors val="0"/>
        <c:ser>
          <c:idx val="0"/>
          <c:order val="0"/>
          <c:tx>
            <c:strRef>
              <c:f>Sheet2!$G$1</c:f>
              <c:strCache>
                <c:ptCount val="1"/>
                <c:pt idx="0">
                  <c:v>Mar-15</c:v>
                </c:pt>
              </c:strCache>
            </c:strRef>
          </c:tx>
          <c:spPr>
            <a:solidFill>
              <a:srgbClr val="C898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Sheet2!$F$44:$F$96</c:f>
              <c:strCache>
                <c:ptCount val="53"/>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pt idx="52">
                  <c:v>Unincorporated Vic</c:v>
                </c:pt>
              </c:strCache>
            </c:strRef>
          </c:cat>
          <c:val>
            <c:numRef>
              <c:f>Sheet2!$G$44:$G$96</c:f>
              <c:numCache>
                <c:formatCode>#,##0</c:formatCode>
                <c:ptCount val="53"/>
                <c:pt idx="1">
                  <c:v>2719</c:v>
                </c:pt>
                <c:pt idx="2">
                  <c:v>4417</c:v>
                </c:pt>
                <c:pt idx="3">
                  <c:v>8999</c:v>
                </c:pt>
                <c:pt idx="4">
                  <c:v>2605</c:v>
                </c:pt>
                <c:pt idx="5">
                  <c:v>465</c:v>
                </c:pt>
                <c:pt idx="6">
                  <c:v>2598</c:v>
                </c:pt>
                <c:pt idx="7">
                  <c:v>2054</c:v>
                </c:pt>
                <c:pt idx="8">
                  <c:v>873</c:v>
                </c:pt>
                <c:pt idx="9">
                  <c:v>1135</c:v>
                </c:pt>
                <c:pt idx="10">
                  <c:v>1423</c:v>
                </c:pt>
                <c:pt idx="13">
                  <c:v>858</c:v>
                </c:pt>
                <c:pt idx="14">
                  <c:v>910</c:v>
                </c:pt>
                <c:pt idx="15">
                  <c:v>427</c:v>
                </c:pt>
                <c:pt idx="16">
                  <c:v>848</c:v>
                </c:pt>
                <c:pt idx="17">
                  <c:v>958</c:v>
                </c:pt>
                <c:pt idx="18">
                  <c:v>353</c:v>
                </c:pt>
                <c:pt idx="19">
                  <c:v>48</c:v>
                </c:pt>
                <c:pt idx="20">
                  <c:v>502</c:v>
                </c:pt>
                <c:pt idx="21">
                  <c:v>560</c:v>
                </c:pt>
                <c:pt idx="24">
                  <c:v>271</c:v>
                </c:pt>
                <c:pt idx="25">
                  <c:v>334</c:v>
                </c:pt>
                <c:pt idx="26">
                  <c:v>473</c:v>
                </c:pt>
                <c:pt idx="27">
                  <c:v>126</c:v>
                </c:pt>
                <c:pt idx="28">
                  <c:v>1210</c:v>
                </c:pt>
                <c:pt idx="29">
                  <c:v>466</c:v>
                </c:pt>
                <c:pt idx="30">
                  <c:v>760</c:v>
                </c:pt>
                <c:pt idx="31">
                  <c:v>376</c:v>
                </c:pt>
                <c:pt idx="32">
                  <c:v>1241</c:v>
                </c:pt>
                <c:pt idx="33">
                  <c:v>217</c:v>
                </c:pt>
                <c:pt idx="34">
                  <c:v>774</c:v>
                </c:pt>
                <c:pt idx="35">
                  <c:v>300</c:v>
                </c:pt>
                <c:pt idx="36">
                  <c:v>132</c:v>
                </c:pt>
                <c:pt idx="37">
                  <c:v>349</c:v>
                </c:pt>
                <c:pt idx="38">
                  <c:v>275</c:v>
                </c:pt>
                <c:pt idx="39">
                  <c:v>159</c:v>
                </c:pt>
                <c:pt idx="40">
                  <c:v>902</c:v>
                </c:pt>
                <c:pt idx="41">
                  <c:v>642</c:v>
                </c:pt>
                <c:pt idx="42">
                  <c:v>340</c:v>
                </c:pt>
                <c:pt idx="43">
                  <c:v>341</c:v>
                </c:pt>
                <c:pt idx="44">
                  <c:v>155</c:v>
                </c:pt>
                <c:pt idx="45">
                  <c:v>557</c:v>
                </c:pt>
                <c:pt idx="46">
                  <c:v>238</c:v>
                </c:pt>
                <c:pt idx="47">
                  <c:v>547</c:v>
                </c:pt>
                <c:pt idx="48">
                  <c:v>155</c:v>
                </c:pt>
                <c:pt idx="49">
                  <c:v>990</c:v>
                </c:pt>
                <c:pt idx="50">
                  <c:v>75</c:v>
                </c:pt>
                <c:pt idx="51">
                  <c:v>158</c:v>
                </c:pt>
                <c:pt idx="52">
                  <c:v>17</c:v>
                </c:pt>
              </c:numCache>
            </c:numRef>
          </c:val>
        </c:ser>
        <c:ser>
          <c:idx val="1"/>
          <c:order val="1"/>
          <c:tx>
            <c:strRef>
              <c:f>Sheet2!$H$1</c:f>
              <c:strCache>
                <c:ptCount val="1"/>
                <c:pt idx="0">
                  <c:v>Mar-16</c:v>
                </c:pt>
              </c:strCache>
            </c:strRef>
          </c:tx>
          <c:spPr>
            <a:solidFill>
              <a:schemeClr val="accent4">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Sheet2!$F$44:$F$96</c:f>
              <c:strCache>
                <c:ptCount val="53"/>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pt idx="52">
                  <c:v>Unincorporated Vic</c:v>
                </c:pt>
              </c:strCache>
            </c:strRef>
          </c:cat>
          <c:val>
            <c:numRef>
              <c:f>Sheet2!$H$44:$H$96</c:f>
              <c:numCache>
                <c:formatCode>#,##0</c:formatCode>
                <c:ptCount val="53"/>
                <c:pt idx="1">
                  <c:v>3074</c:v>
                </c:pt>
                <c:pt idx="2">
                  <c:v>3692</c:v>
                </c:pt>
                <c:pt idx="3">
                  <c:v>6856</c:v>
                </c:pt>
                <c:pt idx="4">
                  <c:v>2111</c:v>
                </c:pt>
                <c:pt idx="5">
                  <c:v>480</c:v>
                </c:pt>
                <c:pt idx="6">
                  <c:v>3474</c:v>
                </c:pt>
                <c:pt idx="7">
                  <c:v>2100</c:v>
                </c:pt>
                <c:pt idx="8">
                  <c:v>884</c:v>
                </c:pt>
                <c:pt idx="9">
                  <c:v>605</c:v>
                </c:pt>
                <c:pt idx="10">
                  <c:v>1498</c:v>
                </c:pt>
                <c:pt idx="13">
                  <c:v>1121</c:v>
                </c:pt>
                <c:pt idx="14">
                  <c:v>1165</c:v>
                </c:pt>
                <c:pt idx="15">
                  <c:v>380</c:v>
                </c:pt>
                <c:pt idx="16">
                  <c:v>772</c:v>
                </c:pt>
                <c:pt idx="17">
                  <c:v>1049</c:v>
                </c:pt>
                <c:pt idx="18">
                  <c:v>349</c:v>
                </c:pt>
                <c:pt idx="19">
                  <c:v>36</c:v>
                </c:pt>
                <c:pt idx="20">
                  <c:v>639</c:v>
                </c:pt>
                <c:pt idx="21">
                  <c:v>415</c:v>
                </c:pt>
                <c:pt idx="24">
                  <c:v>273</c:v>
                </c:pt>
                <c:pt idx="25">
                  <c:v>383</c:v>
                </c:pt>
                <c:pt idx="26">
                  <c:v>464</c:v>
                </c:pt>
                <c:pt idx="27">
                  <c:v>152</c:v>
                </c:pt>
                <c:pt idx="28">
                  <c:v>1000</c:v>
                </c:pt>
                <c:pt idx="29">
                  <c:v>538</c:v>
                </c:pt>
                <c:pt idx="30">
                  <c:v>360</c:v>
                </c:pt>
                <c:pt idx="31">
                  <c:v>197</c:v>
                </c:pt>
                <c:pt idx="32">
                  <c:v>1630</c:v>
                </c:pt>
                <c:pt idx="33">
                  <c:v>226</c:v>
                </c:pt>
                <c:pt idx="34">
                  <c:v>428</c:v>
                </c:pt>
                <c:pt idx="35">
                  <c:v>357</c:v>
                </c:pt>
                <c:pt idx="36">
                  <c:v>147</c:v>
                </c:pt>
                <c:pt idx="37">
                  <c:v>384</c:v>
                </c:pt>
                <c:pt idx="38">
                  <c:v>233</c:v>
                </c:pt>
                <c:pt idx="39">
                  <c:v>161</c:v>
                </c:pt>
                <c:pt idx="40">
                  <c:v>783</c:v>
                </c:pt>
                <c:pt idx="41">
                  <c:v>545</c:v>
                </c:pt>
                <c:pt idx="42">
                  <c:v>183</c:v>
                </c:pt>
                <c:pt idx="43">
                  <c:v>344</c:v>
                </c:pt>
                <c:pt idx="44">
                  <c:v>202</c:v>
                </c:pt>
                <c:pt idx="45">
                  <c:v>291</c:v>
                </c:pt>
                <c:pt idx="46">
                  <c:v>255</c:v>
                </c:pt>
                <c:pt idx="47">
                  <c:v>550</c:v>
                </c:pt>
                <c:pt idx="48">
                  <c:v>179</c:v>
                </c:pt>
                <c:pt idx="49">
                  <c:v>1283</c:v>
                </c:pt>
                <c:pt idx="50">
                  <c:v>77</c:v>
                </c:pt>
                <c:pt idx="51">
                  <c:v>198</c:v>
                </c:pt>
                <c:pt idx="52">
                  <c:v>16</c:v>
                </c:pt>
              </c:numCache>
            </c:numRef>
          </c:val>
        </c:ser>
        <c:dLbls>
          <c:showLegendKey val="0"/>
          <c:showVal val="0"/>
          <c:showCatName val="0"/>
          <c:showSerName val="0"/>
          <c:showPercent val="0"/>
          <c:showBubbleSize val="0"/>
        </c:dLbls>
        <c:gapWidth val="50"/>
        <c:axId val="807850880"/>
        <c:axId val="807851440"/>
      </c:barChart>
      <c:catAx>
        <c:axId val="807850880"/>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7851440"/>
        <c:crosses val="autoZero"/>
        <c:auto val="1"/>
        <c:lblAlgn val="ctr"/>
        <c:lblOffset val="100"/>
        <c:noMultiLvlLbl val="0"/>
      </c:catAx>
      <c:valAx>
        <c:axId val="807851440"/>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7850880"/>
        <c:crosses val="autoZero"/>
        <c:crossBetween val="between"/>
      </c:valAx>
      <c:spPr>
        <a:noFill/>
        <a:ln>
          <a:noFill/>
        </a:ln>
        <a:effectLst/>
      </c:spPr>
    </c:plotArea>
    <c:legend>
      <c:legendPos val="b"/>
      <c:layout>
        <c:manualLayout>
          <c:xMode val="edge"/>
          <c:yMode val="edge"/>
          <c:x val="0.63667247425975715"/>
          <c:y val="9.5044674077358823E-3"/>
          <c:w val="0.36332752574024302"/>
          <c:h val="3.9966312776922759E-2"/>
        </c:manualLayout>
      </c:layout>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a:t>Labour Force</a:t>
            </a:r>
            <a:r>
              <a:rPr lang="en-US" baseline="0"/>
              <a:t> and Unemployed Persons</a:t>
            </a:r>
            <a:r>
              <a:rPr lang="en-US"/>
              <a:t> - March 2016</a:t>
            </a:r>
          </a:p>
          <a:p>
            <a:pPr algn="l">
              <a:defRPr/>
            </a:pPr>
            <a:r>
              <a:rPr lang="en-US"/>
              <a:t>Metropolitan</a:t>
            </a:r>
            <a:r>
              <a:rPr lang="en-US" baseline="0"/>
              <a:t> Melbourne</a:t>
            </a:r>
          </a:p>
          <a:p>
            <a:pPr algn="l">
              <a:defRPr/>
            </a:pPr>
            <a:r>
              <a:rPr lang="en-US" sz="800" baseline="0"/>
              <a:t>Source: Department of Employment Small Area Labour Market</a:t>
            </a:r>
            <a:endParaRPr lang="en-US" sz="800"/>
          </a:p>
        </c:rich>
      </c:tx>
      <c:layout>
        <c:manualLayout>
          <c:xMode val="edge"/>
          <c:yMode val="edge"/>
          <c:x val="8.7099811676083938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597572549194062"/>
          <c:y val="0.12070845596355248"/>
          <c:w val="0.73739527262482019"/>
          <c:h val="0.86064507347540464"/>
        </c:manualLayout>
      </c:layout>
      <c:barChart>
        <c:barDir val="bar"/>
        <c:grouping val="stacked"/>
        <c:varyColors val="0"/>
        <c:ser>
          <c:idx val="0"/>
          <c:order val="0"/>
          <c:tx>
            <c:v>Unemployed Persons</c:v>
          </c:tx>
          <c:spPr>
            <a:solidFill>
              <a:schemeClr val="accent4"/>
            </a:solidFill>
            <a:ln>
              <a:solidFill>
                <a:schemeClr val="tx1"/>
              </a:solidFill>
            </a:ln>
            <a:effectLst/>
          </c:spPr>
          <c:invertIfNegative val="0"/>
          <c:cat>
            <c:strRef>
              <c:f>Sheet1!$C$2:$C$42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Sheet1!$G$2:$G$42</c:f>
              <c:numCache>
                <c:formatCode>#,##0</c:formatCode>
                <c:ptCount val="41"/>
                <c:pt idx="1">
                  <c:v>3619</c:v>
                </c:pt>
                <c:pt idx="2">
                  <c:v>3179</c:v>
                </c:pt>
                <c:pt idx="3">
                  <c:v>3079</c:v>
                </c:pt>
                <c:pt idx="4">
                  <c:v>2108</c:v>
                </c:pt>
                <c:pt idx="5">
                  <c:v>3516</c:v>
                </c:pt>
                <c:pt idx="8">
                  <c:v>3932</c:v>
                </c:pt>
                <c:pt idx="9">
                  <c:v>3987</c:v>
                </c:pt>
                <c:pt idx="10">
                  <c:v>3737</c:v>
                </c:pt>
                <c:pt idx="11">
                  <c:v>3179</c:v>
                </c:pt>
                <c:pt idx="12">
                  <c:v>3725</c:v>
                </c:pt>
                <c:pt idx="13">
                  <c:v>5196</c:v>
                </c:pt>
                <c:pt idx="14">
                  <c:v>4075</c:v>
                </c:pt>
                <c:pt idx="17">
                  <c:v>2830</c:v>
                </c:pt>
                <c:pt idx="18">
                  <c:v>5417</c:v>
                </c:pt>
                <c:pt idx="19">
                  <c:v>8338</c:v>
                </c:pt>
                <c:pt idx="20">
                  <c:v>1474</c:v>
                </c:pt>
                <c:pt idx="21">
                  <c:v>5761</c:v>
                </c:pt>
                <c:pt idx="22">
                  <c:v>859</c:v>
                </c:pt>
                <c:pt idx="23">
                  <c:v>6773</c:v>
                </c:pt>
                <c:pt idx="26">
                  <c:v>1753</c:v>
                </c:pt>
                <c:pt idx="27">
                  <c:v>3402</c:v>
                </c:pt>
                <c:pt idx="28">
                  <c:v>12250</c:v>
                </c:pt>
                <c:pt idx="29">
                  <c:v>4374</c:v>
                </c:pt>
                <c:pt idx="30">
                  <c:v>3433</c:v>
                </c:pt>
                <c:pt idx="31">
                  <c:v>8824</c:v>
                </c:pt>
                <c:pt idx="32">
                  <c:v>4906</c:v>
                </c:pt>
                <c:pt idx="33">
                  <c:v>3220</c:v>
                </c:pt>
                <c:pt idx="36">
                  <c:v>10362</c:v>
                </c:pt>
                <c:pt idx="37">
                  <c:v>3063</c:v>
                </c:pt>
                <c:pt idx="38">
                  <c:v>5582</c:v>
                </c:pt>
                <c:pt idx="39">
                  <c:v>3221</c:v>
                </c:pt>
                <c:pt idx="40">
                  <c:v>8006</c:v>
                </c:pt>
              </c:numCache>
            </c:numRef>
          </c:val>
        </c:ser>
        <c:ser>
          <c:idx val="1"/>
          <c:order val="1"/>
          <c:tx>
            <c:v>Total Labour Force</c:v>
          </c:tx>
          <c:spPr>
            <a:solidFill>
              <a:schemeClr val="accent6">
                <a:lumMod val="75000"/>
              </a:schemeClr>
            </a:solidFill>
            <a:ln>
              <a:solidFill>
                <a:schemeClr val="tx1"/>
              </a:solidFill>
            </a:ln>
            <a:effectLst/>
          </c:spPr>
          <c:invertIfNegative val="0"/>
          <c:val>
            <c:numRef>
              <c:f>Sheet1!$H$2:$H$42</c:f>
              <c:numCache>
                <c:formatCode>#,##0</c:formatCode>
                <c:ptCount val="41"/>
                <c:pt idx="1">
                  <c:v>46444</c:v>
                </c:pt>
                <c:pt idx="2">
                  <c:v>73044</c:v>
                </c:pt>
                <c:pt idx="3">
                  <c:v>66860</c:v>
                </c:pt>
                <c:pt idx="4">
                  <c:v>63159</c:v>
                </c:pt>
                <c:pt idx="5">
                  <c:v>52381</c:v>
                </c:pt>
                <c:pt idx="8">
                  <c:v>95473</c:v>
                </c:pt>
                <c:pt idx="9">
                  <c:v>82928</c:v>
                </c:pt>
                <c:pt idx="10">
                  <c:v>59648</c:v>
                </c:pt>
                <c:pt idx="11">
                  <c:v>57528</c:v>
                </c:pt>
                <c:pt idx="12">
                  <c:v>94728</c:v>
                </c:pt>
                <c:pt idx="13">
                  <c:v>81874</c:v>
                </c:pt>
                <c:pt idx="14">
                  <c:v>78311</c:v>
                </c:pt>
                <c:pt idx="17">
                  <c:v>65509</c:v>
                </c:pt>
                <c:pt idx="18">
                  <c:v>73551</c:v>
                </c:pt>
                <c:pt idx="19">
                  <c:v>83792</c:v>
                </c:pt>
                <c:pt idx="20">
                  <c:v>19808</c:v>
                </c:pt>
                <c:pt idx="21">
                  <c:v>81184</c:v>
                </c:pt>
                <c:pt idx="22">
                  <c:v>36721</c:v>
                </c:pt>
                <c:pt idx="23">
                  <c:v>90566</c:v>
                </c:pt>
                <c:pt idx="26">
                  <c:v>51631</c:v>
                </c:pt>
                <c:pt idx="27">
                  <c:v>44903</c:v>
                </c:pt>
                <c:pt idx="28">
                  <c:v>143289</c:v>
                </c:pt>
                <c:pt idx="29">
                  <c:v>67099</c:v>
                </c:pt>
                <c:pt idx="30">
                  <c:v>78468</c:v>
                </c:pt>
                <c:pt idx="31">
                  <c:v>63079</c:v>
                </c:pt>
                <c:pt idx="32">
                  <c:v>80586</c:v>
                </c:pt>
                <c:pt idx="33">
                  <c:v>70370</c:v>
                </c:pt>
                <c:pt idx="36">
                  <c:v>94501</c:v>
                </c:pt>
                <c:pt idx="37">
                  <c:v>49290</c:v>
                </c:pt>
                <c:pt idx="38">
                  <c:v>66804</c:v>
                </c:pt>
                <c:pt idx="39">
                  <c:v>60487</c:v>
                </c:pt>
                <c:pt idx="40">
                  <c:v>108338</c:v>
                </c:pt>
              </c:numCache>
            </c:numRef>
          </c:val>
        </c:ser>
        <c:dLbls>
          <c:showLegendKey val="0"/>
          <c:showVal val="0"/>
          <c:showCatName val="0"/>
          <c:showSerName val="0"/>
          <c:showPercent val="0"/>
          <c:showBubbleSize val="0"/>
        </c:dLbls>
        <c:gapWidth val="25"/>
        <c:overlap val="100"/>
        <c:axId val="807854240"/>
        <c:axId val="807854800"/>
      </c:barChart>
      <c:catAx>
        <c:axId val="807854240"/>
        <c:scaling>
          <c:orientation val="maxMin"/>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7854800"/>
        <c:crosses val="autoZero"/>
        <c:auto val="1"/>
        <c:lblAlgn val="ctr"/>
        <c:lblOffset val="100"/>
        <c:noMultiLvlLbl val="0"/>
      </c:catAx>
      <c:valAx>
        <c:axId val="807854800"/>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7854240"/>
        <c:crosses val="autoZero"/>
        <c:crossBetween val="between"/>
      </c:valAx>
      <c:spPr>
        <a:noFill/>
        <a:ln>
          <a:noFill/>
        </a:ln>
        <a:effectLst/>
      </c:spPr>
    </c:plotArea>
    <c:legend>
      <c:legendPos val="t"/>
      <c:layout>
        <c:manualLayout>
          <c:xMode val="edge"/>
          <c:yMode val="edge"/>
          <c:x val="0.74573917137476464"/>
          <c:y val="6.4335280007807227E-3"/>
          <c:w val="0.23104768153980748"/>
          <c:h val="7.188994355157660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a:t>Labour Force</a:t>
            </a:r>
            <a:r>
              <a:rPr lang="en-US" baseline="0"/>
              <a:t> and Unemployed Persons</a:t>
            </a:r>
            <a:r>
              <a:rPr lang="en-US"/>
              <a:t> - March 2016</a:t>
            </a:r>
          </a:p>
          <a:p>
            <a:pPr algn="l">
              <a:defRPr/>
            </a:pPr>
            <a:r>
              <a:rPr lang="en-US"/>
              <a:t>Regional Victoria</a:t>
            </a:r>
            <a:endParaRPr lang="en-US" baseline="0"/>
          </a:p>
          <a:p>
            <a:pPr algn="l">
              <a:defRPr/>
            </a:pPr>
            <a:r>
              <a:rPr lang="en-US" sz="800" baseline="0"/>
              <a:t>Source: Department of Employment Small Area Labour Market</a:t>
            </a:r>
            <a:endParaRPr lang="en-US" sz="800"/>
          </a:p>
        </c:rich>
      </c:tx>
      <c:layout>
        <c:manualLayout>
          <c:xMode val="edge"/>
          <c:yMode val="edge"/>
          <c:x val="8.7099811676083938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597572549194062"/>
          <c:y val="0.12070845596355248"/>
          <c:w val="0.73739527262482019"/>
          <c:h val="0.86064507347540464"/>
        </c:manualLayout>
      </c:layout>
      <c:barChart>
        <c:barDir val="bar"/>
        <c:grouping val="stacked"/>
        <c:varyColors val="0"/>
        <c:ser>
          <c:idx val="0"/>
          <c:order val="0"/>
          <c:tx>
            <c:v>Unemployed Persons</c:v>
          </c:tx>
          <c:spPr>
            <a:solidFill>
              <a:schemeClr val="accent4"/>
            </a:solidFill>
            <a:ln>
              <a:solidFill>
                <a:schemeClr val="tx1"/>
              </a:solidFill>
            </a:ln>
            <a:effectLst/>
          </c:spPr>
          <c:invertIfNegative val="0"/>
          <c:cat>
            <c:strRef>
              <c:f>Sheet1!$C$44:$C$96</c:f>
              <c:strCache>
                <c:ptCount val="53"/>
                <c:pt idx="0">
                  <c:v>Key Regional Cities </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pt idx="52">
                  <c:v>Unincorporated Vic</c:v>
                </c:pt>
              </c:strCache>
            </c:strRef>
          </c:cat>
          <c:val>
            <c:numRef>
              <c:f>Sheet1!$G$44:$G$96</c:f>
              <c:numCache>
                <c:formatCode>#,##0</c:formatCode>
                <c:ptCount val="53"/>
                <c:pt idx="1">
                  <c:v>3074</c:v>
                </c:pt>
                <c:pt idx="2">
                  <c:v>3692</c:v>
                </c:pt>
                <c:pt idx="3">
                  <c:v>6856</c:v>
                </c:pt>
                <c:pt idx="4">
                  <c:v>2111</c:v>
                </c:pt>
                <c:pt idx="5">
                  <c:v>480</c:v>
                </c:pt>
                <c:pt idx="6">
                  <c:v>3474</c:v>
                </c:pt>
                <c:pt idx="7">
                  <c:v>2100</c:v>
                </c:pt>
                <c:pt idx="8">
                  <c:v>884</c:v>
                </c:pt>
                <c:pt idx="9">
                  <c:v>605</c:v>
                </c:pt>
                <c:pt idx="10">
                  <c:v>1498</c:v>
                </c:pt>
                <c:pt idx="13">
                  <c:v>1121</c:v>
                </c:pt>
                <c:pt idx="14">
                  <c:v>1165</c:v>
                </c:pt>
                <c:pt idx="15">
                  <c:v>380</c:v>
                </c:pt>
                <c:pt idx="16">
                  <c:v>772</c:v>
                </c:pt>
                <c:pt idx="17">
                  <c:v>1049</c:v>
                </c:pt>
                <c:pt idx="18">
                  <c:v>349</c:v>
                </c:pt>
                <c:pt idx="19">
                  <c:v>36</c:v>
                </c:pt>
                <c:pt idx="20">
                  <c:v>639</c:v>
                </c:pt>
                <c:pt idx="21">
                  <c:v>415</c:v>
                </c:pt>
                <c:pt idx="24">
                  <c:v>273</c:v>
                </c:pt>
                <c:pt idx="25">
                  <c:v>383</c:v>
                </c:pt>
                <c:pt idx="26">
                  <c:v>464</c:v>
                </c:pt>
                <c:pt idx="27">
                  <c:v>152</c:v>
                </c:pt>
                <c:pt idx="28">
                  <c:v>1000</c:v>
                </c:pt>
                <c:pt idx="29">
                  <c:v>538</c:v>
                </c:pt>
                <c:pt idx="30">
                  <c:v>360</c:v>
                </c:pt>
                <c:pt idx="31">
                  <c:v>197</c:v>
                </c:pt>
                <c:pt idx="32">
                  <c:v>1630</c:v>
                </c:pt>
                <c:pt idx="33">
                  <c:v>226</c:v>
                </c:pt>
                <c:pt idx="34">
                  <c:v>428</c:v>
                </c:pt>
                <c:pt idx="35">
                  <c:v>357</c:v>
                </c:pt>
                <c:pt idx="36">
                  <c:v>147</c:v>
                </c:pt>
                <c:pt idx="37">
                  <c:v>384</c:v>
                </c:pt>
                <c:pt idx="38">
                  <c:v>233</c:v>
                </c:pt>
                <c:pt idx="39">
                  <c:v>161</c:v>
                </c:pt>
                <c:pt idx="40">
                  <c:v>783</c:v>
                </c:pt>
                <c:pt idx="41">
                  <c:v>545</c:v>
                </c:pt>
                <c:pt idx="42">
                  <c:v>183</c:v>
                </c:pt>
                <c:pt idx="43">
                  <c:v>344</c:v>
                </c:pt>
                <c:pt idx="44">
                  <c:v>202</c:v>
                </c:pt>
                <c:pt idx="45">
                  <c:v>291</c:v>
                </c:pt>
                <c:pt idx="46">
                  <c:v>255</c:v>
                </c:pt>
                <c:pt idx="47">
                  <c:v>550</c:v>
                </c:pt>
                <c:pt idx="48">
                  <c:v>179</c:v>
                </c:pt>
                <c:pt idx="49">
                  <c:v>1283</c:v>
                </c:pt>
                <c:pt idx="50">
                  <c:v>77</c:v>
                </c:pt>
                <c:pt idx="51">
                  <c:v>198</c:v>
                </c:pt>
                <c:pt idx="52">
                  <c:v>16</c:v>
                </c:pt>
              </c:numCache>
            </c:numRef>
          </c:val>
        </c:ser>
        <c:ser>
          <c:idx val="1"/>
          <c:order val="1"/>
          <c:tx>
            <c:v>Total Labour Force</c:v>
          </c:tx>
          <c:spPr>
            <a:solidFill>
              <a:schemeClr val="accent6">
                <a:lumMod val="75000"/>
              </a:schemeClr>
            </a:solidFill>
            <a:ln>
              <a:solidFill>
                <a:schemeClr val="tx1"/>
              </a:solidFill>
            </a:ln>
            <a:effectLst/>
          </c:spPr>
          <c:invertIfNegative val="0"/>
          <c:cat>
            <c:strRef>
              <c:f>Sheet1!$C$44:$C$96</c:f>
              <c:strCache>
                <c:ptCount val="53"/>
                <c:pt idx="0">
                  <c:v>Key Regional Cities </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pt idx="52">
                  <c:v>Unincorporated Vic</c:v>
                </c:pt>
              </c:strCache>
            </c:strRef>
          </c:cat>
          <c:val>
            <c:numRef>
              <c:f>Sheet1!$H$44:$H$84</c:f>
              <c:numCache>
                <c:formatCode>#,##0</c:formatCode>
                <c:ptCount val="41"/>
                <c:pt idx="1">
                  <c:v>48997</c:v>
                </c:pt>
                <c:pt idx="2">
                  <c:v>48604</c:v>
                </c:pt>
                <c:pt idx="3">
                  <c:v>102926</c:v>
                </c:pt>
                <c:pt idx="4">
                  <c:v>31529</c:v>
                </c:pt>
                <c:pt idx="5">
                  <c:v>9273</c:v>
                </c:pt>
                <c:pt idx="6">
                  <c:v>33707</c:v>
                </c:pt>
                <c:pt idx="7">
                  <c:v>22283</c:v>
                </c:pt>
                <c:pt idx="8">
                  <c:v>14516</c:v>
                </c:pt>
                <c:pt idx="9">
                  <c:v>18154</c:v>
                </c:pt>
                <c:pt idx="10">
                  <c:v>20465</c:v>
                </c:pt>
                <c:pt idx="13">
                  <c:v>14027</c:v>
                </c:pt>
                <c:pt idx="14">
                  <c:v>23330</c:v>
                </c:pt>
                <c:pt idx="15">
                  <c:v>10235</c:v>
                </c:pt>
                <c:pt idx="16">
                  <c:v>23048</c:v>
                </c:pt>
                <c:pt idx="17">
                  <c:v>16046</c:v>
                </c:pt>
                <c:pt idx="18">
                  <c:v>7080</c:v>
                </c:pt>
                <c:pt idx="19">
                  <c:v>1235</c:v>
                </c:pt>
                <c:pt idx="20">
                  <c:v>13841</c:v>
                </c:pt>
                <c:pt idx="21">
                  <c:v>14096</c:v>
                </c:pt>
                <c:pt idx="24">
                  <c:v>6403</c:v>
                </c:pt>
                <c:pt idx="25">
                  <c:v>4628</c:v>
                </c:pt>
                <c:pt idx="26">
                  <c:v>6779</c:v>
                </c:pt>
                <c:pt idx="27">
                  <c:v>2541</c:v>
                </c:pt>
                <c:pt idx="28">
                  <c:v>18268</c:v>
                </c:pt>
                <c:pt idx="29">
                  <c:v>4583</c:v>
                </c:pt>
                <c:pt idx="30">
                  <c:v>10752</c:v>
                </c:pt>
                <c:pt idx="31">
                  <c:v>8334</c:v>
                </c:pt>
                <c:pt idx="32">
                  <c:v>18795</c:v>
                </c:pt>
                <c:pt idx="33">
                  <c:v>4338</c:v>
                </c:pt>
                <c:pt idx="34">
                  <c:v>9881</c:v>
                </c:pt>
                <c:pt idx="35">
                  <c:v>7095</c:v>
                </c:pt>
                <c:pt idx="36">
                  <c:v>2350</c:v>
                </c:pt>
                <c:pt idx="37">
                  <c:v>8540</c:v>
                </c:pt>
                <c:pt idx="38">
                  <c:v>2952</c:v>
                </c:pt>
                <c:pt idx="39">
                  <c:v>4440</c:v>
                </c:pt>
                <c:pt idx="40">
                  <c:v>13517</c:v>
                </c:pt>
              </c:numCache>
            </c:numRef>
          </c:val>
        </c:ser>
        <c:dLbls>
          <c:showLegendKey val="0"/>
          <c:showVal val="0"/>
          <c:showCatName val="0"/>
          <c:showSerName val="0"/>
          <c:showPercent val="0"/>
          <c:showBubbleSize val="0"/>
        </c:dLbls>
        <c:gapWidth val="25"/>
        <c:overlap val="100"/>
        <c:axId val="807857600"/>
        <c:axId val="807858160"/>
      </c:barChart>
      <c:catAx>
        <c:axId val="807857600"/>
        <c:scaling>
          <c:orientation val="maxMin"/>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7858160"/>
        <c:crosses val="autoZero"/>
        <c:auto val="1"/>
        <c:lblAlgn val="ctr"/>
        <c:lblOffset val="100"/>
        <c:noMultiLvlLbl val="0"/>
      </c:catAx>
      <c:valAx>
        <c:axId val="807858160"/>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7857600"/>
        <c:crosses val="autoZero"/>
        <c:crossBetween val="between"/>
      </c:valAx>
      <c:spPr>
        <a:noFill/>
        <a:ln>
          <a:noFill/>
        </a:ln>
        <a:effectLst/>
      </c:spPr>
    </c:plotArea>
    <c:legend>
      <c:legendPos val="t"/>
      <c:layout>
        <c:manualLayout>
          <c:xMode val="edge"/>
          <c:yMode val="edge"/>
          <c:x val="0.74573917137476464"/>
          <c:y val="6.4335280007807227E-3"/>
          <c:w val="0.23104768153980748"/>
          <c:h val="7.188994355157660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l">
              <a:defRPr>
                <a:solidFill>
                  <a:schemeClr val="tx1"/>
                </a:solidFill>
              </a:defRPr>
            </a:pPr>
            <a:r>
              <a:rPr lang="en-US" sz="1200" b="1">
                <a:solidFill>
                  <a:schemeClr val="tx1"/>
                </a:solidFill>
              </a:rPr>
              <a:t>Number of births in Victoria since 1970</a:t>
            </a:r>
          </a:p>
          <a:p>
            <a:pPr algn="l">
              <a:defRPr>
                <a:solidFill>
                  <a:schemeClr val="tx1"/>
                </a:solidFill>
              </a:defRPr>
            </a:pPr>
            <a:r>
              <a:rPr lang="en-US" sz="700" b="0">
                <a:solidFill>
                  <a:schemeClr val="tx1"/>
                </a:solidFill>
              </a:rPr>
              <a:t>Source: MPA analysis of ABS</a:t>
            </a:r>
            <a:r>
              <a:rPr lang="en-US" sz="700" b="0" baseline="0">
                <a:solidFill>
                  <a:schemeClr val="tx1"/>
                </a:solidFill>
              </a:rPr>
              <a:t> Births and Historic data</a:t>
            </a:r>
            <a:endParaRPr lang="en-US" sz="700" b="0">
              <a:solidFill>
                <a:schemeClr val="tx1"/>
              </a:solidFill>
            </a:endParaRPr>
          </a:p>
        </c:rich>
      </c:tx>
      <c:layout>
        <c:manualLayout>
          <c:xMode val="edge"/>
          <c:yMode val="edge"/>
          <c:x val="1.3357519767700995E-3"/>
          <c:y val="0"/>
        </c:manualLayout>
      </c:layout>
      <c:overlay val="0"/>
      <c:spPr>
        <a:noFill/>
      </c:spPr>
    </c:title>
    <c:autoTitleDeleted val="0"/>
    <c:plotArea>
      <c:layout>
        <c:manualLayout>
          <c:layoutTarget val="inner"/>
          <c:xMode val="edge"/>
          <c:yMode val="edge"/>
          <c:x val="6.7984597235942343E-2"/>
          <c:y val="0.18397890026977826"/>
          <c:w val="0.9214361526977215"/>
          <c:h val="0.69430979901885526"/>
        </c:manualLayout>
      </c:layout>
      <c:barChart>
        <c:barDir val="col"/>
        <c:grouping val="clustered"/>
        <c:varyColors val="0"/>
        <c:ser>
          <c:idx val="0"/>
          <c:order val="0"/>
          <c:tx>
            <c:strRef>
              <c:f>'History of Births'!$A$3</c:f>
              <c:strCache>
                <c:ptCount val="1"/>
                <c:pt idx="0">
                  <c:v>Births</c:v>
                </c:pt>
              </c:strCache>
            </c:strRef>
          </c:tx>
          <c:spPr>
            <a:solidFill>
              <a:schemeClr val="accent1">
                <a:lumMod val="60000"/>
                <a:lumOff val="40000"/>
              </a:schemeClr>
            </a:solidFill>
            <a:ln>
              <a:solidFill>
                <a:prstClr val="black"/>
              </a:solidFill>
            </a:ln>
          </c:spPr>
          <c:invertIfNegative val="0"/>
          <c:dPt>
            <c:idx val="1"/>
            <c:invertIfNegative val="0"/>
            <c:bubble3D val="0"/>
            <c:spPr>
              <a:solidFill>
                <a:schemeClr val="tx2"/>
              </a:solidFill>
              <a:ln>
                <a:solidFill>
                  <a:prstClr val="black"/>
                </a:solidFill>
              </a:ln>
            </c:spPr>
          </c:dPt>
          <c:dPt>
            <c:idx val="42"/>
            <c:invertIfNegative val="0"/>
            <c:bubble3D val="0"/>
            <c:spPr>
              <a:solidFill>
                <a:schemeClr val="tx2"/>
              </a:solidFill>
              <a:ln>
                <a:solidFill>
                  <a:prstClr val="black"/>
                </a:solidFill>
              </a:ln>
            </c:spPr>
          </c:dPt>
          <c:dLbls>
            <c:numFmt formatCode="#,##0" sourceLinked="0"/>
            <c:spPr>
              <a:noFill/>
              <a:ln>
                <a:noFill/>
              </a:ln>
              <a:effectLst/>
            </c:spPr>
            <c:txPr>
              <a:bodyPr rot="-5400000" vert="horz"/>
              <a:lstStyle/>
              <a:p>
                <a:pPr>
                  <a:defRPr sz="6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'History of Births'!$BT$2:$DL$2</c:f>
              <c:numCache>
                <c:formatCode>General</c:formatCode>
                <c:ptCount val="45"/>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numCache>
            </c:numRef>
          </c:cat>
          <c:val>
            <c:numRef>
              <c:f>'History of Births'!$BT$3:$DL$3</c:f>
              <c:numCache>
                <c:formatCode>General</c:formatCode>
                <c:ptCount val="45"/>
                <c:pt idx="0">
                  <c:v>73469</c:v>
                </c:pt>
                <c:pt idx="1">
                  <c:v>75394</c:v>
                </c:pt>
                <c:pt idx="2">
                  <c:v>71713</c:v>
                </c:pt>
                <c:pt idx="3">
                  <c:v>66910</c:v>
                </c:pt>
                <c:pt idx="4">
                  <c:v>66017</c:v>
                </c:pt>
                <c:pt idx="5">
                  <c:v>61778</c:v>
                </c:pt>
                <c:pt idx="6">
                  <c:v>60413</c:v>
                </c:pt>
                <c:pt idx="7">
                  <c:v>59244</c:v>
                </c:pt>
                <c:pt idx="8">
                  <c:v>58687</c:v>
                </c:pt>
                <c:pt idx="9">
                  <c:v>57628</c:v>
                </c:pt>
                <c:pt idx="10">
                  <c:v>58022</c:v>
                </c:pt>
                <c:pt idx="11">
                  <c:v>59284</c:v>
                </c:pt>
                <c:pt idx="12">
                  <c:v>59876</c:v>
                </c:pt>
                <c:pt idx="13">
                  <c:v>59928</c:v>
                </c:pt>
                <c:pt idx="14">
                  <c:v>59485</c:v>
                </c:pt>
                <c:pt idx="15">
                  <c:v>61555</c:v>
                </c:pt>
                <c:pt idx="16">
                  <c:v>60162</c:v>
                </c:pt>
                <c:pt idx="17">
                  <c:v>61507</c:v>
                </c:pt>
                <c:pt idx="18">
                  <c:v>62134</c:v>
                </c:pt>
                <c:pt idx="19">
                  <c:v>64002</c:v>
                </c:pt>
                <c:pt idx="20">
                  <c:v>66970</c:v>
                </c:pt>
                <c:pt idx="21">
                  <c:v>65438</c:v>
                </c:pt>
                <c:pt idx="22">
                  <c:v>65766</c:v>
                </c:pt>
                <c:pt idx="23">
                  <c:v>64049</c:v>
                </c:pt>
                <c:pt idx="24">
                  <c:v>63974</c:v>
                </c:pt>
                <c:pt idx="25">
                  <c:v>62591</c:v>
                </c:pt>
                <c:pt idx="26">
                  <c:v>61143</c:v>
                </c:pt>
                <c:pt idx="27">
                  <c:v>60732</c:v>
                </c:pt>
                <c:pt idx="28">
                  <c:v>60492</c:v>
                </c:pt>
                <c:pt idx="29">
                  <c:v>58875</c:v>
                </c:pt>
                <c:pt idx="30">
                  <c:v>59171</c:v>
                </c:pt>
                <c:pt idx="31" formatCode="#,##0">
                  <c:v>58626</c:v>
                </c:pt>
                <c:pt idx="32" formatCode="#,##0">
                  <c:v>61478</c:v>
                </c:pt>
                <c:pt idx="33" formatCode="#,##0">
                  <c:v>61058</c:v>
                </c:pt>
                <c:pt idx="34" formatCode="#,##0">
                  <c:v>62417</c:v>
                </c:pt>
                <c:pt idx="35" formatCode="#,##0">
                  <c:v>63287</c:v>
                </c:pt>
                <c:pt idx="36" formatCode="#,##0">
                  <c:v>65236</c:v>
                </c:pt>
                <c:pt idx="37" formatCode="#,##0">
                  <c:v>70313</c:v>
                </c:pt>
                <c:pt idx="38" formatCode="#,##0">
                  <c:v>71175</c:v>
                </c:pt>
                <c:pt idx="39" formatCode="#,##0">
                  <c:v>70920</c:v>
                </c:pt>
                <c:pt idx="40" formatCode="#,##0">
                  <c:v>70568</c:v>
                </c:pt>
                <c:pt idx="41" formatCode="#,##0">
                  <c:v>71444</c:v>
                </c:pt>
                <c:pt idx="42" formatCode="#,##0">
                  <c:v>77405</c:v>
                </c:pt>
                <c:pt idx="43" formatCode="#,##0">
                  <c:v>73969</c:v>
                </c:pt>
                <c:pt idx="44" formatCode="#,##0">
                  <c:v>74224</c:v>
                </c:pt>
              </c:numCache>
            </c:numRef>
          </c:val>
        </c:ser>
        <c:dLbls>
          <c:showLegendKey val="0"/>
          <c:showVal val="0"/>
          <c:showCatName val="0"/>
          <c:showSerName val="0"/>
          <c:showPercent val="0"/>
          <c:showBubbleSize val="0"/>
        </c:dLbls>
        <c:gapWidth val="0"/>
        <c:axId val="790352624"/>
        <c:axId val="790353184"/>
      </c:barChart>
      <c:catAx>
        <c:axId val="790352624"/>
        <c:scaling>
          <c:orientation val="minMax"/>
        </c:scaling>
        <c:delete val="0"/>
        <c:axPos val="b"/>
        <c:numFmt formatCode="General" sourceLinked="1"/>
        <c:majorTickMark val="out"/>
        <c:minorTickMark val="none"/>
        <c:tickLblPos val="low"/>
        <c:txPr>
          <a:bodyPr rot="-5400000" vert="horz"/>
          <a:lstStyle/>
          <a:p>
            <a:pPr>
              <a:defRPr sz="600"/>
            </a:pPr>
            <a:endParaRPr lang="en-US"/>
          </a:p>
        </c:txPr>
        <c:crossAx val="790353184"/>
        <c:crosses val="autoZero"/>
        <c:auto val="1"/>
        <c:lblAlgn val="ctr"/>
        <c:lblOffset val="100"/>
        <c:noMultiLvlLbl val="0"/>
      </c:catAx>
      <c:valAx>
        <c:axId val="790353184"/>
        <c:scaling>
          <c:orientation val="minMax"/>
        </c:scaling>
        <c:delete val="0"/>
        <c:axPos val="l"/>
        <c:majorGridlines/>
        <c:numFmt formatCode="#,##0" sourceLinked="0"/>
        <c:majorTickMark val="out"/>
        <c:minorTickMark val="none"/>
        <c:tickLblPos val="nextTo"/>
        <c:txPr>
          <a:bodyPr/>
          <a:lstStyle/>
          <a:p>
            <a:pPr>
              <a:defRPr sz="700"/>
            </a:pPr>
            <a:endParaRPr lang="en-US"/>
          </a:p>
        </c:txPr>
        <c:crossAx val="790352624"/>
        <c:crosses val="autoZero"/>
        <c:crossBetween val="between"/>
      </c:valAx>
    </c:plotArea>
    <c:plotVisOnly val="1"/>
    <c:dispBlanksAs val="gap"/>
    <c:showDLblsOverMax val="0"/>
  </c:chart>
  <c:spPr>
    <a:solidFill>
      <a:schemeClr val="bg1">
        <a:lumMod val="95000"/>
      </a:schemeClr>
    </a:solidFill>
  </c:sp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Employment by Industry Sector in Victoria - May 2016</a:t>
            </a:r>
          </a:p>
          <a:p>
            <a:pPr>
              <a:defRPr/>
            </a:pPr>
            <a:r>
              <a:rPr lang="en-US"/>
              <a:t>Number of Persons</a:t>
            </a:r>
            <a:r>
              <a:rPr lang="en-US" baseline="0"/>
              <a:t> (000's)</a:t>
            </a:r>
          </a:p>
          <a:p>
            <a:pPr>
              <a:defRPr/>
            </a:pPr>
            <a:r>
              <a:rPr lang="en-US" sz="800" baseline="0"/>
              <a:t>Source: ABS labour force</a:t>
            </a:r>
            <a:endParaRPr lang="en-US" sz="8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683301740060271"/>
          <c:y val="0.1819031903190319"/>
          <c:w val="0.74884417443340301"/>
          <c:h val="0.73566319886581832"/>
        </c:manualLayout>
      </c:layout>
      <c:pieChart>
        <c:varyColors val="1"/>
        <c:ser>
          <c:idx val="0"/>
          <c:order val="0"/>
          <c:tx>
            <c:strRef>
              <c:f>Sheet1!$B$2</c:f>
              <c:strCache>
                <c:ptCount val="1"/>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Pt>
            <c:idx val="10"/>
            <c:bubble3D val="0"/>
            <c:spPr>
              <a:solidFill>
                <a:schemeClr val="accent5">
                  <a:lumMod val="60000"/>
                </a:schemeClr>
              </a:solidFill>
              <a:ln w="19050">
                <a:solidFill>
                  <a:schemeClr val="lt1"/>
                </a:solidFill>
              </a:ln>
              <a:effectLst/>
            </c:spPr>
          </c:dPt>
          <c:dPt>
            <c:idx val="11"/>
            <c:bubble3D val="0"/>
            <c:spPr>
              <a:solidFill>
                <a:schemeClr val="accent6">
                  <a:lumMod val="60000"/>
                </a:schemeClr>
              </a:solidFill>
              <a:ln w="19050">
                <a:solidFill>
                  <a:schemeClr val="lt1"/>
                </a:solidFill>
              </a:ln>
              <a:effectLst/>
            </c:spPr>
          </c:dPt>
          <c:dPt>
            <c:idx val="12"/>
            <c:bubble3D val="0"/>
            <c:spPr>
              <a:solidFill>
                <a:schemeClr val="accent1">
                  <a:lumMod val="80000"/>
                  <a:lumOff val="20000"/>
                </a:schemeClr>
              </a:solidFill>
              <a:ln w="19050">
                <a:solidFill>
                  <a:schemeClr val="lt1"/>
                </a:solidFill>
              </a:ln>
              <a:effectLst/>
            </c:spPr>
          </c:dPt>
          <c:dPt>
            <c:idx val="13"/>
            <c:bubble3D val="0"/>
            <c:spPr>
              <a:solidFill>
                <a:schemeClr val="accent2">
                  <a:lumMod val="80000"/>
                  <a:lumOff val="20000"/>
                </a:schemeClr>
              </a:solidFill>
              <a:ln w="19050">
                <a:solidFill>
                  <a:schemeClr val="lt1"/>
                </a:solidFill>
              </a:ln>
              <a:effectLst/>
            </c:spPr>
          </c:dPt>
          <c:dPt>
            <c:idx val="14"/>
            <c:bubble3D val="0"/>
            <c:spPr>
              <a:solidFill>
                <a:schemeClr val="accent3">
                  <a:lumMod val="80000"/>
                  <a:lumOff val="20000"/>
                </a:schemeClr>
              </a:solidFill>
              <a:ln w="19050">
                <a:solidFill>
                  <a:schemeClr val="lt1"/>
                </a:solidFill>
              </a:ln>
              <a:effectLst/>
            </c:spPr>
          </c:dPt>
          <c:dPt>
            <c:idx val="15"/>
            <c:bubble3D val="0"/>
            <c:spPr>
              <a:solidFill>
                <a:schemeClr val="accent4">
                  <a:lumMod val="80000"/>
                  <a:lumOff val="20000"/>
                </a:schemeClr>
              </a:solidFill>
              <a:ln w="19050">
                <a:solidFill>
                  <a:schemeClr val="lt1"/>
                </a:solidFill>
              </a:ln>
              <a:effectLst/>
            </c:spPr>
          </c:dPt>
          <c:dPt>
            <c:idx val="16"/>
            <c:bubble3D val="0"/>
            <c:spPr>
              <a:solidFill>
                <a:schemeClr val="accent5">
                  <a:lumMod val="80000"/>
                  <a:lumOff val="20000"/>
                </a:schemeClr>
              </a:solidFill>
              <a:ln w="19050">
                <a:solidFill>
                  <a:schemeClr val="lt1"/>
                </a:solidFill>
              </a:ln>
              <a:effectLst/>
            </c:spPr>
          </c:dPt>
          <c:dPt>
            <c:idx val="17"/>
            <c:bubble3D val="0"/>
            <c:spPr>
              <a:solidFill>
                <a:schemeClr val="accent6">
                  <a:lumMod val="80000"/>
                  <a:lumOff val="20000"/>
                </a:schemeClr>
              </a:solidFill>
              <a:ln w="19050">
                <a:solidFill>
                  <a:schemeClr val="lt1"/>
                </a:solidFill>
              </a:ln>
              <a:effectLst/>
            </c:spPr>
          </c:dPt>
          <c:dPt>
            <c:idx val="18"/>
            <c:bubble3D val="0"/>
            <c:spPr>
              <a:solidFill>
                <a:schemeClr val="accent1">
                  <a:lumMod val="80000"/>
                </a:schemeClr>
              </a:solidFill>
              <a:ln w="19050">
                <a:solidFill>
                  <a:schemeClr val="lt1"/>
                </a:solidFill>
              </a:ln>
              <a:effectLst/>
            </c:spPr>
          </c:dPt>
          <c:dLbls>
            <c:dLbl>
              <c:idx val="0"/>
              <c:layout>
                <c:manualLayout>
                  <c:x val="7.7256184990764976E-2"/>
                  <c:y val="-2.1089080732378349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1"/>
              <c:layout>
                <c:manualLayout>
                  <c:x val="0.17015088825702343"/>
                  <c:y val="1.5088270045104926E-3"/>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2"/>
              <c:layout>
                <c:manualLayout>
                  <c:x val="0.15753438320209973"/>
                  <c:y val="3.7406386701662291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3"/>
              <c:layout>
                <c:manualLayout>
                  <c:x val="3.7004053104784077E-4"/>
                  <c:y val="1.8401435818485967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4"/>
              <c:layout>
                <c:manualLayout>
                  <c:x val="-1.7217612636047843E-3"/>
                  <c:y val="-1.3245209035339229E-2"/>
                </c:manualLayout>
              </c:layout>
              <c:spPr>
                <a:no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Lst>
            </c:dLbl>
            <c:dLbl>
              <c:idx val="5"/>
              <c:layout>
                <c:manualLayout>
                  <c:x val="-3.9567351861976452E-4"/>
                  <c:y val="2.1268069339433909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manualLayout>
                      <c:w val="0.13976937564264738"/>
                      <c:h val="7.6448513556058653E-2"/>
                    </c:manualLayout>
                  </c15:layout>
                </c:ext>
              </c:extLst>
            </c:dLbl>
            <c:dLbl>
              <c:idx val="6"/>
              <c:layout>
                <c:manualLayout>
                  <c:x val="-1.8524070269491789E-3"/>
                  <c:y val="7.1880863415494656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7"/>
              <c:layout>
                <c:manualLayout>
                  <c:x val="8.005085620560852E-2"/>
                  <c:y val="-1.1539222154192898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8"/>
              <c:layout>
                <c:manualLayout>
                  <c:x val="0.24172769384499793"/>
                  <c:y val="-1.7533726005768413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9"/>
              <c:layout>
                <c:manualLayout>
                  <c:x val="0.13481677352965094"/>
                  <c:y val="0"/>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23351050338464313"/>
                      <c:h val="9.4313843680932291E-2"/>
                    </c:manualLayout>
                  </c15:layout>
                </c:ext>
              </c:extLst>
            </c:dLbl>
            <c:dLbl>
              <c:idx val="10"/>
              <c:layout>
                <c:manualLayout>
                  <c:x val="-2.2866682538142977E-3"/>
                  <c:y val="2.270648577278133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manualLayout>
                      <c:w val="0.25924557582597807"/>
                      <c:h val="5.2114705111962839E-2"/>
                    </c:manualLayout>
                  </c15:layout>
                </c:ext>
              </c:extLst>
            </c:dLbl>
            <c:dLbl>
              <c:idx val="11"/>
              <c:layout>
                <c:manualLayout>
                  <c:x val="-0.16350251151416823"/>
                  <c:y val="3.1986785765832103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12"/>
              <c:layout>
                <c:manualLayout>
                  <c:x val="-5.7424937987620459E-4"/>
                  <c:y val="1.0426421876385206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13"/>
              <c:layout>
                <c:manualLayout>
                  <c:x val="-4.9121463983668708E-3"/>
                  <c:y val="3.1028192943570992E-2"/>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14"/>
              <c:layout>
                <c:manualLayout>
                  <c:x val="-1.8600463570525923E-2"/>
                  <c:y val="6.8024424110184473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manualLayout>
                      <c:w val="0.14426111232623698"/>
                      <c:h val="9.3044906900328586E-2"/>
                    </c:manualLayout>
                  </c15:layout>
                </c:ext>
              </c:extLst>
            </c:dLbl>
            <c:dLbl>
              <c:idx val="15"/>
              <c:layout>
                <c:manualLayout>
                  <c:x val="-3.6359452464275299E-2"/>
                  <c:y val="-6.4767301130075061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manualLayout>
                      <c:w val="0.122386112326237"/>
                      <c:h val="9.1219423147133993E-2"/>
                    </c:manualLayout>
                  </c15:layout>
                </c:ext>
              </c:extLst>
            </c:dLbl>
            <c:dLbl>
              <c:idx val="16"/>
              <c:layout>
                <c:manualLayout>
                  <c:x val="5.9272321862544964E-3"/>
                  <c:y val="5.2750730912195665E-3"/>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17"/>
              <c:layout>
                <c:manualLayout>
                  <c:x val="-0.13592944979099836"/>
                  <c:y val="7.3339887826179111E-3"/>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18"/>
              <c:layout>
                <c:manualLayout>
                  <c:x val="-8.2133158355205599E-2"/>
                  <c:y val="-1.9959098862642171E-2"/>
                </c:manualLayout>
              </c:layout>
              <c:dLblPos val="bestFit"/>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Sheet1!$A$3:$A$21</c:f>
              <c:strCache>
                <c:ptCount val="19"/>
                <c:pt idx="0">
                  <c:v>     Agriculture, Forestry and Fishing</c:v>
                </c:pt>
                <c:pt idx="1">
                  <c:v>     Mining</c:v>
                </c:pt>
                <c:pt idx="2">
                  <c:v>     Manufacturing</c:v>
                </c:pt>
                <c:pt idx="3">
                  <c:v>     Electricity, Gas, Water and Waste Services</c:v>
                </c:pt>
                <c:pt idx="4">
                  <c:v>     Construction</c:v>
                </c:pt>
                <c:pt idx="5">
                  <c:v>     Wholesale Trade</c:v>
                </c:pt>
                <c:pt idx="6">
                  <c:v>     Retail Trade</c:v>
                </c:pt>
                <c:pt idx="7">
                  <c:v>     Accommodation and Food Services</c:v>
                </c:pt>
                <c:pt idx="8">
                  <c:v>     Transport, Postal and Warehousing</c:v>
                </c:pt>
                <c:pt idx="9">
                  <c:v>     Information Media and Telecommunications</c:v>
                </c:pt>
                <c:pt idx="10">
                  <c:v>     Financial and Insurance Services</c:v>
                </c:pt>
                <c:pt idx="11">
                  <c:v>     Rental, Hiring and Real Estate Services</c:v>
                </c:pt>
                <c:pt idx="12">
                  <c:v>     Professional, Scientific and Technical Services</c:v>
                </c:pt>
                <c:pt idx="13">
                  <c:v>     Administrative and Support Services</c:v>
                </c:pt>
                <c:pt idx="14">
                  <c:v>     Public Administration and Safety</c:v>
                </c:pt>
                <c:pt idx="15">
                  <c:v>     Education and Training</c:v>
                </c:pt>
                <c:pt idx="16">
                  <c:v>     Health Care and Social Assistance</c:v>
                </c:pt>
                <c:pt idx="17">
                  <c:v>     Arts and Recreation Services</c:v>
                </c:pt>
                <c:pt idx="18">
                  <c:v>     Other Services</c:v>
                </c:pt>
              </c:strCache>
            </c:strRef>
          </c:cat>
          <c:val>
            <c:numRef>
              <c:f>Sheet1!$B$3:$B$21</c:f>
              <c:numCache>
                <c:formatCode>0.0</c:formatCode>
                <c:ptCount val="19"/>
                <c:pt idx="0">
                  <c:v>99.1</c:v>
                </c:pt>
                <c:pt idx="1">
                  <c:v>10.1</c:v>
                </c:pt>
                <c:pt idx="2">
                  <c:v>274.39999999999998</c:v>
                </c:pt>
                <c:pt idx="3">
                  <c:v>33.700000000000003</c:v>
                </c:pt>
                <c:pt idx="4">
                  <c:v>275</c:v>
                </c:pt>
                <c:pt idx="5">
                  <c:v>102.6</c:v>
                </c:pt>
                <c:pt idx="6">
                  <c:v>327</c:v>
                </c:pt>
                <c:pt idx="7">
                  <c:v>210.9</c:v>
                </c:pt>
                <c:pt idx="8">
                  <c:v>159.19999999999999</c:v>
                </c:pt>
                <c:pt idx="9">
                  <c:v>56.1</c:v>
                </c:pt>
                <c:pt idx="10">
                  <c:v>113.6</c:v>
                </c:pt>
                <c:pt idx="11">
                  <c:v>43.2</c:v>
                </c:pt>
                <c:pt idx="12">
                  <c:v>266.8</c:v>
                </c:pt>
                <c:pt idx="13">
                  <c:v>107.3</c:v>
                </c:pt>
                <c:pt idx="14">
                  <c:v>145.9</c:v>
                </c:pt>
                <c:pt idx="15">
                  <c:v>237</c:v>
                </c:pt>
                <c:pt idx="16">
                  <c:v>398.8</c:v>
                </c:pt>
                <c:pt idx="17">
                  <c:v>62.8</c:v>
                </c:pt>
                <c:pt idx="18">
                  <c:v>106.1</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200" b="1"/>
              <a:t>Building</a:t>
            </a:r>
            <a:r>
              <a:rPr lang="en-AU" sz="1200" b="1" baseline="0"/>
              <a:t> Approvals for New Dwellings</a:t>
            </a:r>
          </a:p>
          <a:p>
            <a:pPr algn="l">
              <a:defRPr/>
            </a:pPr>
            <a:r>
              <a:rPr lang="en-AU" sz="1200" b="1" baseline="0"/>
              <a:t>- Metropolitan Melbourne 2014-15</a:t>
            </a:r>
          </a:p>
          <a:p>
            <a:pPr algn="l">
              <a:defRPr/>
            </a:pPr>
            <a:r>
              <a:rPr lang="en-AU" sz="800" baseline="0"/>
              <a:t>Source: ABS building approvals </a:t>
            </a:r>
            <a:endParaRPr lang="en-AU" sz="800"/>
          </a:p>
        </c:rich>
      </c:tx>
      <c:layout>
        <c:manualLayout>
          <c:xMode val="edge"/>
          <c:yMode val="edge"/>
          <c:x val="6.1313309185133088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340797048340322"/>
          <c:y val="0.18878141347296901"/>
          <c:w val="0.73888914989444932"/>
          <c:h val="0.7769425563628134"/>
        </c:manualLayout>
      </c:layout>
      <c:barChart>
        <c:barDir val="bar"/>
        <c:grouping val="stacked"/>
        <c:varyColors val="0"/>
        <c:ser>
          <c:idx val="0"/>
          <c:order val="0"/>
          <c:tx>
            <c:strRef>
              <c:f>Dwellings!$C$3</c:f>
              <c:strCache>
                <c:ptCount val="1"/>
                <c:pt idx="0">
                  <c:v>Houses</c:v>
                </c:pt>
              </c:strCache>
            </c:strRef>
          </c:tx>
          <c:spPr>
            <a:solidFill>
              <a:schemeClr val="accent1">
                <a:lumMod val="75000"/>
              </a:schemeClr>
            </a:solidFill>
            <a:ln>
              <a:solidFill>
                <a:schemeClr val="tx1"/>
              </a:solidFill>
            </a:ln>
            <a:effectLst/>
          </c:spPr>
          <c:invertIfNegative val="0"/>
          <c:cat>
            <c:strRef>
              <c:f>Dwellings!$B$4:$B$44</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Dwellings!$C$4:$C$44</c:f>
              <c:numCache>
                <c:formatCode>0</c:formatCode>
                <c:ptCount val="41"/>
                <c:pt idx="1">
                  <c:v>147</c:v>
                </c:pt>
                <c:pt idx="2">
                  <c:v>15</c:v>
                </c:pt>
                <c:pt idx="3">
                  <c:v>50</c:v>
                </c:pt>
                <c:pt idx="4">
                  <c:v>136</c:v>
                </c:pt>
                <c:pt idx="5">
                  <c:v>113</c:v>
                </c:pt>
                <c:pt idx="8">
                  <c:v>555</c:v>
                </c:pt>
                <c:pt idx="9">
                  <c:v>418</c:v>
                </c:pt>
                <c:pt idx="10">
                  <c:v>314</c:v>
                </c:pt>
                <c:pt idx="11">
                  <c:v>436</c:v>
                </c:pt>
                <c:pt idx="12">
                  <c:v>711</c:v>
                </c:pt>
                <c:pt idx="13">
                  <c:v>575</c:v>
                </c:pt>
                <c:pt idx="14">
                  <c:v>481</c:v>
                </c:pt>
                <c:pt idx="17">
                  <c:v>293</c:v>
                </c:pt>
                <c:pt idx="18">
                  <c:v>306</c:v>
                </c:pt>
                <c:pt idx="19">
                  <c:v>1973</c:v>
                </c:pt>
                <c:pt idx="20">
                  <c:v>424</c:v>
                </c:pt>
                <c:pt idx="21">
                  <c:v>462</c:v>
                </c:pt>
                <c:pt idx="22">
                  <c:v>144</c:v>
                </c:pt>
                <c:pt idx="23">
                  <c:v>2706</c:v>
                </c:pt>
                <c:pt idx="26">
                  <c:v>298</c:v>
                </c:pt>
                <c:pt idx="27">
                  <c:v>1359</c:v>
                </c:pt>
                <c:pt idx="28">
                  <c:v>2973</c:v>
                </c:pt>
                <c:pt idx="29">
                  <c:v>346</c:v>
                </c:pt>
                <c:pt idx="30">
                  <c:v>306</c:v>
                </c:pt>
                <c:pt idx="31">
                  <c:v>642</c:v>
                </c:pt>
                <c:pt idx="32">
                  <c:v>401</c:v>
                </c:pt>
                <c:pt idx="33">
                  <c:v>927</c:v>
                </c:pt>
                <c:pt idx="36">
                  <c:v>349</c:v>
                </c:pt>
                <c:pt idx="37">
                  <c:v>233</c:v>
                </c:pt>
                <c:pt idx="38">
                  <c:v>1577</c:v>
                </c:pt>
                <c:pt idx="39">
                  <c:v>363</c:v>
                </c:pt>
                <c:pt idx="40">
                  <c:v>2741</c:v>
                </c:pt>
              </c:numCache>
            </c:numRef>
          </c:val>
        </c:ser>
        <c:ser>
          <c:idx val="1"/>
          <c:order val="1"/>
          <c:tx>
            <c:strRef>
              <c:f>Dwellings!$D$3</c:f>
              <c:strCache>
                <c:ptCount val="1"/>
                <c:pt idx="0">
                  <c:v>Semi-detached, row or terrace houses, townhouses - One storey</c:v>
                </c:pt>
              </c:strCache>
            </c:strRef>
          </c:tx>
          <c:spPr>
            <a:solidFill>
              <a:srgbClr val="FF9999"/>
            </a:solidFill>
            <a:ln>
              <a:solidFill>
                <a:schemeClr val="tx1"/>
              </a:solidFill>
            </a:ln>
            <a:effectLst/>
          </c:spPr>
          <c:invertIfNegative val="0"/>
          <c:cat>
            <c:strRef>
              <c:f>Dwellings!$B$4:$B$44</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Dwellings!$D$4:$D$44</c:f>
              <c:numCache>
                <c:formatCode>0</c:formatCode>
                <c:ptCount val="41"/>
                <c:pt idx="1">
                  <c:v>11</c:v>
                </c:pt>
                <c:pt idx="2" formatCode="General">
                  <c:v>0</c:v>
                </c:pt>
                <c:pt idx="3" formatCode="General">
                  <c:v>0</c:v>
                </c:pt>
                <c:pt idx="4" formatCode="General">
                  <c:v>0</c:v>
                </c:pt>
                <c:pt idx="5">
                  <c:v>2</c:v>
                </c:pt>
                <c:pt idx="8">
                  <c:v>15</c:v>
                </c:pt>
                <c:pt idx="9">
                  <c:v>28</c:v>
                </c:pt>
                <c:pt idx="10">
                  <c:v>14</c:v>
                </c:pt>
                <c:pt idx="11">
                  <c:v>13</c:v>
                </c:pt>
                <c:pt idx="12">
                  <c:v>37</c:v>
                </c:pt>
                <c:pt idx="13">
                  <c:v>13</c:v>
                </c:pt>
                <c:pt idx="14">
                  <c:v>50</c:v>
                </c:pt>
                <c:pt idx="17">
                  <c:v>43</c:v>
                </c:pt>
                <c:pt idx="18">
                  <c:v>98</c:v>
                </c:pt>
                <c:pt idx="19">
                  <c:v>56</c:v>
                </c:pt>
                <c:pt idx="20">
                  <c:v>22</c:v>
                </c:pt>
                <c:pt idx="21">
                  <c:v>81</c:v>
                </c:pt>
                <c:pt idx="22">
                  <c:v>5</c:v>
                </c:pt>
                <c:pt idx="23">
                  <c:v>105</c:v>
                </c:pt>
                <c:pt idx="26">
                  <c:v>12</c:v>
                </c:pt>
                <c:pt idx="27">
                  <c:v>37</c:v>
                </c:pt>
                <c:pt idx="28">
                  <c:v>74</c:v>
                </c:pt>
                <c:pt idx="29">
                  <c:v>26</c:v>
                </c:pt>
                <c:pt idx="30">
                  <c:v>26</c:v>
                </c:pt>
                <c:pt idx="31">
                  <c:v>30</c:v>
                </c:pt>
                <c:pt idx="32">
                  <c:v>28</c:v>
                </c:pt>
                <c:pt idx="33">
                  <c:v>142</c:v>
                </c:pt>
                <c:pt idx="36">
                  <c:v>88</c:v>
                </c:pt>
                <c:pt idx="37">
                  <c:v>48</c:v>
                </c:pt>
                <c:pt idx="38">
                  <c:v>45</c:v>
                </c:pt>
                <c:pt idx="39">
                  <c:v>61</c:v>
                </c:pt>
                <c:pt idx="40">
                  <c:v>37</c:v>
                </c:pt>
              </c:numCache>
            </c:numRef>
          </c:val>
        </c:ser>
        <c:ser>
          <c:idx val="2"/>
          <c:order val="2"/>
          <c:tx>
            <c:strRef>
              <c:f>Dwellings!$E$3</c:f>
              <c:strCache>
                <c:ptCount val="1"/>
                <c:pt idx="0">
                  <c:v>Semi-detached, row or terrace houses, townhouses - Two or more storeys</c:v>
                </c:pt>
              </c:strCache>
            </c:strRef>
          </c:tx>
          <c:spPr>
            <a:solidFill>
              <a:srgbClr val="C00000"/>
            </a:solidFill>
            <a:ln>
              <a:solidFill>
                <a:schemeClr val="tx1"/>
              </a:solidFill>
            </a:ln>
            <a:effectLst/>
          </c:spPr>
          <c:invertIfNegative val="0"/>
          <c:cat>
            <c:strRef>
              <c:f>Dwellings!$B$4:$B$44</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Dwellings!$E$4:$E$44</c:f>
              <c:numCache>
                <c:formatCode>0</c:formatCode>
                <c:ptCount val="41"/>
                <c:pt idx="1">
                  <c:v>325</c:v>
                </c:pt>
                <c:pt idx="2">
                  <c:v>30</c:v>
                </c:pt>
                <c:pt idx="3">
                  <c:v>52</c:v>
                </c:pt>
                <c:pt idx="4">
                  <c:v>60</c:v>
                </c:pt>
                <c:pt idx="5">
                  <c:v>108</c:v>
                </c:pt>
                <c:pt idx="8">
                  <c:v>195</c:v>
                </c:pt>
                <c:pt idx="9">
                  <c:v>152</c:v>
                </c:pt>
                <c:pt idx="10">
                  <c:v>235</c:v>
                </c:pt>
                <c:pt idx="11">
                  <c:v>240</c:v>
                </c:pt>
                <c:pt idx="12">
                  <c:v>339</c:v>
                </c:pt>
                <c:pt idx="13">
                  <c:v>378</c:v>
                </c:pt>
                <c:pt idx="14">
                  <c:v>134</c:v>
                </c:pt>
                <c:pt idx="17">
                  <c:v>208</c:v>
                </c:pt>
                <c:pt idx="18">
                  <c:v>549</c:v>
                </c:pt>
                <c:pt idx="19">
                  <c:v>332</c:v>
                </c:pt>
                <c:pt idx="20">
                  <c:v>14</c:v>
                </c:pt>
                <c:pt idx="21">
                  <c:v>799</c:v>
                </c:pt>
                <c:pt idx="22">
                  <c:v>24</c:v>
                </c:pt>
                <c:pt idx="23">
                  <c:v>517</c:v>
                </c:pt>
                <c:pt idx="26">
                  <c:v>198</c:v>
                </c:pt>
                <c:pt idx="27">
                  <c:v>57</c:v>
                </c:pt>
                <c:pt idx="28">
                  <c:v>221</c:v>
                </c:pt>
                <c:pt idx="29">
                  <c:v>80</c:v>
                </c:pt>
                <c:pt idx="30">
                  <c:v>265</c:v>
                </c:pt>
                <c:pt idx="31">
                  <c:v>557</c:v>
                </c:pt>
                <c:pt idx="32">
                  <c:v>275</c:v>
                </c:pt>
                <c:pt idx="33">
                  <c:v>123</c:v>
                </c:pt>
                <c:pt idx="36">
                  <c:v>157</c:v>
                </c:pt>
                <c:pt idx="37">
                  <c:v>238</c:v>
                </c:pt>
                <c:pt idx="38">
                  <c:v>42</c:v>
                </c:pt>
                <c:pt idx="39">
                  <c:v>343</c:v>
                </c:pt>
                <c:pt idx="40">
                  <c:v>334</c:v>
                </c:pt>
              </c:numCache>
            </c:numRef>
          </c:val>
        </c:ser>
        <c:ser>
          <c:idx val="3"/>
          <c:order val="3"/>
          <c:tx>
            <c:strRef>
              <c:f>Dwellings!$F$3</c:f>
              <c:strCache>
                <c:ptCount val="1"/>
                <c:pt idx="0">
                  <c:v>Flats units or apartments - In a one or two storey block</c:v>
                </c:pt>
              </c:strCache>
            </c:strRef>
          </c:tx>
          <c:spPr>
            <a:solidFill>
              <a:schemeClr val="accent6">
                <a:lumMod val="20000"/>
                <a:lumOff val="80000"/>
              </a:schemeClr>
            </a:solidFill>
            <a:ln>
              <a:solidFill>
                <a:schemeClr val="tx1"/>
              </a:solidFill>
            </a:ln>
            <a:effectLst/>
          </c:spPr>
          <c:invertIfNegative val="0"/>
          <c:cat>
            <c:strRef>
              <c:f>Dwellings!$B$4:$B$44</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Dwellings!$F$4:$F$44</c:f>
              <c:numCache>
                <c:formatCode>0</c:formatCode>
                <c:ptCount val="41"/>
                <c:pt idx="1">
                  <c:v>21</c:v>
                </c:pt>
                <c:pt idx="2">
                  <c:v>6</c:v>
                </c:pt>
                <c:pt idx="3">
                  <c:v>15</c:v>
                </c:pt>
                <c:pt idx="4">
                  <c:v>3</c:v>
                </c:pt>
                <c:pt idx="5">
                  <c:v>45</c:v>
                </c:pt>
                <c:pt idx="8">
                  <c:v>29</c:v>
                </c:pt>
                <c:pt idx="9">
                  <c:v>60</c:v>
                </c:pt>
                <c:pt idx="10">
                  <c:v>27</c:v>
                </c:pt>
                <c:pt idx="11">
                  <c:v>43</c:v>
                </c:pt>
                <c:pt idx="12">
                  <c:v>43</c:v>
                </c:pt>
                <c:pt idx="13">
                  <c:v>63</c:v>
                </c:pt>
                <c:pt idx="14">
                  <c:v>13</c:v>
                </c:pt>
                <c:pt idx="17">
                  <c:v>11</c:v>
                </c:pt>
                <c:pt idx="18">
                  <c:v>42</c:v>
                </c:pt>
                <c:pt idx="19">
                  <c:v>3</c:v>
                </c:pt>
                <c:pt idx="20" formatCode="General">
                  <c:v>0</c:v>
                </c:pt>
                <c:pt idx="21">
                  <c:v>54</c:v>
                </c:pt>
                <c:pt idx="22" formatCode="General">
                  <c:v>0</c:v>
                </c:pt>
                <c:pt idx="23">
                  <c:v>18</c:v>
                </c:pt>
                <c:pt idx="26">
                  <c:v>71</c:v>
                </c:pt>
                <c:pt idx="27">
                  <c:v>29</c:v>
                </c:pt>
                <c:pt idx="28">
                  <c:v>87</c:v>
                </c:pt>
                <c:pt idx="29">
                  <c:v>28</c:v>
                </c:pt>
                <c:pt idx="30">
                  <c:v>33</c:v>
                </c:pt>
                <c:pt idx="31">
                  <c:v>36</c:v>
                </c:pt>
                <c:pt idx="32">
                  <c:v>56</c:v>
                </c:pt>
                <c:pt idx="33">
                  <c:v>71</c:v>
                </c:pt>
                <c:pt idx="36">
                  <c:v>7</c:v>
                </c:pt>
                <c:pt idx="37">
                  <c:v>25</c:v>
                </c:pt>
                <c:pt idx="38" formatCode="General">
                  <c:v>0</c:v>
                </c:pt>
                <c:pt idx="39">
                  <c:v>24</c:v>
                </c:pt>
                <c:pt idx="40">
                  <c:v>47</c:v>
                </c:pt>
              </c:numCache>
            </c:numRef>
          </c:val>
        </c:ser>
        <c:ser>
          <c:idx val="4"/>
          <c:order val="4"/>
          <c:tx>
            <c:strRef>
              <c:f>Dwellings!$G$3</c:f>
              <c:strCache>
                <c:ptCount val="1"/>
                <c:pt idx="0">
                  <c:v>Flats units or apartments - In a three storey block</c:v>
                </c:pt>
              </c:strCache>
            </c:strRef>
          </c:tx>
          <c:spPr>
            <a:solidFill>
              <a:schemeClr val="accent6"/>
            </a:solidFill>
            <a:ln>
              <a:solidFill>
                <a:schemeClr val="tx1"/>
              </a:solidFill>
            </a:ln>
            <a:effectLst/>
          </c:spPr>
          <c:invertIfNegative val="0"/>
          <c:cat>
            <c:strRef>
              <c:f>Dwellings!$B$4:$B$44</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Dwellings!$G$4:$G$44</c:f>
              <c:numCache>
                <c:formatCode>General</c:formatCode>
                <c:ptCount val="41"/>
                <c:pt idx="1">
                  <c:v>0</c:v>
                </c:pt>
                <c:pt idx="2" formatCode="0">
                  <c:v>19</c:v>
                </c:pt>
                <c:pt idx="3" formatCode="0">
                  <c:v>34</c:v>
                </c:pt>
                <c:pt idx="4" formatCode="0">
                  <c:v>192</c:v>
                </c:pt>
                <c:pt idx="5" formatCode="0">
                  <c:v>8</c:v>
                </c:pt>
                <c:pt idx="8" formatCode="0">
                  <c:v>199</c:v>
                </c:pt>
                <c:pt idx="9" formatCode="0">
                  <c:v>57</c:v>
                </c:pt>
                <c:pt idx="10" formatCode="0">
                  <c:v>96</c:v>
                </c:pt>
                <c:pt idx="11" formatCode="0">
                  <c:v>64</c:v>
                </c:pt>
                <c:pt idx="12" formatCode="0">
                  <c:v>24</c:v>
                </c:pt>
                <c:pt idx="13" formatCode="0">
                  <c:v>157</c:v>
                </c:pt>
                <c:pt idx="14" formatCode="0">
                  <c:v>10</c:v>
                </c:pt>
                <c:pt idx="17" formatCode="0">
                  <c:v>74</c:v>
                </c:pt>
                <c:pt idx="18" formatCode="0">
                  <c:v>210</c:v>
                </c:pt>
                <c:pt idx="19">
                  <c:v>0</c:v>
                </c:pt>
                <c:pt idx="20">
                  <c:v>0</c:v>
                </c:pt>
                <c:pt idx="21" formatCode="0">
                  <c:v>72</c:v>
                </c:pt>
                <c:pt idx="22" formatCode="0">
                  <c:v>22</c:v>
                </c:pt>
                <c:pt idx="23" formatCode="0">
                  <c:v>168</c:v>
                </c:pt>
                <c:pt idx="26" formatCode="0">
                  <c:v>101</c:v>
                </c:pt>
                <c:pt idx="27">
                  <c:v>0</c:v>
                </c:pt>
                <c:pt idx="28" formatCode="0">
                  <c:v>8</c:v>
                </c:pt>
                <c:pt idx="29" formatCode="0">
                  <c:v>6</c:v>
                </c:pt>
                <c:pt idx="30" formatCode="0">
                  <c:v>177</c:v>
                </c:pt>
                <c:pt idx="31" formatCode="0">
                  <c:v>12</c:v>
                </c:pt>
                <c:pt idx="32" formatCode="0">
                  <c:v>90</c:v>
                </c:pt>
                <c:pt idx="33">
                  <c:v>0</c:v>
                </c:pt>
                <c:pt idx="36">
                  <c:v>0</c:v>
                </c:pt>
                <c:pt idx="37" formatCode="0">
                  <c:v>15</c:v>
                </c:pt>
                <c:pt idx="38" formatCode="0">
                  <c:v>35</c:v>
                </c:pt>
                <c:pt idx="39" formatCode="0">
                  <c:v>27</c:v>
                </c:pt>
                <c:pt idx="40">
                  <c:v>0</c:v>
                </c:pt>
              </c:numCache>
            </c:numRef>
          </c:val>
        </c:ser>
        <c:ser>
          <c:idx val="5"/>
          <c:order val="5"/>
          <c:tx>
            <c:strRef>
              <c:f>Dwellings!$H$3</c:f>
              <c:strCache>
                <c:ptCount val="1"/>
                <c:pt idx="0">
                  <c:v>Flats units or apartments - In a four or more storey block</c:v>
                </c:pt>
              </c:strCache>
            </c:strRef>
          </c:tx>
          <c:spPr>
            <a:solidFill>
              <a:schemeClr val="accent6">
                <a:lumMod val="50000"/>
              </a:schemeClr>
            </a:solidFill>
            <a:ln>
              <a:solidFill>
                <a:schemeClr val="tx1"/>
              </a:solidFill>
            </a:ln>
            <a:effectLst/>
          </c:spPr>
          <c:invertIfNegative val="0"/>
          <c:cat>
            <c:strRef>
              <c:f>Dwellings!$B$4:$B$44</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Dwellings!$H$4:$H$44</c:f>
              <c:numCache>
                <c:formatCode>0</c:formatCode>
                <c:ptCount val="41"/>
                <c:pt idx="1">
                  <c:v>602</c:v>
                </c:pt>
                <c:pt idx="2">
                  <c:v>9113</c:v>
                </c:pt>
                <c:pt idx="3">
                  <c:v>515</c:v>
                </c:pt>
                <c:pt idx="4">
                  <c:v>1537</c:v>
                </c:pt>
                <c:pt idx="5">
                  <c:v>1101</c:v>
                </c:pt>
                <c:pt idx="8">
                  <c:v>834</c:v>
                </c:pt>
                <c:pt idx="9">
                  <c:v>38</c:v>
                </c:pt>
                <c:pt idx="10">
                  <c:v>777</c:v>
                </c:pt>
                <c:pt idx="11">
                  <c:v>50</c:v>
                </c:pt>
                <c:pt idx="12">
                  <c:v>569</c:v>
                </c:pt>
                <c:pt idx="13">
                  <c:v>807</c:v>
                </c:pt>
                <c:pt idx="14">
                  <c:v>100</c:v>
                </c:pt>
                <c:pt idx="17">
                  <c:v>133</c:v>
                </c:pt>
                <c:pt idx="18">
                  <c:v>914</c:v>
                </c:pt>
                <c:pt idx="19">
                  <c:v>64</c:v>
                </c:pt>
                <c:pt idx="20" formatCode="General">
                  <c:v>0</c:v>
                </c:pt>
                <c:pt idx="21">
                  <c:v>1404</c:v>
                </c:pt>
                <c:pt idx="22" formatCode="General">
                  <c:v>0</c:v>
                </c:pt>
                <c:pt idx="23">
                  <c:v>58</c:v>
                </c:pt>
                <c:pt idx="26">
                  <c:v>528</c:v>
                </c:pt>
                <c:pt idx="27" formatCode="General">
                  <c:v>0</c:v>
                </c:pt>
                <c:pt idx="28" formatCode="General">
                  <c:v>0</c:v>
                </c:pt>
                <c:pt idx="29" formatCode="General">
                  <c:v>0</c:v>
                </c:pt>
                <c:pt idx="30">
                  <c:v>918</c:v>
                </c:pt>
                <c:pt idx="31">
                  <c:v>68</c:v>
                </c:pt>
                <c:pt idx="32">
                  <c:v>247</c:v>
                </c:pt>
                <c:pt idx="33" formatCode="General">
                  <c:v>0</c:v>
                </c:pt>
                <c:pt idx="36" formatCode="General">
                  <c:v>0</c:v>
                </c:pt>
                <c:pt idx="37">
                  <c:v>159</c:v>
                </c:pt>
                <c:pt idx="38" formatCode="General">
                  <c:v>0</c:v>
                </c:pt>
                <c:pt idx="39">
                  <c:v>668</c:v>
                </c:pt>
                <c:pt idx="40" formatCode="General">
                  <c:v>0</c:v>
                </c:pt>
              </c:numCache>
            </c:numRef>
          </c:val>
        </c:ser>
        <c:dLbls>
          <c:showLegendKey val="0"/>
          <c:showVal val="0"/>
          <c:showCatName val="0"/>
          <c:showSerName val="0"/>
          <c:showPercent val="0"/>
          <c:showBubbleSize val="0"/>
        </c:dLbls>
        <c:gapWidth val="30"/>
        <c:overlap val="100"/>
        <c:axId val="789917952"/>
        <c:axId val="789918512"/>
      </c:barChart>
      <c:catAx>
        <c:axId val="7899179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89918512"/>
        <c:crosses val="autoZero"/>
        <c:auto val="1"/>
        <c:lblAlgn val="ctr"/>
        <c:lblOffset val="100"/>
        <c:noMultiLvlLbl val="0"/>
      </c:catAx>
      <c:valAx>
        <c:axId val="789918512"/>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Number</a:t>
                </a:r>
                <a:r>
                  <a:rPr lang="en-AU" baseline="0"/>
                  <a:t> of Dwellings Approved</a:t>
                </a:r>
                <a:endParaRPr lang="en-AU"/>
              </a:p>
            </c:rich>
          </c:tx>
          <c:layout>
            <c:manualLayout>
              <c:xMode val="edge"/>
              <c:yMode val="edge"/>
              <c:x val="0.38134597312068319"/>
              <c:y val="0.1319540149156281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917952"/>
        <c:crosses val="autoZero"/>
        <c:crossBetween val="between"/>
      </c:valAx>
      <c:spPr>
        <a:solidFill>
          <a:schemeClr val="bg1">
            <a:lumMod val="95000"/>
          </a:schemeClr>
        </a:solidFill>
        <a:ln>
          <a:noFill/>
        </a:ln>
        <a:effectLst/>
      </c:spPr>
    </c:plotArea>
    <c:legend>
      <c:legendPos val="b"/>
      <c:layout>
        <c:manualLayout>
          <c:xMode val="edge"/>
          <c:yMode val="edge"/>
          <c:x val="0.41614720668607036"/>
          <c:y val="1.0724997333707816E-3"/>
          <c:w val="0.58292381760507062"/>
          <c:h val="0.1218214546769364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200" b="1"/>
              <a:t>Building</a:t>
            </a:r>
            <a:r>
              <a:rPr lang="en-AU" sz="1200" b="1" baseline="0"/>
              <a:t> Approvals for New Dwellings</a:t>
            </a:r>
          </a:p>
          <a:p>
            <a:pPr algn="l">
              <a:defRPr/>
            </a:pPr>
            <a:r>
              <a:rPr lang="en-AU" sz="1200" b="1" baseline="0"/>
              <a:t>- Regional Victoria 2014-15</a:t>
            </a:r>
          </a:p>
          <a:p>
            <a:pPr algn="l">
              <a:defRPr/>
            </a:pPr>
            <a:r>
              <a:rPr lang="en-AU" sz="800" baseline="0"/>
              <a:t>Source: ABS building approvals </a:t>
            </a:r>
            <a:endParaRPr lang="en-AU" sz="800"/>
          </a:p>
        </c:rich>
      </c:tx>
      <c:layout>
        <c:manualLayout>
          <c:xMode val="edge"/>
          <c:yMode val="edge"/>
          <c:x val="6.1313309185133088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766413323479407"/>
          <c:y val="0.17441363471807403"/>
          <c:w val="0.78851347015848861"/>
          <c:h val="0.81421983889944793"/>
        </c:manualLayout>
      </c:layout>
      <c:barChart>
        <c:barDir val="bar"/>
        <c:grouping val="stacked"/>
        <c:varyColors val="0"/>
        <c:ser>
          <c:idx val="0"/>
          <c:order val="0"/>
          <c:tx>
            <c:strRef>
              <c:f>Dwellings!$C$3</c:f>
              <c:strCache>
                <c:ptCount val="1"/>
                <c:pt idx="0">
                  <c:v>Houses</c:v>
                </c:pt>
              </c:strCache>
            </c:strRef>
          </c:tx>
          <c:spPr>
            <a:solidFill>
              <a:schemeClr val="accent1">
                <a:lumMod val="75000"/>
              </a:schemeClr>
            </a:solidFill>
            <a:ln>
              <a:solidFill>
                <a:schemeClr val="tx1"/>
              </a:solidFill>
            </a:ln>
            <a:effectLst/>
          </c:spPr>
          <c:invertIfNegative val="0"/>
          <c:cat>
            <c:strRef>
              <c:f>Dwellings!$B$46:$B$93</c:f>
              <c:strCache>
                <c:ptCount val="48"/>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0">
                  <c:v>Alpine</c:v>
                </c:pt>
                <c:pt idx="11">
                  <c:v>Ararat</c:v>
                </c:pt>
                <c:pt idx="12">
                  <c:v>Bass Coast</c:v>
                </c:pt>
                <c:pt idx="13">
                  <c:v>Baw Baw</c:v>
                </c:pt>
                <c:pt idx="14">
                  <c:v>Benalla</c:v>
                </c:pt>
                <c:pt idx="15">
                  <c:v>Buloke</c:v>
                </c:pt>
                <c:pt idx="16">
                  <c:v>Campaspe</c:v>
                </c:pt>
                <c:pt idx="17">
                  <c:v>Central Goldfields</c:v>
                </c:pt>
                <c:pt idx="18">
                  <c:v>Colac-Otway</c:v>
                </c:pt>
                <c:pt idx="19">
                  <c:v>Corangamite</c:v>
                </c:pt>
                <c:pt idx="20">
                  <c:v>East Gippsland</c:v>
                </c:pt>
                <c:pt idx="21">
                  <c:v>Gannawarra</c:v>
                </c:pt>
                <c:pt idx="22">
                  <c:v>Glenelg</c:v>
                </c:pt>
                <c:pt idx="23">
                  <c:v>Golden Plains</c:v>
                </c:pt>
                <c:pt idx="24">
                  <c:v>Hepburn</c:v>
                </c:pt>
                <c:pt idx="25">
                  <c:v>Hindmarsh</c:v>
                </c:pt>
                <c:pt idx="26">
                  <c:v>Indigo</c:v>
                </c:pt>
                <c:pt idx="27">
                  <c:v>Loddon</c:v>
                </c:pt>
                <c:pt idx="28">
                  <c:v>Macedon Ranges</c:v>
                </c:pt>
                <c:pt idx="29">
                  <c:v>Mansfield</c:v>
                </c:pt>
                <c:pt idx="30">
                  <c:v>Moira</c:v>
                </c:pt>
                <c:pt idx="31">
                  <c:v>Moorabool</c:v>
                </c:pt>
                <c:pt idx="32">
                  <c:v>Mount Alexander</c:v>
                </c:pt>
                <c:pt idx="33">
                  <c:v>Moyne</c:v>
                </c:pt>
                <c:pt idx="34">
                  <c:v>Murrindindi</c:v>
                </c:pt>
                <c:pt idx="35">
                  <c:v>Northern Grampians</c:v>
                </c:pt>
                <c:pt idx="36">
                  <c:v>Pyrenees</c:v>
                </c:pt>
                <c:pt idx="37">
                  <c:v>Queenscliffe</c:v>
                </c:pt>
                <c:pt idx="38">
                  <c:v>South Gippsland</c:v>
                </c:pt>
                <c:pt idx="39">
                  <c:v>Southern Grampians</c:v>
                </c:pt>
                <c:pt idx="40">
                  <c:v>Strathbogie</c:v>
                </c:pt>
                <c:pt idx="41">
                  <c:v>Surf Coast</c:v>
                </c:pt>
                <c:pt idx="42">
                  <c:v>Swan Hill</c:v>
                </c:pt>
                <c:pt idx="43">
                  <c:v>Towong</c:v>
                </c:pt>
                <c:pt idx="44">
                  <c:v>Wellington</c:v>
                </c:pt>
                <c:pt idx="45">
                  <c:v>West Wimmera</c:v>
                </c:pt>
                <c:pt idx="46">
                  <c:v>Yarriambiack</c:v>
                </c:pt>
                <c:pt idx="47">
                  <c:v>Unincorporated Vic</c:v>
                </c:pt>
              </c:strCache>
            </c:strRef>
          </c:cat>
          <c:val>
            <c:numRef>
              <c:f>Dwellings!$C$46:$C$93</c:f>
              <c:numCache>
                <c:formatCode>0</c:formatCode>
                <c:ptCount val="48"/>
                <c:pt idx="0">
                  <c:v>936</c:v>
                </c:pt>
                <c:pt idx="1">
                  <c:v>995</c:v>
                </c:pt>
                <c:pt idx="2">
                  <c:v>2135</c:v>
                </c:pt>
                <c:pt idx="3">
                  <c:v>323</c:v>
                </c:pt>
                <c:pt idx="4">
                  <c:v>102</c:v>
                </c:pt>
                <c:pt idx="5">
                  <c:v>306</c:v>
                </c:pt>
                <c:pt idx="6">
                  <c:v>278</c:v>
                </c:pt>
                <c:pt idx="7">
                  <c:v>149</c:v>
                </c:pt>
                <c:pt idx="8">
                  <c:v>186</c:v>
                </c:pt>
                <c:pt idx="9">
                  <c:v>426</c:v>
                </c:pt>
                <c:pt idx="10">
                  <c:v>63</c:v>
                </c:pt>
                <c:pt idx="11">
                  <c:v>34</c:v>
                </c:pt>
                <c:pt idx="12">
                  <c:v>400</c:v>
                </c:pt>
                <c:pt idx="13">
                  <c:v>505</c:v>
                </c:pt>
                <c:pt idx="14">
                  <c:v>52</c:v>
                </c:pt>
                <c:pt idx="15">
                  <c:v>7</c:v>
                </c:pt>
                <c:pt idx="16">
                  <c:v>112</c:v>
                </c:pt>
                <c:pt idx="17">
                  <c:v>73</c:v>
                </c:pt>
                <c:pt idx="18">
                  <c:v>90</c:v>
                </c:pt>
                <c:pt idx="19">
                  <c:v>47</c:v>
                </c:pt>
                <c:pt idx="20">
                  <c:v>311</c:v>
                </c:pt>
                <c:pt idx="21">
                  <c:v>40</c:v>
                </c:pt>
                <c:pt idx="22">
                  <c:v>50</c:v>
                </c:pt>
                <c:pt idx="23">
                  <c:v>211</c:v>
                </c:pt>
                <c:pt idx="24">
                  <c:v>92</c:v>
                </c:pt>
                <c:pt idx="25">
                  <c:v>15</c:v>
                </c:pt>
                <c:pt idx="26">
                  <c:v>68</c:v>
                </c:pt>
                <c:pt idx="27">
                  <c:v>25</c:v>
                </c:pt>
                <c:pt idx="28">
                  <c:v>321</c:v>
                </c:pt>
                <c:pt idx="29">
                  <c:v>91</c:v>
                </c:pt>
                <c:pt idx="30">
                  <c:v>115</c:v>
                </c:pt>
                <c:pt idx="31">
                  <c:v>323</c:v>
                </c:pt>
                <c:pt idx="32">
                  <c:v>121</c:v>
                </c:pt>
                <c:pt idx="33">
                  <c:v>102</c:v>
                </c:pt>
                <c:pt idx="34">
                  <c:v>116</c:v>
                </c:pt>
                <c:pt idx="35">
                  <c:v>36</c:v>
                </c:pt>
                <c:pt idx="36">
                  <c:v>42</c:v>
                </c:pt>
                <c:pt idx="37">
                  <c:v>25</c:v>
                </c:pt>
                <c:pt idx="38">
                  <c:v>170</c:v>
                </c:pt>
                <c:pt idx="39">
                  <c:v>28</c:v>
                </c:pt>
                <c:pt idx="40">
                  <c:v>87</c:v>
                </c:pt>
                <c:pt idx="41">
                  <c:v>390</c:v>
                </c:pt>
                <c:pt idx="42">
                  <c:v>54</c:v>
                </c:pt>
                <c:pt idx="43">
                  <c:v>12</c:v>
                </c:pt>
                <c:pt idx="44">
                  <c:v>241</c:v>
                </c:pt>
                <c:pt idx="45">
                  <c:v>3</c:v>
                </c:pt>
                <c:pt idx="46">
                  <c:v>12</c:v>
                </c:pt>
                <c:pt idx="47">
                  <c:v>2</c:v>
                </c:pt>
              </c:numCache>
            </c:numRef>
          </c:val>
        </c:ser>
        <c:ser>
          <c:idx val="1"/>
          <c:order val="1"/>
          <c:tx>
            <c:strRef>
              <c:f>Dwellings!$D$3</c:f>
              <c:strCache>
                <c:ptCount val="1"/>
                <c:pt idx="0">
                  <c:v>Semi-detached, row or terrace houses, townhouses - One storey</c:v>
                </c:pt>
              </c:strCache>
            </c:strRef>
          </c:tx>
          <c:spPr>
            <a:solidFill>
              <a:srgbClr val="FF9999"/>
            </a:solidFill>
            <a:ln>
              <a:solidFill>
                <a:schemeClr val="tx1"/>
              </a:solidFill>
            </a:ln>
            <a:effectLst/>
          </c:spPr>
          <c:invertIfNegative val="0"/>
          <c:cat>
            <c:strRef>
              <c:f>Dwellings!$B$46:$B$93</c:f>
              <c:strCache>
                <c:ptCount val="48"/>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0">
                  <c:v>Alpine</c:v>
                </c:pt>
                <c:pt idx="11">
                  <c:v>Ararat</c:v>
                </c:pt>
                <c:pt idx="12">
                  <c:v>Bass Coast</c:v>
                </c:pt>
                <c:pt idx="13">
                  <c:v>Baw Baw</c:v>
                </c:pt>
                <c:pt idx="14">
                  <c:v>Benalla</c:v>
                </c:pt>
                <c:pt idx="15">
                  <c:v>Buloke</c:v>
                </c:pt>
                <c:pt idx="16">
                  <c:v>Campaspe</c:v>
                </c:pt>
                <c:pt idx="17">
                  <c:v>Central Goldfields</c:v>
                </c:pt>
                <c:pt idx="18">
                  <c:v>Colac-Otway</c:v>
                </c:pt>
                <c:pt idx="19">
                  <c:v>Corangamite</c:v>
                </c:pt>
                <c:pt idx="20">
                  <c:v>East Gippsland</c:v>
                </c:pt>
                <c:pt idx="21">
                  <c:v>Gannawarra</c:v>
                </c:pt>
                <c:pt idx="22">
                  <c:v>Glenelg</c:v>
                </c:pt>
                <c:pt idx="23">
                  <c:v>Golden Plains</c:v>
                </c:pt>
                <c:pt idx="24">
                  <c:v>Hepburn</c:v>
                </c:pt>
                <c:pt idx="25">
                  <c:v>Hindmarsh</c:v>
                </c:pt>
                <c:pt idx="26">
                  <c:v>Indigo</c:v>
                </c:pt>
                <c:pt idx="27">
                  <c:v>Loddon</c:v>
                </c:pt>
                <c:pt idx="28">
                  <c:v>Macedon Ranges</c:v>
                </c:pt>
                <c:pt idx="29">
                  <c:v>Mansfield</c:v>
                </c:pt>
                <c:pt idx="30">
                  <c:v>Moira</c:v>
                </c:pt>
                <c:pt idx="31">
                  <c:v>Moorabool</c:v>
                </c:pt>
                <c:pt idx="32">
                  <c:v>Mount Alexander</c:v>
                </c:pt>
                <c:pt idx="33">
                  <c:v>Moyne</c:v>
                </c:pt>
                <c:pt idx="34">
                  <c:v>Murrindindi</c:v>
                </c:pt>
                <c:pt idx="35">
                  <c:v>Northern Grampians</c:v>
                </c:pt>
                <c:pt idx="36">
                  <c:v>Pyrenees</c:v>
                </c:pt>
                <c:pt idx="37">
                  <c:v>Queenscliffe</c:v>
                </c:pt>
                <c:pt idx="38">
                  <c:v>South Gippsland</c:v>
                </c:pt>
                <c:pt idx="39">
                  <c:v>Southern Grampians</c:v>
                </c:pt>
                <c:pt idx="40">
                  <c:v>Strathbogie</c:v>
                </c:pt>
                <c:pt idx="41">
                  <c:v>Surf Coast</c:v>
                </c:pt>
                <c:pt idx="42">
                  <c:v>Swan Hill</c:v>
                </c:pt>
                <c:pt idx="43">
                  <c:v>Towong</c:v>
                </c:pt>
                <c:pt idx="44">
                  <c:v>Wellington</c:v>
                </c:pt>
                <c:pt idx="45">
                  <c:v>West Wimmera</c:v>
                </c:pt>
                <c:pt idx="46">
                  <c:v>Yarriambiack</c:v>
                </c:pt>
                <c:pt idx="47">
                  <c:v>Unincorporated Vic</c:v>
                </c:pt>
              </c:strCache>
            </c:strRef>
          </c:cat>
          <c:val>
            <c:numRef>
              <c:f>Dwellings!$D$46:$D$93</c:f>
              <c:numCache>
                <c:formatCode>0</c:formatCode>
                <c:ptCount val="48"/>
                <c:pt idx="0">
                  <c:v>62</c:v>
                </c:pt>
                <c:pt idx="1">
                  <c:v>24</c:v>
                </c:pt>
                <c:pt idx="2">
                  <c:v>247</c:v>
                </c:pt>
                <c:pt idx="3">
                  <c:v>5</c:v>
                </c:pt>
                <c:pt idx="4" formatCode="General">
                  <c:v>0</c:v>
                </c:pt>
                <c:pt idx="5">
                  <c:v>38</c:v>
                </c:pt>
                <c:pt idx="6">
                  <c:v>2</c:v>
                </c:pt>
                <c:pt idx="7">
                  <c:v>2</c:v>
                </c:pt>
                <c:pt idx="8">
                  <c:v>24</c:v>
                </c:pt>
                <c:pt idx="9">
                  <c:v>6</c:v>
                </c:pt>
                <c:pt idx="10" formatCode="General">
                  <c:v>0</c:v>
                </c:pt>
                <c:pt idx="11" formatCode="General">
                  <c:v>0</c:v>
                </c:pt>
                <c:pt idx="12">
                  <c:v>8</c:v>
                </c:pt>
                <c:pt idx="13">
                  <c:v>13</c:v>
                </c:pt>
                <c:pt idx="14" formatCode="General">
                  <c:v>0</c:v>
                </c:pt>
                <c:pt idx="15" formatCode="General">
                  <c:v>0</c:v>
                </c:pt>
                <c:pt idx="16" formatCode="General">
                  <c:v>0</c:v>
                </c:pt>
                <c:pt idx="17">
                  <c:v>4</c:v>
                </c:pt>
                <c:pt idx="18" formatCode="General">
                  <c:v>0</c:v>
                </c:pt>
                <c:pt idx="19" formatCode="General">
                  <c:v>0</c:v>
                </c:pt>
                <c:pt idx="20">
                  <c:v>32</c:v>
                </c:pt>
                <c:pt idx="21" formatCode="General">
                  <c:v>0</c:v>
                </c:pt>
                <c:pt idx="22" formatCode="General">
                  <c:v>0</c:v>
                </c:pt>
                <c:pt idx="23" formatCode="General">
                  <c:v>0</c:v>
                </c:pt>
                <c:pt idx="24" formatCode="General">
                  <c:v>0</c:v>
                </c:pt>
                <c:pt idx="25" formatCode="General">
                  <c:v>0</c:v>
                </c:pt>
                <c:pt idx="26">
                  <c:v>3</c:v>
                </c:pt>
                <c:pt idx="27" formatCode="General">
                  <c:v>0</c:v>
                </c:pt>
                <c:pt idx="28" formatCode="General">
                  <c:v>0</c:v>
                </c:pt>
                <c:pt idx="29" formatCode="General">
                  <c:v>0</c:v>
                </c:pt>
                <c:pt idx="30" formatCode="General">
                  <c:v>0</c:v>
                </c:pt>
                <c:pt idx="31">
                  <c:v>9</c:v>
                </c:pt>
                <c:pt idx="32" formatCode="General">
                  <c:v>0</c:v>
                </c:pt>
                <c:pt idx="33" formatCode="General">
                  <c:v>0</c:v>
                </c:pt>
                <c:pt idx="34" formatCode="General">
                  <c:v>0</c:v>
                </c:pt>
                <c:pt idx="35" formatCode="General">
                  <c:v>0</c:v>
                </c:pt>
                <c:pt idx="36">
                  <c:v>2</c:v>
                </c:pt>
                <c:pt idx="37" formatCode="General">
                  <c:v>0</c:v>
                </c:pt>
                <c:pt idx="38">
                  <c:v>2</c:v>
                </c:pt>
                <c:pt idx="39" formatCode="General">
                  <c:v>0</c:v>
                </c:pt>
                <c:pt idx="40">
                  <c:v>12</c:v>
                </c:pt>
                <c:pt idx="41" formatCode="General">
                  <c:v>0</c:v>
                </c:pt>
                <c:pt idx="42" formatCode="General">
                  <c:v>0</c:v>
                </c:pt>
                <c:pt idx="43">
                  <c:v>2</c:v>
                </c:pt>
                <c:pt idx="44">
                  <c:v>6</c:v>
                </c:pt>
                <c:pt idx="45" formatCode="General">
                  <c:v>0</c:v>
                </c:pt>
                <c:pt idx="46" formatCode="General">
                  <c:v>0</c:v>
                </c:pt>
                <c:pt idx="47" formatCode="General">
                  <c:v>0</c:v>
                </c:pt>
              </c:numCache>
            </c:numRef>
          </c:val>
        </c:ser>
        <c:ser>
          <c:idx val="2"/>
          <c:order val="2"/>
          <c:tx>
            <c:strRef>
              <c:f>Dwellings!$E$3</c:f>
              <c:strCache>
                <c:ptCount val="1"/>
                <c:pt idx="0">
                  <c:v>Semi-detached, row or terrace houses, townhouses - Two or more storeys</c:v>
                </c:pt>
              </c:strCache>
            </c:strRef>
          </c:tx>
          <c:spPr>
            <a:solidFill>
              <a:srgbClr val="C00000"/>
            </a:solidFill>
            <a:ln>
              <a:solidFill>
                <a:schemeClr val="tx1"/>
              </a:solidFill>
            </a:ln>
            <a:effectLst/>
          </c:spPr>
          <c:invertIfNegative val="0"/>
          <c:cat>
            <c:strRef>
              <c:f>Dwellings!$B$46:$B$93</c:f>
              <c:strCache>
                <c:ptCount val="48"/>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0">
                  <c:v>Alpine</c:v>
                </c:pt>
                <c:pt idx="11">
                  <c:v>Ararat</c:v>
                </c:pt>
                <c:pt idx="12">
                  <c:v>Bass Coast</c:v>
                </c:pt>
                <c:pt idx="13">
                  <c:v>Baw Baw</c:v>
                </c:pt>
                <c:pt idx="14">
                  <c:v>Benalla</c:v>
                </c:pt>
                <c:pt idx="15">
                  <c:v>Buloke</c:v>
                </c:pt>
                <c:pt idx="16">
                  <c:v>Campaspe</c:v>
                </c:pt>
                <c:pt idx="17">
                  <c:v>Central Goldfields</c:v>
                </c:pt>
                <c:pt idx="18">
                  <c:v>Colac-Otway</c:v>
                </c:pt>
                <c:pt idx="19">
                  <c:v>Corangamite</c:v>
                </c:pt>
                <c:pt idx="20">
                  <c:v>East Gippsland</c:v>
                </c:pt>
                <c:pt idx="21">
                  <c:v>Gannawarra</c:v>
                </c:pt>
                <c:pt idx="22">
                  <c:v>Glenelg</c:v>
                </c:pt>
                <c:pt idx="23">
                  <c:v>Golden Plains</c:v>
                </c:pt>
                <c:pt idx="24">
                  <c:v>Hepburn</c:v>
                </c:pt>
                <c:pt idx="25">
                  <c:v>Hindmarsh</c:v>
                </c:pt>
                <c:pt idx="26">
                  <c:v>Indigo</c:v>
                </c:pt>
                <c:pt idx="27">
                  <c:v>Loddon</c:v>
                </c:pt>
                <c:pt idx="28">
                  <c:v>Macedon Ranges</c:v>
                </c:pt>
                <c:pt idx="29">
                  <c:v>Mansfield</c:v>
                </c:pt>
                <c:pt idx="30">
                  <c:v>Moira</c:v>
                </c:pt>
                <c:pt idx="31">
                  <c:v>Moorabool</c:v>
                </c:pt>
                <c:pt idx="32">
                  <c:v>Mount Alexander</c:v>
                </c:pt>
                <c:pt idx="33">
                  <c:v>Moyne</c:v>
                </c:pt>
                <c:pt idx="34">
                  <c:v>Murrindindi</c:v>
                </c:pt>
                <c:pt idx="35">
                  <c:v>Northern Grampians</c:v>
                </c:pt>
                <c:pt idx="36">
                  <c:v>Pyrenees</c:v>
                </c:pt>
                <c:pt idx="37">
                  <c:v>Queenscliffe</c:v>
                </c:pt>
                <c:pt idx="38">
                  <c:v>South Gippsland</c:v>
                </c:pt>
                <c:pt idx="39">
                  <c:v>Southern Grampians</c:v>
                </c:pt>
                <c:pt idx="40">
                  <c:v>Strathbogie</c:v>
                </c:pt>
                <c:pt idx="41">
                  <c:v>Surf Coast</c:v>
                </c:pt>
                <c:pt idx="42">
                  <c:v>Swan Hill</c:v>
                </c:pt>
                <c:pt idx="43">
                  <c:v>Towong</c:v>
                </c:pt>
                <c:pt idx="44">
                  <c:v>Wellington</c:v>
                </c:pt>
                <c:pt idx="45">
                  <c:v>West Wimmera</c:v>
                </c:pt>
                <c:pt idx="46">
                  <c:v>Yarriambiack</c:v>
                </c:pt>
                <c:pt idx="47">
                  <c:v>Unincorporated Vic</c:v>
                </c:pt>
              </c:strCache>
            </c:strRef>
          </c:cat>
          <c:val>
            <c:numRef>
              <c:f>Dwellings!$E$46:$E$93</c:f>
              <c:numCache>
                <c:formatCode>0</c:formatCode>
                <c:ptCount val="48"/>
                <c:pt idx="0">
                  <c:v>40</c:v>
                </c:pt>
                <c:pt idx="1">
                  <c:v>10</c:v>
                </c:pt>
                <c:pt idx="2">
                  <c:v>118</c:v>
                </c:pt>
                <c:pt idx="3" formatCode="General">
                  <c:v>0</c:v>
                </c:pt>
                <c:pt idx="4" formatCode="General">
                  <c:v>0</c:v>
                </c:pt>
                <c:pt idx="5" formatCode="General">
                  <c:v>0</c:v>
                </c:pt>
                <c:pt idx="6" formatCode="General">
                  <c:v>0</c:v>
                </c:pt>
                <c:pt idx="7" formatCode="General">
                  <c:v>0</c:v>
                </c:pt>
                <c:pt idx="8">
                  <c:v>4</c:v>
                </c:pt>
                <c:pt idx="9">
                  <c:v>2</c:v>
                </c:pt>
                <c:pt idx="10" formatCode="General">
                  <c:v>0</c:v>
                </c:pt>
                <c:pt idx="11" formatCode="General">
                  <c:v>0</c:v>
                </c:pt>
                <c:pt idx="12">
                  <c:v>2</c:v>
                </c:pt>
                <c:pt idx="13" formatCode="General">
                  <c:v>0</c:v>
                </c:pt>
                <c:pt idx="14">
                  <c:v>2</c:v>
                </c:pt>
                <c:pt idx="15" formatCode="General">
                  <c:v>0</c:v>
                </c:pt>
                <c:pt idx="16" formatCode="General">
                  <c:v>0</c:v>
                </c:pt>
                <c:pt idx="17" formatCode="General">
                  <c:v>0</c:v>
                </c:pt>
                <c:pt idx="18" formatCode="General">
                  <c:v>0</c:v>
                </c:pt>
                <c:pt idx="19" formatCode="General">
                  <c:v>0</c:v>
                </c:pt>
                <c:pt idx="20" formatCode="General">
                  <c:v>0</c:v>
                </c:pt>
                <c:pt idx="21" formatCode="General">
                  <c:v>0</c:v>
                </c:pt>
                <c:pt idx="22" formatCode="General">
                  <c:v>0</c:v>
                </c:pt>
                <c:pt idx="23" formatCode="General">
                  <c:v>0</c:v>
                </c:pt>
                <c:pt idx="24" formatCode="General">
                  <c:v>0</c:v>
                </c:pt>
                <c:pt idx="25" formatCode="General">
                  <c:v>0</c:v>
                </c:pt>
                <c:pt idx="26" formatCode="General">
                  <c:v>0</c:v>
                </c:pt>
                <c:pt idx="27" formatCode="General">
                  <c:v>0</c:v>
                </c:pt>
                <c:pt idx="28">
                  <c:v>5</c:v>
                </c:pt>
                <c:pt idx="29" formatCode="General">
                  <c:v>0</c:v>
                </c:pt>
                <c:pt idx="30" formatCode="General">
                  <c:v>0</c:v>
                </c:pt>
                <c:pt idx="31" formatCode="General">
                  <c:v>0</c:v>
                </c:pt>
                <c:pt idx="32" formatCode="General">
                  <c:v>0</c:v>
                </c:pt>
                <c:pt idx="33" formatCode="General">
                  <c:v>0</c:v>
                </c:pt>
                <c:pt idx="34" formatCode="General">
                  <c:v>0</c:v>
                </c:pt>
                <c:pt idx="35" formatCode="General">
                  <c:v>0</c:v>
                </c:pt>
                <c:pt idx="36" formatCode="General">
                  <c:v>0</c:v>
                </c:pt>
                <c:pt idx="37" formatCode="General">
                  <c:v>0</c:v>
                </c:pt>
                <c:pt idx="38" formatCode="General">
                  <c:v>0</c:v>
                </c:pt>
                <c:pt idx="39" formatCode="General">
                  <c:v>0</c:v>
                </c:pt>
                <c:pt idx="40" formatCode="General">
                  <c:v>0</c:v>
                </c:pt>
                <c:pt idx="41">
                  <c:v>27</c:v>
                </c:pt>
                <c:pt idx="42" formatCode="General">
                  <c:v>0</c:v>
                </c:pt>
                <c:pt idx="43" formatCode="General">
                  <c:v>0</c:v>
                </c:pt>
                <c:pt idx="44" formatCode="General">
                  <c:v>0</c:v>
                </c:pt>
                <c:pt idx="45" formatCode="General">
                  <c:v>0</c:v>
                </c:pt>
                <c:pt idx="46" formatCode="General">
                  <c:v>0</c:v>
                </c:pt>
                <c:pt idx="47" formatCode="General">
                  <c:v>0</c:v>
                </c:pt>
              </c:numCache>
            </c:numRef>
          </c:val>
        </c:ser>
        <c:ser>
          <c:idx val="3"/>
          <c:order val="3"/>
          <c:tx>
            <c:strRef>
              <c:f>Dwellings!$F$3</c:f>
              <c:strCache>
                <c:ptCount val="1"/>
                <c:pt idx="0">
                  <c:v>Flats units or apartments - In a one or two storey block</c:v>
                </c:pt>
              </c:strCache>
            </c:strRef>
          </c:tx>
          <c:spPr>
            <a:solidFill>
              <a:schemeClr val="accent6">
                <a:lumMod val="20000"/>
                <a:lumOff val="80000"/>
              </a:schemeClr>
            </a:solidFill>
            <a:ln>
              <a:solidFill>
                <a:schemeClr val="tx1"/>
              </a:solidFill>
            </a:ln>
            <a:effectLst/>
          </c:spPr>
          <c:invertIfNegative val="0"/>
          <c:cat>
            <c:strRef>
              <c:f>Dwellings!$B$46:$B$93</c:f>
              <c:strCache>
                <c:ptCount val="48"/>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0">
                  <c:v>Alpine</c:v>
                </c:pt>
                <c:pt idx="11">
                  <c:v>Ararat</c:v>
                </c:pt>
                <c:pt idx="12">
                  <c:v>Bass Coast</c:v>
                </c:pt>
                <c:pt idx="13">
                  <c:v>Baw Baw</c:v>
                </c:pt>
                <c:pt idx="14">
                  <c:v>Benalla</c:v>
                </c:pt>
                <c:pt idx="15">
                  <c:v>Buloke</c:v>
                </c:pt>
                <c:pt idx="16">
                  <c:v>Campaspe</c:v>
                </c:pt>
                <c:pt idx="17">
                  <c:v>Central Goldfields</c:v>
                </c:pt>
                <c:pt idx="18">
                  <c:v>Colac-Otway</c:v>
                </c:pt>
                <c:pt idx="19">
                  <c:v>Corangamite</c:v>
                </c:pt>
                <c:pt idx="20">
                  <c:v>East Gippsland</c:v>
                </c:pt>
                <c:pt idx="21">
                  <c:v>Gannawarra</c:v>
                </c:pt>
                <c:pt idx="22">
                  <c:v>Glenelg</c:v>
                </c:pt>
                <c:pt idx="23">
                  <c:v>Golden Plains</c:v>
                </c:pt>
                <c:pt idx="24">
                  <c:v>Hepburn</c:v>
                </c:pt>
                <c:pt idx="25">
                  <c:v>Hindmarsh</c:v>
                </c:pt>
                <c:pt idx="26">
                  <c:v>Indigo</c:v>
                </c:pt>
                <c:pt idx="27">
                  <c:v>Loddon</c:v>
                </c:pt>
                <c:pt idx="28">
                  <c:v>Macedon Ranges</c:v>
                </c:pt>
                <c:pt idx="29">
                  <c:v>Mansfield</c:v>
                </c:pt>
                <c:pt idx="30">
                  <c:v>Moira</c:v>
                </c:pt>
                <c:pt idx="31">
                  <c:v>Moorabool</c:v>
                </c:pt>
                <c:pt idx="32">
                  <c:v>Mount Alexander</c:v>
                </c:pt>
                <c:pt idx="33">
                  <c:v>Moyne</c:v>
                </c:pt>
                <c:pt idx="34">
                  <c:v>Murrindindi</c:v>
                </c:pt>
                <c:pt idx="35">
                  <c:v>Northern Grampians</c:v>
                </c:pt>
                <c:pt idx="36">
                  <c:v>Pyrenees</c:v>
                </c:pt>
                <c:pt idx="37">
                  <c:v>Queenscliffe</c:v>
                </c:pt>
                <c:pt idx="38">
                  <c:v>South Gippsland</c:v>
                </c:pt>
                <c:pt idx="39">
                  <c:v>Southern Grampians</c:v>
                </c:pt>
                <c:pt idx="40">
                  <c:v>Strathbogie</c:v>
                </c:pt>
                <c:pt idx="41">
                  <c:v>Surf Coast</c:v>
                </c:pt>
                <c:pt idx="42">
                  <c:v>Swan Hill</c:v>
                </c:pt>
                <c:pt idx="43">
                  <c:v>Towong</c:v>
                </c:pt>
                <c:pt idx="44">
                  <c:v>Wellington</c:v>
                </c:pt>
                <c:pt idx="45">
                  <c:v>West Wimmera</c:v>
                </c:pt>
                <c:pt idx="46">
                  <c:v>Yarriambiack</c:v>
                </c:pt>
                <c:pt idx="47">
                  <c:v>Unincorporated Vic</c:v>
                </c:pt>
              </c:strCache>
            </c:strRef>
          </c:cat>
          <c:val>
            <c:numRef>
              <c:f>Dwellings!$F$46:$F$93</c:f>
              <c:numCache>
                <c:formatCode>0</c:formatCode>
                <c:ptCount val="48"/>
                <c:pt idx="0">
                  <c:v>31</c:v>
                </c:pt>
                <c:pt idx="1">
                  <c:v>5</c:v>
                </c:pt>
                <c:pt idx="2">
                  <c:v>32</c:v>
                </c:pt>
                <c:pt idx="3" formatCode="General">
                  <c:v>0</c:v>
                </c:pt>
                <c:pt idx="4" formatCode="General">
                  <c:v>0</c:v>
                </c:pt>
                <c:pt idx="5" formatCode="General">
                  <c:v>0</c:v>
                </c:pt>
                <c:pt idx="6" formatCode="General">
                  <c:v>0</c:v>
                </c:pt>
                <c:pt idx="7" formatCode="General">
                  <c:v>0</c:v>
                </c:pt>
                <c:pt idx="8" formatCode="General">
                  <c:v>0</c:v>
                </c:pt>
                <c:pt idx="9" formatCode="General">
                  <c:v>0</c:v>
                </c:pt>
                <c:pt idx="10" formatCode="General">
                  <c:v>0</c:v>
                </c:pt>
                <c:pt idx="11" formatCode="General">
                  <c:v>0</c:v>
                </c:pt>
                <c:pt idx="12" formatCode="General">
                  <c:v>0</c:v>
                </c:pt>
                <c:pt idx="13" formatCode="General">
                  <c:v>0</c:v>
                </c:pt>
                <c:pt idx="14" formatCode="General">
                  <c:v>0</c:v>
                </c:pt>
                <c:pt idx="15" formatCode="General">
                  <c:v>0</c:v>
                </c:pt>
                <c:pt idx="16" formatCode="General">
                  <c:v>0</c:v>
                </c:pt>
                <c:pt idx="17" formatCode="General">
                  <c:v>0</c:v>
                </c:pt>
                <c:pt idx="18" formatCode="General">
                  <c:v>0</c:v>
                </c:pt>
                <c:pt idx="19" formatCode="General">
                  <c:v>0</c:v>
                </c:pt>
                <c:pt idx="20">
                  <c:v>9</c:v>
                </c:pt>
                <c:pt idx="21" formatCode="General">
                  <c:v>0</c:v>
                </c:pt>
                <c:pt idx="22" formatCode="General">
                  <c:v>0</c:v>
                </c:pt>
                <c:pt idx="23" formatCode="General">
                  <c:v>0</c:v>
                </c:pt>
                <c:pt idx="24" formatCode="General">
                  <c:v>0</c:v>
                </c:pt>
                <c:pt idx="25" formatCode="General">
                  <c:v>0</c:v>
                </c:pt>
                <c:pt idx="26" formatCode="General">
                  <c:v>0</c:v>
                </c:pt>
                <c:pt idx="27" formatCode="General">
                  <c:v>0</c:v>
                </c:pt>
                <c:pt idx="28">
                  <c:v>12</c:v>
                </c:pt>
                <c:pt idx="29" formatCode="General">
                  <c:v>0</c:v>
                </c:pt>
                <c:pt idx="30" formatCode="General">
                  <c:v>0</c:v>
                </c:pt>
                <c:pt idx="31" formatCode="General">
                  <c:v>0</c:v>
                </c:pt>
                <c:pt idx="32" formatCode="General">
                  <c:v>0</c:v>
                </c:pt>
                <c:pt idx="33">
                  <c:v>7</c:v>
                </c:pt>
                <c:pt idx="34" formatCode="General">
                  <c:v>0</c:v>
                </c:pt>
                <c:pt idx="35" formatCode="General">
                  <c:v>0</c:v>
                </c:pt>
                <c:pt idx="36" formatCode="General">
                  <c:v>0</c:v>
                </c:pt>
                <c:pt idx="37" formatCode="General">
                  <c:v>0</c:v>
                </c:pt>
                <c:pt idx="38" formatCode="General">
                  <c:v>0</c:v>
                </c:pt>
                <c:pt idx="39" formatCode="General">
                  <c:v>0</c:v>
                </c:pt>
                <c:pt idx="40" formatCode="General">
                  <c:v>0</c:v>
                </c:pt>
                <c:pt idx="41" formatCode="General">
                  <c:v>0</c:v>
                </c:pt>
                <c:pt idx="42" formatCode="General">
                  <c:v>0</c:v>
                </c:pt>
                <c:pt idx="43" formatCode="General">
                  <c:v>0</c:v>
                </c:pt>
                <c:pt idx="44">
                  <c:v>2</c:v>
                </c:pt>
                <c:pt idx="45" formatCode="General">
                  <c:v>0</c:v>
                </c:pt>
                <c:pt idx="46" formatCode="General">
                  <c:v>0</c:v>
                </c:pt>
                <c:pt idx="47" formatCode="General">
                  <c:v>0</c:v>
                </c:pt>
              </c:numCache>
            </c:numRef>
          </c:val>
        </c:ser>
        <c:ser>
          <c:idx val="4"/>
          <c:order val="4"/>
          <c:tx>
            <c:strRef>
              <c:f>Dwellings!$G$3</c:f>
              <c:strCache>
                <c:ptCount val="1"/>
                <c:pt idx="0">
                  <c:v>Flats units or apartments - In a three storey block</c:v>
                </c:pt>
              </c:strCache>
            </c:strRef>
          </c:tx>
          <c:spPr>
            <a:solidFill>
              <a:schemeClr val="accent6"/>
            </a:solidFill>
            <a:ln>
              <a:solidFill>
                <a:schemeClr val="tx1"/>
              </a:solidFill>
            </a:ln>
            <a:effectLst/>
          </c:spPr>
          <c:invertIfNegative val="0"/>
          <c:cat>
            <c:strRef>
              <c:f>Dwellings!$B$46:$B$93</c:f>
              <c:strCache>
                <c:ptCount val="48"/>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0">
                  <c:v>Alpine</c:v>
                </c:pt>
                <c:pt idx="11">
                  <c:v>Ararat</c:v>
                </c:pt>
                <c:pt idx="12">
                  <c:v>Bass Coast</c:v>
                </c:pt>
                <c:pt idx="13">
                  <c:v>Baw Baw</c:v>
                </c:pt>
                <c:pt idx="14">
                  <c:v>Benalla</c:v>
                </c:pt>
                <c:pt idx="15">
                  <c:v>Buloke</c:v>
                </c:pt>
                <c:pt idx="16">
                  <c:v>Campaspe</c:v>
                </c:pt>
                <c:pt idx="17">
                  <c:v>Central Goldfields</c:v>
                </c:pt>
                <c:pt idx="18">
                  <c:v>Colac-Otway</c:v>
                </c:pt>
                <c:pt idx="19">
                  <c:v>Corangamite</c:v>
                </c:pt>
                <c:pt idx="20">
                  <c:v>East Gippsland</c:v>
                </c:pt>
                <c:pt idx="21">
                  <c:v>Gannawarra</c:v>
                </c:pt>
                <c:pt idx="22">
                  <c:v>Glenelg</c:v>
                </c:pt>
                <c:pt idx="23">
                  <c:v>Golden Plains</c:v>
                </c:pt>
                <c:pt idx="24">
                  <c:v>Hepburn</c:v>
                </c:pt>
                <c:pt idx="25">
                  <c:v>Hindmarsh</c:v>
                </c:pt>
                <c:pt idx="26">
                  <c:v>Indigo</c:v>
                </c:pt>
                <c:pt idx="27">
                  <c:v>Loddon</c:v>
                </c:pt>
                <c:pt idx="28">
                  <c:v>Macedon Ranges</c:v>
                </c:pt>
                <c:pt idx="29">
                  <c:v>Mansfield</c:v>
                </c:pt>
                <c:pt idx="30">
                  <c:v>Moira</c:v>
                </c:pt>
                <c:pt idx="31">
                  <c:v>Moorabool</c:v>
                </c:pt>
                <c:pt idx="32">
                  <c:v>Mount Alexander</c:v>
                </c:pt>
                <c:pt idx="33">
                  <c:v>Moyne</c:v>
                </c:pt>
                <c:pt idx="34">
                  <c:v>Murrindindi</c:v>
                </c:pt>
                <c:pt idx="35">
                  <c:v>Northern Grampians</c:v>
                </c:pt>
                <c:pt idx="36">
                  <c:v>Pyrenees</c:v>
                </c:pt>
                <c:pt idx="37">
                  <c:v>Queenscliffe</c:v>
                </c:pt>
                <c:pt idx="38">
                  <c:v>South Gippsland</c:v>
                </c:pt>
                <c:pt idx="39">
                  <c:v>Southern Grampians</c:v>
                </c:pt>
                <c:pt idx="40">
                  <c:v>Strathbogie</c:v>
                </c:pt>
                <c:pt idx="41">
                  <c:v>Surf Coast</c:v>
                </c:pt>
                <c:pt idx="42">
                  <c:v>Swan Hill</c:v>
                </c:pt>
                <c:pt idx="43">
                  <c:v>Towong</c:v>
                </c:pt>
                <c:pt idx="44">
                  <c:v>Wellington</c:v>
                </c:pt>
                <c:pt idx="45">
                  <c:v>West Wimmera</c:v>
                </c:pt>
                <c:pt idx="46">
                  <c:v>Yarriambiack</c:v>
                </c:pt>
                <c:pt idx="47">
                  <c:v>Unincorporated Vic</c:v>
                </c:pt>
              </c:strCache>
            </c:strRef>
          </c:cat>
          <c:val>
            <c:numRef>
              <c:f>Dwellings!$G$46:$G$93</c:f>
              <c:numCache>
                <c:formatCode>0</c:formatCode>
                <c:ptCount val="48"/>
                <c:pt idx="0" formatCode="General">
                  <c:v>0</c:v>
                </c:pt>
                <c:pt idx="1">
                  <c:v>4</c:v>
                </c:pt>
                <c:pt idx="2" formatCode="General">
                  <c:v>0</c:v>
                </c:pt>
                <c:pt idx="3" formatCode="General">
                  <c:v>0</c:v>
                </c:pt>
                <c:pt idx="4" formatCode="General">
                  <c:v>0</c:v>
                </c:pt>
                <c:pt idx="5" formatCode="General">
                  <c:v>0</c:v>
                </c:pt>
                <c:pt idx="6" formatCode="General">
                  <c:v>0</c:v>
                </c:pt>
                <c:pt idx="7" formatCode="General">
                  <c:v>0</c:v>
                </c:pt>
                <c:pt idx="8" formatCode="General">
                  <c:v>0</c:v>
                </c:pt>
                <c:pt idx="9" formatCode="General">
                  <c:v>0</c:v>
                </c:pt>
                <c:pt idx="10" formatCode="General">
                  <c:v>0</c:v>
                </c:pt>
                <c:pt idx="11" formatCode="General">
                  <c:v>0</c:v>
                </c:pt>
                <c:pt idx="12" formatCode="General">
                  <c:v>0</c:v>
                </c:pt>
                <c:pt idx="13" formatCode="General">
                  <c:v>0</c:v>
                </c:pt>
                <c:pt idx="14" formatCode="General">
                  <c:v>0</c:v>
                </c:pt>
                <c:pt idx="15" formatCode="General">
                  <c:v>0</c:v>
                </c:pt>
                <c:pt idx="16" formatCode="General">
                  <c:v>0</c:v>
                </c:pt>
                <c:pt idx="17" formatCode="General">
                  <c:v>0</c:v>
                </c:pt>
                <c:pt idx="18" formatCode="General">
                  <c:v>0</c:v>
                </c:pt>
                <c:pt idx="19" formatCode="General">
                  <c:v>0</c:v>
                </c:pt>
                <c:pt idx="20" formatCode="General">
                  <c:v>0</c:v>
                </c:pt>
                <c:pt idx="21" formatCode="General">
                  <c:v>0</c:v>
                </c:pt>
                <c:pt idx="22" formatCode="General">
                  <c:v>0</c:v>
                </c:pt>
                <c:pt idx="23" formatCode="General">
                  <c:v>0</c:v>
                </c:pt>
                <c:pt idx="24" formatCode="General">
                  <c:v>0</c:v>
                </c:pt>
                <c:pt idx="25" formatCode="General">
                  <c:v>0</c:v>
                </c:pt>
                <c:pt idx="26" formatCode="General">
                  <c:v>0</c:v>
                </c:pt>
                <c:pt idx="27" formatCode="General">
                  <c:v>0</c:v>
                </c:pt>
                <c:pt idx="28" formatCode="General">
                  <c:v>0</c:v>
                </c:pt>
                <c:pt idx="29" formatCode="General">
                  <c:v>0</c:v>
                </c:pt>
                <c:pt idx="30" formatCode="General">
                  <c:v>0</c:v>
                </c:pt>
                <c:pt idx="31" formatCode="General">
                  <c:v>0</c:v>
                </c:pt>
                <c:pt idx="32" formatCode="General">
                  <c:v>0</c:v>
                </c:pt>
                <c:pt idx="33" formatCode="General">
                  <c:v>0</c:v>
                </c:pt>
                <c:pt idx="34" formatCode="General">
                  <c:v>0</c:v>
                </c:pt>
                <c:pt idx="35" formatCode="General">
                  <c:v>0</c:v>
                </c:pt>
                <c:pt idx="36" formatCode="General">
                  <c:v>0</c:v>
                </c:pt>
                <c:pt idx="37" formatCode="General">
                  <c:v>0</c:v>
                </c:pt>
                <c:pt idx="38" formatCode="General">
                  <c:v>0</c:v>
                </c:pt>
                <c:pt idx="39" formatCode="General">
                  <c:v>0</c:v>
                </c:pt>
                <c:pt idx="40" formatCode="General">
                  <c:v>0</c:v>
                </c:pt>
                <c:pt idx="41" formatCode="General">
                  <c:v>0</c:v>
                </c:pt>
                <c:pt idx="42" formatCode="General">
                  <c:v>0</c:v>
                </c:pt>
                <c:pt idx="43" formatCode="General">
                  <c:v>0</c:v>
                </c:pt>
                <c:pt idx="44" formatCode="General">
                  <c:v>0</c:v>
                </c:pt>
                <c:pt idx="45" formatCode="General">
                  <c:v>0</c:v>
                </c:pt>
                <c:pt idx="46" formatCode="General">
                  <c:v>0</c:v>
                </c:pt>
                <c:pt idx="47" formatCode="General">
                  <c:v>0</c:v>
                </c:pt>
              </c:numCache>
            </c:numRef>
          </c:val>
        </c:ser>
        <c:ser>
          <c:idx val="5"/>
          <c:order val="5"/>
          <c:tx>
            <c:strRef>
              <c:f>Dwellings!$H$3</c:f>
              <c:strCache>
                <c:ptCount val="1"/>
                <c:pt idx="0">
                  <c:v>Flats units or apartments - In a four or more storey block</c:v>
                </c:pt>
              </c:strCache>
            </c:strRef>
          </c:tx>
          <c:spPr>
            <a:solidFill>
              <a:schemeClr val="accent6">
                <a:lumMod val="50000"/>
              </a:schemeClr>
            </a:solidFill>
            <a:ln>
              <a:solidFill>
                <a:schemeClr val="tx1"/>
              </a:solidFill>
            </a:ln>
            <a:effectLst/>
          </c:spPr>
          <c:invertIfNegative val="0"/>
          <c:cat>
            <c:strRef>
              <c:f>Dwellings!$B$46:$B$93</c:f>
              <c:strCache>
                <c:ptCount val="48"/>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0">
                  <c:v>Alpine</c:v>
                </c:pt>
                <c:pt idx="11">
                  <c:v>Ararat</c:v>
                </c:pt>
                <c:pt idx="12">
                  <c:v>Bass Coast</c:v>
                </c:pt>
                <c:pt idx="13">
                  <c:v>Baw Baw</c:v>
                </c:pt>
                <c:pt idx="14">
                  <c:v>Benalla</c:v>
                </c:pt>
                <c:pt idx="15">
                  <c:v>Buloke</c:v>
                </c:pt>
                <c:pt idx="16">
                  <c:v>Campaspe</c:v>
                </c:pt>
                <c:pt idx="17">
                  <c:v>Central Goldfields</c:v>
                </c:pt>
                <c:pt idx="18">
                  <c:v>Colac-Otway</c:v>
                </c:pt>
                <c:pt idx="19">
                  <c:v>Corangamite</c:v>
                </c:pt>
                <c:pt idx="20">
                  <c:v>East Gippsland</c:v>
                </c:pt>
                <c:pt idx="21">
                  <c:v>Gannawarra</c:v>
                </c:pt>
                <c:pt idx="22">
                  <c:v>Glenelg</c:v>
                </c:pt>
                <c:pt idx="23">
                  <c:v>Golden Plains</c:v>
                </c:pt>
                <c:pt idx="24">
                  <c:v>Hepburn</c:v>
                </c:pt>
                <c:pt idx="25">
                  <c:v>Hindmarsh</c:v>
                </c:pt>
                <c:pt idx="26">
                  <c:v>Indigo</c:v>
                </c:pt>
                <c:pt idx="27">
                  <c:v>Loddon</c:v>
                </c:pt>
                <c:pt idx="28">
                  <c:v>Macedon Ranges</c:v>
                </c:pt>
                <c:pt idx="29">
                  <c:v>Mansfield</c:v>
                </c:pt>
                <c:pt idx="30">
                  <c:v>Moira</c:v>
                </c:pt>
                <c:pt idx="31">
                  <c:v>Moorabool</c:v>
                </c:pt>
                <c:pt idx="32">
                  <c:v>Mount Alexander</c:v>
                </c:pt>
                <c:pt idx="33">
                  <c:v>Moyne</c:v>
                </c:pt>
                <c:pt idx="34">
                  <c:v>Murrindindi</c:v>
                </c:pt>
                <c:pt idx="35">
                  <c:v>Northern Grampians</c:v>
                </c:pt>
                <c:pt idx="36">
                  <c:v>Pyrenees</c:v>
                </c:pt>
                <c:pt idx="37">
                  <c:v>Queenscliffe</c:v>
                </c:pt>
                <c:pt idx="38">
                  <c:v>South Gippsland</c:v>
                </c:pt>
                <c:pt idx="39">
                  <c:v>Southern Grampians</c:v>
                </c:pt>
                <c:pt idx="40">
                  <c:v>Strathbogie</c:v>
                </c:pt>
                <c:pt idx="41">
                  <c:v>Surf Coast</c:v>
                </c:pt>
                <c:pt idx="42">
                  <c:v>Swan Hill</c:v>
                </c:pt>
                <c:pt idx="43">
                  <c:v>Towong</c:v>
                </c:pt>
                <c:pt idx="44">
                  <c:v>Wellington</c:v>
                </c:pt>
                <c:pt idx="45">
                  <c:v>West Wimmera</c:v>
                </c:pt>
                <c:pt idx="46">
                  <c:v>Yarriambiack</c:v>
                </c:pt>
                <c:pt idx="47">
                  <c:v>Unincorporated Vic</c:v>
                </c:pt>
              </c:strCache>
            </c:strRef>
          </c:cat>
          <c:val>
            <c:numRef>
              <c:f>Dwellings!$H$46:$H$93</c:f>
              <c:numCache>
                <c:formatCode>General</c:formatCode>
                <c:ptCount val="48"/>
                <c:pt idx="0">
                  <c:v>0</c:v>
                </c:pt>
                <c:pt idx="1">
                  <c:v>0</c:v>
                </c:pt>
                <c:pt idx="2" formatCode="0">
                  <c:v>81</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numCache>
            </c:numRef>
          </c:val>
        </c:ser>
        <c:dLbls>
          <c:showLegendKey val="0"/>
          <c:showVal val="0"/>
          <c:showCatName val="0"/>
          <c:showSerName val="0"/>
          <c:showPercent val="0"/>
          <c:showBubbleSize val="0"/>
        </c:dLbls>
        <c:gapWidth val="30"/>
        <c:overlap val="100"/>
        <c:axId val="789923552"/>
        <c:axId val="789924112"/>
      </c:barChart>
      <c:catAx>
        <c:axId val="7899235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924112"/>
        <c:crosses val="autoZero"/>
        <c:auto val="1"/>
        <c:lblAlgn val="ctr"/>
        <c:lblOffset val="100"/>
        <c:noMultiLvlLbl val="0"/>
      </c:catAx>
      <c:valAx>
        <c:axId val="789924112"/>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Number</a:t>
                </a:r>
                <a:r>
                  <a:rPr lang="en-AU" baseline="0"/>
                  <a:t> of Dwellings Approved</a:t>
                </a:r>
                <a:endParaRPr lang="en-AU"/>
              </a:p>
            </c:rich>
          </c:tx>
          <c:layout>
            <c:manualLayout>
              <c:xMode val="edge"/>
              <c:yMode val="edge"/>
              <c:x val="0.4259715716559877"/>
              <c:y val="0.1305172413793103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923552"/>
        <c:crosses val="autoZero"/>
        <c:crossBetween val="between"/>
      </c:valAx>
      <c:spPr>
        <a:solidFill>
          <a:schemeClr val="bg1">
            <a:lumMod val="95000"/>
          </a:schemeClr>
        </a:solidFill>
        <a:ln>
          <a:noFill/>
        </a:ln>
        <a:effectLst/>
      </c:spPr>
    </c:plotArea>
    <c:legend>
      <c:legendPos val="b"/>
      <c:layout>
        <c:manualLayout>
          <c:xMode val="edge"/>
          <c:yMode val="edge"/>
          <c:x val="0.42218592694029189"/>
          <c:y val="1.0724997333707816E-3"/>
          <c:w val="0.57688513573484479"/>
          <c:h val="0.1163577020544845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Value</a:t>
            </a:r>
            <a:r>
              <a:rPr lang="en-AU" baseline="0"/>
              <a:t> of Building Approvals by LGA</a:t>
            </a:r>
          </a:p>
          <a:p>
            <a:pPr algn="l">
              <a:defRPr/>
            </a:pPr>
            <a:r>
              <a:rPr lang="en-AU" baseline="0"/>
              <a:t>Metropolitan Melbourne 2014-15</a:t>
            </a:r>
          </a:p>
          <a:p>
            <a:pPr algn="l">
              <a:defRPr/>
            </a:pPr>
            <a:r>
              <a:rPr lang="en-AU" sz="1000" baseline="0"/>
              <a:t>Source: ABS building approvals</a:t>
            </a:r>
            <a:endParaRPr lang="en-AU" sz="1000"/>
          </a:p>
        </c:rich>
      </c:tx>
      <c:layout>
        <c:manualLayout>
          <c:xMode val="edge"/>
          <c:yMode val="edge"/>
          <c:x val="1.0542432195975804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3697367709381995"/>
          <c:y val="0.15376429829832916"/>
          <c:w val="0.71527450881181398"/>
          <c:h val="0.79099252148276"/>
        </c:manualLayout>
      </c:layout>
      <c:barChart>
        <c:barDir val="bar"/>
        <c:grouping val="stacked"/>
        <c:varyColors val="0"/>
        <c:ser>
          <c:idx val="0"/>
          <c:order val="0"/>
          <c:tx>
            <c:strRef>
              <c:f>'Value of Approvals'!$AB$7</c:f>
              <c:strCache>
                <c:ptCount val="1"/>
                <c:pt idx="0">
                  <c:v>Residential</c:v>
                </c:pt>
              </c:strCache>
            </c:strRef>
          </c:tx>
          <c:spPr>
            <a:solidFill>
              <a:schemeClr val="accent1"/>
            </a:solidFill>
            <a:ln>
              <a:solidFill>
                <a:schemeClr val="tx1"/>
              </a:solidFill>
            </a:ln>
            <a:effectLst/>
          </c:spPr>
          <c:invertIfNegative val="0"/>
          <c:cat>
            <c:strRef>
              <c:f>'Value of Approvals'!$AA$8:$AA$48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Approvals'!$AB$8:$AB$48</c:f>
              <c:numCache>
                <c:formatCode>_-"$"* #,##0_-;\-"$"* #,##0_-;_-"$"* "-"??_-;_-@_-</c:formatCode>
                <c:ptCount val="41"/>
                <c:pt idx="1">
                  <c:v>266.61200000000002</c:v>
                </c:pt>
                <c:pt idx="2">
                  <c:v>2684.4969999999998</c:v>
                </c:pt>
                <c:pt idx="3">
                  <c:v>319.41699999999997</c:v>
                </c:pt>
                <c:pt idx="4">
                  <c:v>940.90700000000004</c:v>
                </c:pt>
                <c:pt idx="5">
                  <c:v>506.82400000000001</c:v>
                </c:pt>
                <c:pt idx="8">
                  <c:v>989.11900000000003</c:v>
                </c:pt>
                <c:pt idx="9">
                  <c:v>222.64</c:v>
                </c:pt>
                <c:pt idx="10">
                  <c:v>444.98700000000002</c:v>
                </c:pt>
                <c:pt idx="11">
                  <c:v>238.53200000000001</c:v>
                </c:pt>
                <c:pt idx="12">
                  <c:v>615.47500000000002</c:v>
                </c:pt>
                <c:pt idx="13">
                  <c:v>603.06100000000004</c:v>
                </c:pt>
                <c:pt idx="14">
                  <c:v>246.453</c:v>
                </c:pt>
                <c:pt idx="17">
                  <c:v>267.88799999999998</c:v>
                </c:pt>
                <c:pt idx="18">
                  <c:v>550.74</c:v>
                </c:pt>
                <c:pt idx="19">
                  <c:v>576.65</c:v>
                </c:pt>
                <c:pt idx="20">
                  <c:v>114.151</c:v>
                </c:pt>
                <c:pt idx="21">
                  <c:v>636.11400000000003</c:v>
                </c:pt>
                <c:pt idx="22">
                  <c:v>91.933999999999997</c:v>
                </c:pt>
                <c:pt idx="23">
                  <c:v>796.53700000000003</c:v>
                </c:pt>
                <c:pt idx="26">
                  <c:v>636.51300000000003</c:v>
                </c:pt>
                <c:pt idx="27">
                  <c:v>337.959</c:v>
                </c:pt>
                <c:pt idx="28">
                  <c:v>844.79</c:v>
                </c:pt>
                <c:pt idx="29">
                  <c:v>135.86799999999999</c:v>
                </c:pt>
                <c:pt idx="30">
                  <c:v>646.63300000000004</c:v>
                </c:pt>
                <c:pt idx="31">
                  <c:v>313.255</c:v>
                </c:pt>
                <c:pt idx="32">
                  <c:v>342.28</c:v>
                </c:pt>
                <c:pt idx="33">
                  <c:v>567.34199999999998</c:v>
                </c:pt>
                <c:pt idx="36">
                  <c:v>140.649</c:v>
                </c:pt>
                <c:pt idx="37">
                  <c:v>218.21199999999999</c:v>
                </c:pt>
                <c:pt idx="38">
                  <c:v>412.90800000000002</c:v>
                </c:pt>
                <c:pt idx="39">
                  <c:v>472.947</c:v>
                </c:pt>
                <c:pt idx="40">
                  <c:v>768.75</c:v>
                </c:pt>
              </c:numCache>
            </c:numRef>
          </c:val>
        </c:ser>
        <c:ser>
          <c:idx val="1"/>
          <c:order val="1"/>
          <c:tx>
            <c:strRef>
              <c:f>'Value of Approvals'!$AC$7</c:f>
              <c:strCache>
                <c:ptCount val="1"/>
                <c:pt idx="0">
                  <c:v>Commercial</c:v>
                </c:pt>
              </c:strCache>
            </c:strRef>
          </c:tx>
          <c:spPr>
            <a:solidFill>
              <a:schemeClr val="accent2"/>
            </a:solidFill>
            <a:ln>
              <a:solidFill>
                <a:schemeClr val="tx1"/>
              </a:solidFill>
            </a:ln>
            <a:effectLst/>
          </c:spPr>
          <c:invertIfNegative val="0"/>
          <c:cat>
            <c:strRef>
              <c:f>'Value of Approvals'!$AA$8:$AA$48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Approvals'!$AC$8:$AC$48</c:f>
              <c:numCache>
                <c:formatCode>_-"$"* #,##0_-;\-"$"* #,##0_-;_-"$"* "-"??_-;_-@_-</c:formatCode>
                <c:ptCount val="41"/>
                <c:pt idx="1">
                  <c:v>25.013999999999999</c:v>
                </c:pt>
                <c:pt idx="2">
                  <c:v>1048.835</c:v>
                </c:pt>
                <c:pt idx="3">
                  <c:v>61.968000000000004</c:v>
                </c:pt>
                <c:pt idx="4">
                  <c:v>346.79700000000003</c:v>
                </c:pt>
                <c:pt idx="5">
                  <c:v>109.13200000000001</c:v>
                </c:pt>
                <c:pt idx="8">
                  <c:v>45.055</c:v>
                </c:pt>
                <c:pt idx="9">
                  <c:v>28.63</c:v>
                </c:pt>
                <c:pt idx="10">
                  <c:v>12.564</c:v>
                </c:pt>
                <c:pt idx="11">
                  <c:v>58.261000000000003</c:v>
                </c:pt>
                <c:pt idx="12">
                  <c:v>172.36099999999999</c:v>
                </c:pt>
                <c:pt idx="13">
                  <c:v>45.540999999999997</c:v>
                </c:pt>
                <c:pt idx="14">
                  <c:v>17.236000000000001</c:v>
                </c:pt>
                <c:pt idx="17">
                  <c:v>14.023999999999999</c:v>
                </c:pt>
                <c:pt idx="18">
                  <c:v>62.481999999999999</c:v>
                </c:pt>
                <c:pt idx="19">
                  <c:v>64.355999999999995</c:v>
                </c:pt>
                <c:pt idx="20">
                  <c:v>5.476</c:v>
                </c:pt>
                <c:pt idx="21">
                  <c:v>13.231999999999999</c:v>
                </c:pt>
                <c:pt idx="22">
                  <c:v>6.55</c:v>
                </c:pt>
                <c:pt idx="23">
                  <c:v>43.712000000000003</c:v>
                </c:pt>
                <c:pt idx="26">
                  <c:v>6.1390000000000002</c:v>
                </c:pt>
                <c:pt idx="27">
                  <c:v>16.259</c:v>
                </c:pt>
                <c:pt idx="28">
                  <c:v>182.333</c:v>
                </c:pt>
                <c:pt idx="29">
                  <c:v>39.866999999999997</c:v>
                </c:pt>
                <c:pt idx="30">
                  <c:v>21.613</c:v>
                </c:pt>
                <c:pt idx="31">
                  <c:v>89.915999999999997</c:v>
                </c:pt>
                <c:pt idx="32">
                  <c:v>77.494</c:v>
                </c:pt>
                <c:pt idx="33">
                  <c:v>24.2</c:v>
                </c:pt>
                <c:pt idx="36">
                  <c:v>20.97</c:v>
                </c:pt>
                <c:pt idx="37">
                  <c:v>7.1150000000000002</c:v>
                </c:pt>
                <c:pt idx="38">
                  <c:v>17.149999999999999</c:v>
                </c:pt>
                <c:pt idx="39">
                  <c:v>11.917</c:v>
                </c:pt>
                <c:pt idx="40">
                  <c:v>53.834000000000003</c:v>
                </c:pt>
              </c:numCache>
            </c:numRef>
          </c:val>
        </c:ser>
        <c:ser>
          <c:idx val="2"/>
          <c:order val="2"/>
          <c:tx>
            <c:strRef>
              <c:f>'Value of Approvals'!$AD$7</c:f>
              <c:strCache>
                <c:ptCount val="1"/>
                <c:pt idx="0">
                  <c:v>Industrial </c:v>
                </c:pt>
              </c:strCache>
            </c:strRef>
          </c:tx>
          <c:spPr>
            <a:solidFill>
              <a:schemeClr val="accent3"/>
            </a:solidFill>
            <a:ln>
              <a:solidFill>
                <a:schemeClr val="tx1"/>
              </a:solidFill>
            </a:ln>
            <a:effectLst/>
          </c:spPr>
          <c:invertIfNegative val="0"/>
          <c:cat>
            <c:strRef>
              <c:f>'Value of Approvals'!$AA$8:$AA$48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Approvals'!$AD$8:$AD$48</c:f>
              <c:numCache>
                <c:formatCode>_-"$"* #,##0_-;\-"$"* #,##0_-;_-"$"* "-"??_-;_-@_-</c:formatCode>
                <c:ptCount val="41"/>
                <c:pt idx="1">
                  <c:v>13.836</c:v>
                </c:pt>
                <c:pt idx="2">
                  <c:v>50.136000000000003</c:v>
                </c:pt>
                <c:pt idx="3">
                  <c:v>3.5</c:v>
                </c:pt>
                <c:pt idx="4">
                  <c:v>0.55400000000000005</c:v>
                </c:pt>
                <c:pt idx="5">
                  <c:v>21.873000000000001</c:v>
                </c:pt>
                <c:pt idx="8">
                  <c:v>1.2629999999999999</c:v>
                </c:pt>
                <c:pt idx="9">
                  <c:v>29.183</c:v>
                </c:pt>
                <c:pt idx="10">
                  <c:v>0</c:v>
                </c:pt>
                <c:pt idx="11">
                  <c:v>4.843</c:v>
                </c:pt>
                <c:pt idx="12">
                  <c:v>47.65</c:v>
                </c:pt>
                <c:pt idx="13">
                  <c:v>2.2799999999999998</c:v>
                </c:pt>
                <c:pt idx="14">
                  <c:v>10.984</c:v>
                </c:pt>
                <c:pt idx="17">
                  <c:v>6.8650000000000002</c:v>
                </c:pt>
                <c:pt idx="18">
                  <c:v>7.7359999999999998</c:v>
                </c:pt>
                <c:pt idx="19">
                  <c:v>124.851</c:v>
                </c:pt>
                <c:pt idx="20">
                  <c:v>3.1459999999999999</c:v>
                </c:pt>
                <c:pt idx="21">
                  <c:v>4.4390000000000001</c:v>
                </c:pt>
                <c:pt idx="22">
                  <c:v>8.1000000000000003E-2</c:v>
                </c:pt>
                <c:pt idx="23">
                  <c:v>79.91</c:v>
                </c:pt>
                <c:pt idx="26">
                  <c:v>2.8650000000000002</c:v>
                </c:pt>
                <c:pt idx="27">
                  <c:v>24.945</c:v>
                </c:pt>
                <c:pt idx="28">
                  <c:v>16.867000000000001</c:v>
                </c:pt>
                <c:pt idx="29">
                  <c:v>34.293999999999997</c:v>
                </c:pt>
                <c:pt idx="30">
                  <c:v>0.373</c:v>
                </c:pt>
                <c:pt idx="31">
                  <c:v>149.96600000000001</c:v>
                </c:pt>
                <c:pt idx="32">
                  <c:v>42.628</c:v>
                </c:pt>
                <c:pt idx="33">
                  <c:v>17.158999999999999</c:v>
                </c:pt>
                <c:pt idx="36">
                  <c:v>75.88</c:v>
                </c:pt>
                <c:pt idx="37">
                  <c:v>42.743000000000002</c:v>
                </c:pt>
                <c:pt idx="38">
                  <c:v>62.619</c:v>
                </c:pt>
                <c:pt idx="39">
                  <c:v>0.19</c:v>
                </c:pt>
                <c:pt idx="40">
                  <c:v>111.883</c:v>
                </c:pt>
              </c:numCache>
            </c:numRef>
          </c:val>
        </c:ser>
        <c:ser>
          <c:idx val="3"/>
          <c:order val="3"/>
          <c:tx>
            <c:strRef>
              <c:f>'Value of Approvals'!$AE$7</c:f>
              <c:strCache>
                <c:ptCount val="1"/>
                <c:pt idx="0">
                  <c:v>Other Non-residential</c:v>
                </c:pt>
              </c:strCache>
            </c:strRef>
          </c:tx>
          <c:spPr>
            <a:solidFill>
              <a:schemeClr val="accent4"/>
            </a:solidFill>
            <a:ln>
              <a:solidFill>
                <a:schemeClr val="tx1"/>
              </a:solidFill>
            </a:ln>
            <a:effectLst/>
          </c:spPr>
          <c:invertIfNegative val="0"/>
          <c:cat>
            <c:strRef>
              <c:f>'Value of Approvals'!$AA$8:$AA$48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Approvals'!$AE$8:$AE$48</c:f>
              <c:numCache>
                <c:formatCode>_-"$"* #,##0_-;\-"$"* #,##0_-;_-"$"* "-"??_-;_-@_-</c:formatCode>
                <c:ptCount val="41"/>
                <c:pt idx="1">
                  <c:v>63.308</c:v>
                </c:pt>
                <c:pt idx="2">
                  <c:v>514.87099999999998</c:v>
                </c:pt>
                <c:pt idx="3">
                  <c:v>68.010000000000005</c:v>
                </c:pt>
                <c:pt idx="4">
                  <c:v>83.683000000000007</c:v>
                </c:pt>
                <c:pt idx="5">
                  <c:v>61.896999999999998</c:v>
                </c:pt>
                <c:pt idx="8">
                  <c:v>160.161</c:v>
                </c:pt>
                <c:pt idx="9">
                  <c:v>12.757</c:v>
                </c:pt>
                <c:pt idx="10">
                  <c:v>34.994999999999997</c:v>
                </c:pt>
                <c:pt idx="11">
                  <c:v>25.591999999999999</c:v>
                </c:pt>
                <c:pt idx="12">
                  <c:v>447.89499999999998</c:v>
                </c:pt>
                <c:pt idx="13">
                  <c:v>116.36799999999999</c:v>
                </c:pt>
                <c:pt idx="14">
                  <c:v>40.243000000000002</c:v>
                </c:pt>
                <c:pt idx="17">
                  <c:v>105.892</c:v>
                </c:pt>
                <c:pt idx="18">
                  <c:v>42.363999999999997</c:v>
                </c:pt>
                <c:pt idx="19">
                  <c:v>38.607999999999997</c:v>
                </c:pt>
                <c:pt idx="20">
                  <c:v>17.991</c:v>
                </c:pt>
                <c:pt idx="21">
                  <c:v>44.561</c:v>
                </c:pt>
                <c:pt idx="22">
                  <c:v>16.678000000000001</c:v>
                </c:pt>
                <c:pt idx="23">
                  <c:v>125.175</c:v>
                </c:pt>
                <c:pt idx="26">
                  <c:v>33.152999999999999</c:v>
                </c:pt>
                <c:pt idx="27">
                  <c:v>26.257999999999999</c:v>
                </c:pt>
                <c:pt idx="28">
                  <c:v>42.177999999999997</c:v>
                </c:pt>
                <c:pt idx="29">
                  <c:v>136.64099999999999</c:v>
                </c:pt>
                <c:pt idx="30">
                  <c:v>90.302999999999997</c:v>
                </c:pt>
                <c:pt idx="31">
                  <c:v>36.545000000000002</c:v>
                </c:pt>
                <c:pt idx="32">
                  <c:v>27.872</c:v>
                </c:pt>
                <c:pt idx="33">
                  <c:v>63.886000000000003</c:v>
                </c:pt>
                <c:pt idx="36">
                  <c:v>92.727999999999994</c:v>
                </c:pt>
                <c:pt idx="37">
                  <c:v>48.713999999999999</c:v>
                </c:pt>
                <c:pt idx="38">
                  <c:v>665.49400000000003</c:v>
                </c:pt>
                <c:pt idx="39">
                  <c:v>50.683999999999997</c:v>
                </c:pt>
                <c:pt idx="40">
                  <c:v>70.882999999999996</c:v>
                </c:pt>
              </c:numCache>
            </c:numRef>
          </c:val>
        </c:ser>
        <c:dLbls>
          <c:showLegendKey val="0"/>
          <c:showVal val="0"/>
          <c:showCatName val="0"/>
          <c:showSerName val="0"/>
          <c:showPercent val="0"/>
          <c:showBubbleSize val="0"/>
        </c:dLbls>
        <c:gapWidth val="30"/>
        <c:overlap val="100"/>
        <c:axId val="789928032"/>
        <c:axId val="789928592"/>
      </c:barChart>
      <c:catAx>
        <c:axId val="7899280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928592"/>
        <c:crosses val="autoZero"/>
        <c:auto val="1"/>
        <c:lblAlgn val="ctr"/>
        <c:lblOffset val="100"/>
        <c:noMultiLvlLbl val="0"/>
      </c:catAx>
      <c:valAx>
        <c:axId val="789928592"/>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Value</a:t>
                </a:r>
                <a:r>
                  <a:rPr lang="en-AU" baseline="0"/>
                  <a:t> of Building Approvals (Millions)</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928032"/>
        <c:crosses val="autoZero"/>
        <c:crossBetween val="between"/>
      </c:valAx>
      <c:spPr>
        <a:noFill/>
        <a:ln>
          <a:noFill/>
        </a:ln>
        <a:effectLst/>
      </c:spPr>
    </c:plotArea>
    <c:legend>
      <c:legendPos val="b"/>
      <c:layout>
        <c:manualLayout>
          <c:xMode val="edge"/>
          <c:yMode val="edge"/>
          <c:x val="0.60160421482028514"/>
          <c:y val="0"/>
          <c:w val="0.39631267163468148"/>
          <c:h val="9.9349738816894448E-2"/>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Value</a:t>
            </a:r>
            <a:r>
              <a:rPr lang="en-AU" baseline="0"/>
              <a:t> of Building Approvals by LGA</a:t>
            </a:r>
          </a:p>
          <a:p>
            <a:pPr algn="l">
              <a:defRPr/>
            </a:pPr>
            <a:r>
              <a:rPr lang="en-AU" baseline="0"/>
              <a:t>Regional Victoria 2014-15</a:t>
            </a:r>
          </a:p>
          <a:p>
            <a:pPr algn="l">
              <a:defRPr/>
            </a:pPr>
            <a:r>
              <a:rPr lang="en-AU" sz="1000" baseline="0"/>
              <a:t>Source: ABS building approvals</a:t>
            </a:r>
            <a:endParaRPr lang="en-AU" sz="1000"/>
          </a:p>
        </c:rich>
      </c:tx>
      <c:layout>
        <c:manualLayout>
          <c:xMode val="edge"/>
          <c:yMode val="edge"/>
          <c:x val="1.0542432195975804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487309823178314"/>
          <c:y val="0.15376429829832916"/>
          <c:w val="0.75737513626874597"/>
          <c:h val="0.83212596026045205"/>
        </c:manualLayout>
      </c:layout>
      <c:barChart>
        <c:barDir val="bar"/>
        <c:grouping val="stacked"/>
        <c:varyColors val="0"/>
        <c:ser>
          <c:idx val="0"/>
          <c:order val="0"/>
          <c:tx>
            <c:strRef>
              <c:f>'Value of Approvals'!$AB$7</c:f>
              <c:strCache>
                <c:ptCount val="1"/>
                <c:pt idx="0">
                  <c:v>Residential</c:v>
                </c:pt>
              </c:strCache>
            </c:strRef>
          </c:tx>
          <c:spPr>
            <a:solidFill>
              <a:schemeClr val="accent1"/>
            </a:solidFill>
            <a:ln>
              <a:solidFill>
                <a:schemeClr val="tx1"/>
              </a:solidFill>
            </a:ln>
            <a:effectLst/>
          </c:spPr>
          <c:invertIfNegative val="0"/>
          <c:cat>
            <c:strRef>
              <c:f>'Value of Approvals'!$AA$50:$AA$98</c:f>
              <c:strCache>
                <c:ptCount val="49"/>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strCache>
            </c:strRef>
          </c:cat>
          <c:val>
            <c:numRef>
              <c:f>'Value of Approvals'!$AB$50:$AB$98</c:f>
              <c:numCache>
                <c:formatCode>_-"$"* #,##0_-;\-"$"* #,##0_-;_-"$"* "-"??_-;_-@_-</c:formatCode>
                <c:ptCount val="49"/>
                <c:pt idx="0">
                  <c:v>272.91899999999998</c:v>
                </c:pt>
                <c:pt idx="1">
                  <c:v>293.50700000000001</c:v>
                </c:pt>
                <c:pt idx="2">
                  <c:v>754.697</c:v>
                </c:pt>
                <c:pt idx="3">
                  <c:v>97.938000000000002</c:v>
                </c:pt>
                <c:pt idx="4">
                  <c:v>36.920999999999999</c:v>
                </c:pt>
                <c:pt idx="5">
                  <c:v>98.537000000000006</c:v>
                </c:pt>
                <c:pt idx="6">
                  <c:v>86.203999999999994</c:v>
                </c:pt>
                <c:pt idx="7">
                  <c:v>50.046999999999997</c:v>
                </c:pt>
                <c:pt idx="8">
                  <c:v>64.599999999999994</c:v>
                </c:pt>
                <c:pt idx="9">
                  <c:v>112.02</c:v>
                </c:pt>
                <c:pt idx="11">
                  <c:v>23.672999999999998</c:v>
                </c:pt>
                <c:pt idx="12">
                  <c:v>11.173</c:v>
                </c:pt>
                <c:pt idx="13">
                  <c:v>122.47</c:v>
                </c:pt>
                <c:pt idx="14">
                  <c:v>141.23599999999999</c:v>
                </c:pt>
                <c:pt idx="15">
                  <c:v>18.459</c:v>
                </c:pt>
                <c:pt idx="16">
                  <c:v>3.956</c:v>
                </c:pt>
                <c:pt idx="17">
                  <c:v>43.55</c:v>
                </c:pt>
                <c:pt idx="18">
                  <c:v>17.486000000000001</c:v>
                </c:pt>
                <c:pt idx="19">
                  <c:v>34.677999999999997</c:v>
                </c:pt>
                <c:pt idx="20">
                  <c:v>17.236999999999998</c:v>
                </c:pt>
                <c:pt idx="21">
                  <c:v>103.39400000000001</c:v>
                </c:pt>
                <c:pt idx="22">
                  <c:v>15.8</c:v>
                </c:pt>
                <c:pt idx="23">
                  <c:v>18.355</c:v>
                </c:pt>
                <c:pt idx="24">
                  <c:v>64.909000000000006</c:v>
                </c:pt>
                <c:pt idx="25">
                  <c:v>35.462000000000003</c:v>
                </c:pt>
                <c:pt idx="26">
                  <c:v>5.2089999999999996</c:v>
                </c:pt>
                <c:pt idx="27">
                  <c:v>26.222000000000001</c:v>
                </c:pt>
                <c:pt idx="28">
                  <c:v>7.6550000000000002</c:v>
                </c:pt>
                <c:pt idx="29">
                  <c:v>132.45400000000001</c:v>
                </c:pt>
                <c:pt idx="30">
                  <c:v>32.365000000000002</c:v>
                </c:pt>
                <c:pt idx="31">
                  <c:v>54.6</c:v>
                </c:pt>
                <c:pt idx="32">
                  <c:v>93.087999999999994</c:v>
                </c:pt>
                <c:pt idx="33">
                  <c:v>38.334000000000003</c:v>
                </c:pt>
                <c:pt idx="34">
                  <c:v>44.375999999999998</c:v>
                </c:pt>
                <c:pt idx="35">
                  <c:v>34.134</c:v>
                </c:pt>
                <c:pt idx="36">
                  <c:v>11.597</c:v>
                </c:pt>
                <c:pt idx="37">
                  <c:v>12.525</c:v>
                </c:pt>
                <c:pt idx="38">
                  <c:v>18.786999999999999</c:v>
                </c:pt>
                <c:pt idx="39">
                  <c:v>60.334000000000003</c:v>
                </c:pt>
                <c:pt idx="40">
                  <c:v>17.341000000000001</c:v>
                </c:pt>
                <c:pt idx="41">
                  <c:v>29.902000000000001</c:v>
                </c:pt>
                <c:pt idx="42">
                  <c:v>178.56399999999999</c:v>
                </c:pt>
                <c:pt idx="43">
                  <c:v>19.908999999999999</c:v>
                </c:pt>
                <c:pt idx="44">
                  <c:v>6.4210000000000003</c:v>
                </c:pt>
                <c:pt idx="45">
                  <c:v>70.698999999999998</c:v>
                </c:pt>
                <c:pt idx="46">
                  <c:v>1.63</c:v>
                </c:pt>
                <c:pt idx="47">
                  <c:v>4.3959999999999999</c:v>
                </c:pt>
                <c:pt idx="48">
                  <c:v>3.508</c:v>
                </c:pt>
              </c:numCache>
            </c:numRef>
          </c:val>
        </c:ser>
        <c:ser>
          <c:idx val="1"/>
          <c:order val="1"/>
          <c:tx>
            <c:strRef>
              <c:f>'Value of Approvals'!$AC$7</c:f>
              <c:strCache>
                <c:ptCount val="1"/>
                <c:pt idx="0">
                  <c:v>Commercial</c:v>
                </c:pt>
              </c:strCache>
            </c:strRef>
          </c:tx>
          <c:spPr>
            <a:solidFill>
              <a:schemeClr val="accent2"/>
            </a:solidFill>
            <a:ln>
              <a:solidFill>
                <a:schemeClr val="tx1"/>
              </a:solidFill>
            </a:ln>
            <a:effectLst/>
          </c:spPr>
          <c:invertIfNegative val="0"/>
          <c:cat>
            <c:strRef>
              <c:f>'Value of Approvals'!$AA$50:$AA$98</c:f>
              <c:strCache>
                <c:ptCount val="49"/>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strCache>
            </c:strRef>
          </c:cat>
          <c:val>
            <c:numRef>
              <c:f>'Value of Approvals'!$AC$50:$AC$98</c:f>
              <c:numCache>
                <c:formatCode>_-"$"* #,##0_-;\-"$"* #,##0_-;_-"$"* "-"??_-;_-@_-</c:formatCode>
                <c:ptCount val="49"/>
                <c:pt idx="0">
                  <c:v>13.064</c:v>
                </c:pt>
                <c:pt idx="1">
                  <c:v>34.768999999999998</c:v>
                </c:pt>
                <c:pt idx="2">
                  <c:v>80.378</c:v>
                </c:pt>
                <c:pt idx="3">
                  <c:v>29.411000000000001</c:v>
                </c:pt>
                <c:pt idx="4">
                  <c:v>1.577</c:v>
                </c:pt>
                <c:pt idx="5">
                  <c:v>16.401</c:v>
                </c:pt>
                <c:pt idx="6">
                  <c:v>12.333</c:v>
                </c:pt>
                <c:pt idx="7">
                  <c:v>2.9390000000000001</c:v>
                </c:pt>
                <c:pt idx="8">
                  <c:v>6.4640000000000004</c:v>
                </c:pt>
                <c:pt idx="9">
                  <c:v>60.003</c:v>
                </c:pt>
                <c:pt idx="11">
                  <c:v>0.34300000000000003</c:v>
                </c:pt>
                <c:pt idx="12">
                  <c:v>1.2250000000000001</c:v>
                </c:pt>
                <c:pt idx="13">
                  <c:v>4.6669999999999998</c:v>
                </c:pt>
                <c:pt idx="14">
                  <c:v>5.8109999999999999</c:v>
                </c:pt>
                <c:pt idx="15">
                  <c:v>0.45600000000000002</c:v>
                </c:pt>
                <c:pt idx="16">
                  <c:v>0.49399999999999999</c:v>
                </c:pt>
                <c:pt idx="17">
                  <c:v>10.332000000000001</c:v>
                </c:pt>
                <c:pt idx="18">
                  <c:v>0.33900000000000002</c:v>
                </c:pt>
                <c:pt idx="19">
                  <c:v>1.3080000000000001</c:v>
                </c:pt>
                <c:pt idx="20">
                  <c:v>0.52</c:v>
                </c:pt>
                <c:pt idx="21">
                  <c:v>5.6230000000000002</c:v>
                </c:pt>
                <c:pt idx="22">
                  <c:v>0.42299999999999999</c:v>
                </c:pt>
                <c:pt idx="23">
                  <c:v>3.2480000000000002</c:v>
                </c:pt>
                <c:pt idx="24">
                  <c:v>2.3650000000000002</c:v>
                </c:pt>
                <c:pt idx="25">
                  <c:v>2.3239999999999998</c:v>
                </c:pt>
                <c:pt idx="26">
                  <c:v>1.113</c:v>
                </c:pt>
                <c:pt idx="27">
                  <c:v>1.6</c:v>
                </c:pt>
                <c:pt idx="28">
                  <c:v>1.1040000000000001</c:v>
                </c:pt>
                <c:pt idx="29">
                  <c:v>4.375</c:v>
                </c:pt>
                <c:pt idx="30">
                  <c:v>0.2</c:v>
                </c:pt>
                <c:pt idx="31">
                  <c:v>2.2029999999999998</c:v>
                </c:pt>
                <c:pt idx="32">
                  <c:v>16.173999999999999</c:v>
                </c:pt>
                <c:pt idx="33">
                  <c:v>1.7390000000000001</c:v>
                </c:pt>
                <c:pt idx="34">
                  <c:v>1.772</c:v>
                </c:pt>
                <c:pt idx="35">
                  <c:v>0.78700000000000003</c:v>
                </c:pt>
                <c:pt idx="36">
                  <c:v>1.175</c:v>
                </c:pt>
                <c:pt idx="37">
                  <c:v>0</c:v>
                </c:pt>
                <c:pt idx="38">
                  <c:v>0.373</c:v>
                </c:pt>
                <c:pt idx="39">
                  <c:v>4.6929999999999996</c:v>
                </c:pt>
                <c:pt idx="40">
                  <c:v>2.3319999999999999</c:v>
                </c:pt>
                <c:pt idx="41">
                  <c:v>0.43</c:v>
                </c:pt>
                <c:pt idx="42">
                  <c:v>5.6150000000000002</c:v>
                </c:pt>
                <c:pt idx="43">
                  <c:v>7.4880000000000004</c:v>
                </c:pt>
                <c:pt idx="44">
                  <c:v>0.27100000000000002</c:v>
                </c:pt>
                <c:pt idx="45">
                  <c:v>6.7759999999999998</c:v>
                </c:pt>
                <c:pt idx="46">
                  <c:v>0.314</c:v>
                </c:pt>
                <c:pt idx="47">
                  <c:v>0.48599999999999999</c:v>
                </c:pt>
                <c:pt idx="48">
                  <c:v>0.54900000000000004</c:v>
                </c:pt>
              </c:numCache>
            </c:numRef>
          </c:val>
        </c:ser>
        <c:ser>
          <c:idx val="2"/>
          <c:order val="2"/>
          <c:tx>
            <c:strRef>
              <c:f>'Value of Approvals'!$AD$7</c:f>
              <c:strCache>
                <c:ptCount val="1"/>
                <c:pt idx="0">
                  <c:v>Industrial </c:v>
                </c:pt>
              </c:strCache>
            </c:strRef>
          </c:tx>
          <c:spPr>
            <a:solidFill>
              <a:schemeClr val="accent3"/>
            </a:solidFill>
            <a:ln>
              <a:solidFill>
                <a:schemeClr val="tx1"/>
              </a:solidFill>
            </a:ln>
            <a:effectLst/>
          </c:spPr>
          <c:invertIfNegative val="0"/>
          <c:cat>
            <c:strRef>
              <c:f>'Value of Approvals'!$AA$50:$AA$98</c:f>
              <c:strCache>
                <c:ptCount val="49"/>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strCache>
            </c:strRef>
          </c:cat>
          <c:val>
            <c:numRef>
              <c:f>'Value of Approvals'!$AD$50:$AD$98</c:f>
              <c:numCache>
                <c:formatCode>_-"$"* #,##0_-;\-"$"* #,##0_-;_-"$"* "-"??_-;_-@_-</c:formatCode>
                <c:ptCount val="49"/>
                <c:pt idx="0">
                  <c:v>9.6609999999999996</c:v>
                </c:pt>
                <c:pt idx="1">
                  <c:v>19.494</c:v>
                </c:pt>
                <c:pt idx="2">
                  <c:v>51.915999999999997</c:v>
                </c:pt>
                <c:pt idx="3">
                  <c:v>10.952999999999999</c:v>
                </c:pt>
                <c:pt idx="4">
                  <c:v>0.64600000000000002</c:v>
                </c:pt>
                <c:pt idx="5">
                  <c:v>7.7779999999999996</c:v>
                </c:pt>
                <c:pt idx="6">
                  <c:v>8.6790000000000003</c:v>
                </c:pt>
                <c:pt idx="7">
                  <c:v>3.1440000000000001</c:v>
                </c:pt>
                <c:pt idx="8">
                  <c:v>2.5880000000000001</c:v>
                </c:pt>
                <c:pt idx="9">
                  <c:v>4.1349999999999998</c:v>
                </c:pt>
                <c:pt idx="11">
                  <c:v>8.3610000000000007</c:v>
                </c:pt>
                <c:pt idx="12">
                  <c:v>0.17499999999999999</c:v>
                </c:pt>
                <c:pt idx="13">
                  <c:v>0.69399999999999995</c:v>
                </c:pt>
                <c:pt idx="14">
                  <c:v>6.8710000000000004</c:v>
                </c:pt>
                <c:pt idx="15">
                  <c:v>0.59199999999999997</c:v>
                </c:pt>
                <c:pt idx="16">
                  <c:v>0.58399999999999996</c:v>
                </c:pt>
                <c:pt idx="17">
                  <c:v>8.391</c:v>
                </c:pt>
                <c:pt idx="18">
                  <c:v>1.2170000000000001</c:v>
                </c:pt>
                <c:pt idx="19">
                  <c:v>11.266</c:v>
                </c:pt>
                <c:pt idx="20">
                  <c:v>7.6740000000000004</c:v>
                </c:pt>
                <c:pt idx="21">
                  <c:v>4.1760000000000002</c:v>
                </c:pt>
                <c:pt idx="22">
                  <c:v>1.835</c:v>
                </c:pt>
                <c:pt idx="23">
                  <c:v>0.68500000000000005</c:v>
                </c:pt>
                <c:pt idx="24">
                  <c:v>1.298</c:v>
                </c:pt>
                <c:pt idx="25">
                  <c:v>0.75800000000000001</c:v>
                </c:pt>
                <c:pt idx="26">
                  <c:v>0.46300000000000002</c:v>
                </c:pt>
                <c:pt idx="27">
                  <c:v>0.49299999999999999</c:v>
                </c:pt>
                <c:pt idx="28">
                  <c:v>3.6259999999999999</c:v>
                </c:pt>
                <c:pt idx="29">
                  <c:v>3.1739999999999999</c:v>
                </c:pt>
                <c:pt idx="30">
                  <c:v>1.6759999999999999</c:v>
                </c:pt>
                <c:pt idx="31">
                  <c:v>28.774999999999999</c:v>
                </c:pt>
                <c:pt idx="32">
                  <c:v>5.4509999999999996</c:v>
                </c:pt>
                <c:pt idx="33">
                  <c:v>0.26600000000000001</c:v>
                </c:pt>
                <c:pt idx="34">
                  <c:v>2.5880000000000001</c:v>
                </c:pt>
                <c:pt idx="35">
                  <c:v>0.496</c:v>
                </c:pt>
                <c:pt idx="36">
                  <c:v>0.16700000000000001</c:v>
                </c:pt>
                <c:pt idx="37">
                  <c:v>3.36</c:v>
                </c:pt>
                <c:pt idx="38">
                  <c:v>0</c:v>
                </c:pt>
                <c:pt idx="39">
                  <c:v>7.6680000000000001</c:v>
                </c:pt>
                <c:pt idx="40">
                  <c:v>2.7949999999999999</c:v>
                </c:pt>
                <c:pt idx="41">
                  <c:v>1.827</c:v>
                </c:pt>
                <c:pt idx="42">
                  <c:v>4.3360000000000003</c:v>
                </c:pt>
                <c:pt idx="43">
                  <c:v>5.9729999999999999</c:v>
                </c:pt>
                <c:pt idx="44">
                  <c:v>4.0650000000000004</c:v>
                </c:pt>
                <c:pt idx="45">
                  <c:v>4.4880000000000004</c:v>
                </c:pt>
                <c:pt idx="46">
                  <c:v>0.28100000000000003</c:v>
                </c:pt>
                <c:pt idx="47">
                  <c:v>1.998</c:v>
                </c:pt>
                <c:pt idx="48">
                  <c:v>0.34599999999999997</c:v>
                </c:pt>
              </c:numCache>
            </c:numRef>
          </c:val>
        </c:ser>
        <c:ser>
          <c:idx val="3"/>
          <c:order val="3"/>
          <c:tx>
            <c:strRef>
              <c:f>'Value of Approvals'!$AE$7</c:f>
              <c:strCache>
                <c:ptCount val="1"/>
                <c:pt idx="0">
                  <c:v>Other Non-residential</c:v>
                </c:pt>
              </c:strCache>
            </c:strRef>
          </c:tx>
          <c:spPr>
            <a:solidFill>
              <a:schemeClr val="accent4"/>
            </a:solidFill>
            <a:ln>
              <a:solidFill>
                <a:schemeClr val="tx1"/>
              </a:solidFill>
            </a:ln>
            <a:effectLst/>
          </c:spPr>
          <c:invertIfNegative val="0"/>
          <c:cat>
            <c:strRef>
              <c:f>'Value of Approvals'!$AA$50:$AA$98</c:f>
              <c:strCache>
                <c:ptCount val="49"/>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strCache>
            </c:strRef>
          </c:cat>
          <c:val>
            <c:numRef>
              <c:f>'Value of Approvals'!$AE$50:$AE$98</c:f>
              <c:numCache>
                <c:formatCode>_-"$"* #,##0_-;\-"$"* #,##0_-;_-"$"* "-"??_-;_-@_-</c:formatCode>
                <c:ptCount val="49"/>
                <c:pt idx="0">
                  <c:v>66.850999999999999</c:v>
                </c:pt>
                <c:pt idx="1">
                  <c:v>57.109000000000002</c:v>
                </c:pt>
                <c:pt idx="2">
                  <c:v>119.45099999999999</c:v>
                </c:pt>
                <c:pt idx="3">
                  <c:v>19.36</c:v>
                </c:pt>
                <c:pt idx="4">
                  <c:v>4.8899999999999997</c:v>
                </c:pt>
                <c:pt idx="5">
                  <c:v>24.754999999999999</c:v>
                </c:pt>
                <c:pt idx="6">
                  <c:v>15.359</c:v>
                </c:pt>
                <c:pt idx="7">
                  <c:v>8.4689999999999994</c:v>
                </c:pt>
                <c:pt idx="8">
                  <c:v>44.197000000000003</c:v>
                </c:pt>
                <c:pt idx="9">
                  <c:v>7.75</c:v>
                </c:pt>
                <c:pt idx="11">
                  <c:v>0.71599999999999997</c:v>
                </c:pt>
                <c:pt idx="12">
                  <c:v>1.07</c:v>
                </c:pt>
                <c:pt idx="13">
                  <c:v>10.808999999999999</c:v>
                </c:pt>
                <c:pt idx="14">
                  <c:v>42.764000000000003</c:v>
                </c:pt>
                <c:pt idx="15">
                  <c:v>4.734</c:v>
                </c:pt>
                <c:pt idx="16">
                  <c:v>1.46</c:v>
                </c:pt>
                <c:pt idx="17">
                  <c:v>7.4610000000000003</c:v>
                </c:pt>
                <c:pt idx="18">
                  <c:v>2.44</c:v>
                </c:pt>
                <c:pt idx="19">
                  <c:v>1.9390000000000001</c:v>
                </c:pt>
                <c:pt idx="20">
                  <c:v>4.9340000000000002</c:v>
                </c:pt>
                <c:pt idx="21">
                  <c:v>5.3040000000000003</c:v>
                </c:pt>
                <c:pt idx="22">
                  <c:v>1.536</c:v>
                </c:pt>
                <c:pt idx="23">
                  <c:v>5.32</c:v>
                </c:pt>
                <c:pt idx="24">
                  <c:v>2.1280000000000001</c:v>
                </c:pt>
                <c:pt idx="25">
                  <c:v>4.2220000000000004</c:v>
                </c:pt>
                <c:pt idx="26">
                  <c:v>0.55300000000000005</c:v>
                </c:pt>
                <c:pt idx="27">
                  <c:v>1.2270000000000001</c:v>
                </c:pt>
                <c:pt idx="28">
                  <c:v>11.805</c:v>
                </c:pt>
                <c:pt idx="29">
                  <c:v>6.7649999999999997</c:v>
                </c:pt>
                <c:pt idx="30">
                  <c:v>1.33</c:v>
                </c:pt>
                <c:pt idx="31">
                  <c:v>6.6619999999999999</c:v>
                </c:pt>
                <c:pt idx="32">
                  <c:v>5.5910000000000002</c:v>
                </c:pt>
                <c:pt idx="33">
                  <c:v>4.4089999999999998</c:v>
                </c:pt>
                <c:pt idx="34">
                  <c:v>2.1909999999999998</c:v>
                </c:pt>
                <c:pt idx="35">
                  <c:v>1.8779999999999999</c:v>
                </c:pt>
                <c:pt idx="36">
                  <c:v>1.605</c:v>
                </c:pt>
                <c:pt idx="37">
                  <c:v>1.294</c:v>
                </c:pt>
                <c:pt idx="38">
                  <c:v>1.845</c:v>
                </c:pt>
                <c:pt idx="39">
                  <c:v>4.72</c:v>
                </c:pt>
                <c:pt idx="40">
                  <c:v>7.3760000000000003</c:v>
                </c:pt>
                <c:pt idx="41">
                  <c:v>0.85899999999999999</c:v>
                </c:pt>
                <c:pt idx="42">
                  <c:v>2.6549999999999998</c:v>
                </c:pt>
                <c:pt idx="43">
                  <c:v>16.613</c:v>
                </c:pt>
                <c:pt idx="44">
                  <c:v>4.2320000000000002</c:v>
                </c:pt>
                <c:pt idx="45">
                  <c:v>14.788</c:v>
                </c:pt>
                <c:pt idx="46">
                  <c:v>0.76300000000000001</c:v>
                </c:pt>
                <c:pt idx="47">
                  <c:v>8.6219999999999999</c:v>
                </c:pt>
                <c:pt idx="48">
                  <c:v>7.87</c:v>
                </c:pt>
              </c:numCache>
            </c:numRef>
          </c:val>
        </c:ser>
        <c:dLbls>
          <c:showLegendKey val="0"/>
          <c:showVal val="0"/>
          <c:showCatName val="0"/>
          <c:showSerName val="0"/>
          <c:showPercent val="0"/>
          <c:showBubbleSize val="0"/>
        </c:dLbls>
        <c:gapWidth val="30"/>
        <c:overlap val="100"/>
        <c:axId val="789932512"/>
        <c:axId val="789933072"/>
      </c:barChart>
      <c:catAx>
        <c:axId val="7899325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933072"/>
        <c:crosses val="autoZero"/>
        <c:auto val="1"/>
        <c:lblAlgn val="ctr"/>
        <c:lblOffset val="100"/>
        <c:noMultiLvlLbl val="0"/>
      </c:catAx>
      <c:valAx>
        <c:axId val="789933072"/>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rPr>
                  <a:t>Value of Building Approvals (Millions)</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932512"/>
        <c:crosses val="autoZero"/>
        <c:crossBetween val="between"/>
      </c:valAx>
      <c:spPr>
        <a:noFill/>
        <a:ln>
          <a:noFill/>
        </a:ln>
        <a:effectLst/>
      </c:spPr>
    </c:plotArea>
    <c:legend>
      <c:legendPos val="b"/>
      <c:layout>
        <c:manualLayout>
          <c:xMode val="edge"/>
          <c:yMode val="edge"/>
          <c:x val="0.60160421482028514"/>
          <c:y val="0"/>
          <c:w val="0.39631267163468148"/>
          <c:h val="9.9349738816894448E-2"/>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Value</a:t>
            </a:r>
            <a:r>
              <a:rPr lang="en-AU" baseline="0"/>
              <a:t> of </a:t>
            </a:r>
            <a:r>
              <a:rPr lang="en-AU"/>
              <a:t>Building</a:t>
            </a:r>
            <a:r>
              <a:rPr lang="en-AU" baseline="0"/>
              <a:t> Approvals - Commercial</a:t>
            </a:r>
          </a:p>
          <a:p>
            <a:pPr algn="l">
              <a:defRPr/>
            </a:pPr>
            <a:r>
              <a:rPr lang="en-AU" baseline="0"/>
              <a:t>Metropolitan Melbourne 2014-15</a:t>
            </a:r>
          </a:p>
          <a:p>
            <a:pPr algn="l">
              <a:defRPr/>
            </a:pPr>
            <a:r>
              <a:rPr lang="en-AU" sz="1000" baseline="0"/>
              <a:t>Source: ABS building approvals </a:t>
            </a:r>
            <a:endParaRPr lang="en-AU" sz="1000"/>
          </a:p>
        </c:rich>
      </c:tx>
      <c:layout>
        <c:manualLayout>
          <c:xMode val="edge"/>
          <c:yMode val="edge"/>
          <c:x val="1.4863950829675698E-3"/>
          <c:y val="5.1177072671443197E-3"/>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483655120300505"/>
          <c:y val="0.15356422080706048"/>
          <c:w val="0.73222761271669967"/>
          <c:h val="0.81662601562254922"/>
        </c:manualLayout>
      </c:layout>
      <c:barChart>
        <c:barDir val="bar"/>
        <c:grouping val="stacked"/>
        <c:varyColors val="0"/>
        <c:ser>
          <c:idx val="0"/>
          <c:order val="0"/>
          <c:tx>
            <c:strRef>
              <c:f>'Value of Approvals'!$AS$7</c:f>
              <c:strCache>
                <c:ptCount val="1"/>
                <c:pt idx="0">
                  <c:v>Retail and wholesale trade buildings</c:v>
                </c:pt>
              </c:strCache>
            </c:strRef>
          </c:tx>
          <c:spPr>
            <a:solidFill>
              <a:schemeClr val="accent2"/>
            </a:solidFill>
            <a:ln>
              <a:solidFill>
                <a:schemeClr val="tx1"/>
              </a:solidFill>
            </a:ln>
            <a:effectLst/>
          </c:spPr>
          <c:invertIfNegative val="0"/>
          <c:cat>
            <c:strRef>
              <c:f>'Value of Approvals'!$AR$8:$AR$48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Approvals'!$AS$8:$AS$48</c:f>
              <c:numCache>
                <c:formatCode>_-"$"* #,##0_-;\-"$"* #,##0_-;_-"$"* "-"??_-;_-@_-</c:formatCode>
                <c:ptCount val="41"/>
                <c:pt idx="1">
                  <c:v>19.855</c:v>
                </c:pt>
                <c:pt idx="2">
                  <c:v>144.49600000000001</c:v>
                </c:pt>
                <c:pt idx="3">
                  <c:v>13.545999999999999</c:v>
                </c:pt>
                <c:pt idx="4">
                  <c:v>278.26100000000002</c:v>
                </c:pt>
                <c:pt idx="5">
                  <c:v>46.277000000000001</c:v>
                </c:pt>
                <c:pt idx="8">
                  <c:v>17.821000000000002</c:v>
                </c:pt>
                <c:pt idx="9">
                  <c:v>15.067</c:v>
                </c:pt>
                <c:pt idx="10">
                  <c:v>10.079000000000001</c:v>
                </c:pt>
                <c:pt idx="11">
                  <c:v>16.391999999999999</c:v>
                </c:pt>
                <c:pt idx="12">
                  <c:v>19.163</c:v>
                </c:pt>
                <c:pt idx="13">
                  <c:v>17.452999999999999</c:v>
                </c:pt>
                <c:pt idx="14">
                  <c:v>15.65</c:v>
                </c:pt>
                <c:pt idx="17">
                  <c:v>5.1029999999999998</c:v>
                </c:pt>
                <c:pt idx="18">
                  <c:v>22.841000000000001</c:v>
                </c:pt>
                <c:pt idx="19">
                  <c:v>17.664000000000001</c:v>
                </c:pt>
                <c:pt idx="20">
                  <c:v>3.64</c:v>
                </c:pt>
                <c:pt idx="21">
                  <c:v>6.3479999999999999</c:v>
                </c:pt>
                <c:pt idx="22">
                  <c:v>5.6159999999999997</c:v>
                </c:pt>
                <c:pt idx="23">
                  <c:v>26.779</c:v>
                </c:pt>
                <c:pt idx="26">
                  <c:v>2.8889999999999998</c:v>
                </c:pt>
                <c:pt idx="27">
                  <c:v>13.805</c:v>
                </c:pt>
                <c:pt idx="28">
                  <c:v>174.70400000000001</c:v>
                </c:pt>
                <c:pt idx="29">
                  <c:v>35.234999999999999</c:v>
                </c:pt>
                <c:pt idx="30">
                  <c:v>15.393000000000001</c:v>
                </c:pt>
                <c:pt idx="31">
                  <c:v>33.729999999999997</c:v>
                </c:pt>
                <c:pt idx="32">
                  <c:v>60.83</c:v>
                </c:pt>
                <c:pt idx="33">
                  <c:v>15.131</c:v>
                </c:pt>
                <c:pt idx="36">
                  <c:v>9.3710000000000004</c:v>
                </c:pt>
                <c:pt idx="37">
                  <c:v>1.9339999999999999</c:v>
                </c:pt>
                <c:pt idx="38">
                  <c:v>10.353999999999999</c:v>
                </c:pt>
                <c:pt idx="39">
                  <c:v>6.9829999999999997</c:v>
                </c:pt>
                <c:pt idx="40">
                  <c:v>46.234999999999999</c:v>
                </c:pt>
              </c:numCache>
            </c:numRef>
          </c:val>
        </c:ser>
        <c:ser>
          <c:idx val="1"/>
          <c:order val="1"/>
          <c:tx>
            <c:strRef>
              <c:f>'Value of Approvals'!$AT$7</c:f>
              <c:strCache>
                <c:ptCount val="1"/>
                <c:pt idx="0">
                  <c:v>Transport buildings</c:v>
                </c:pt>
              </c:strCache>
            </c:strRef>
          </c:tx>
          <c:spPr>
            <a:solidFill>
              <a:schemeClr val="accent4"/>
            </a:solidFill>
            <a:ln>
              <a:solidFill>
                <a:schemeClr val="tx1"/>
              </a:solidFill>
            </a:ln>
            <a:effectLst/>
          </c:spPr>
          <c:invertIfNegative val="0"/>
          <c:cat>
            <c:strRef>
              <c:f>'Value of Approvals'!$AR$8:$AR$48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Approvals'!$AT$8:$AT$48</c:f>
              <c:numCache>
                <c:formatCode>_-"$"* #,##0_-;\-"$"* #,##0_-;_-"$"* "-"??_-;_-@_-</c:formatCode>
                <c:ptCount val="41"/>
                <c:pt idx="1">
                  <c:v>0.75900000000000001</c:v>
                </c:pt>
                <c:pt idx="2">
                  <c:v>20.405999999999999</c:v>
                </c:pt>
                <c:pt idx="3">
                  <c:v>0</c:v>
                </c:pt>
                <c:pt idx="4">
                  <c:v>0.29099999999999998</c:v>
                </c:pt>
                <c:pt idx="5">
                  <c:v>5</c:v>
                </c:pt>
                <c:pt idx="8">
                  <c:v>7.9000000000000001E-2</c:v>
                </c:pt>
                <c:pt idx="9">
                  <c:v>0.215</c:v>
                </c:pt>
                <c:pt idx="10">
                  <c:v>0</c:v>
                </c:pt>
                <c:pt idx="11">
                  <c:v>36.061</c:v>
                </c:pt>
                <c:pt idx="12">
                  <c:v>10.207000000000001</c:v>
                </c:pt>
                <c:pt idx="13">
                  <c:v>0</c:v>
                </c:pt>
                <c:pt idx="14">
                  <c:v>0.28000000000000003</c:v>
                </c:pt>
                <c:pt idx="17">
                  <c:v>0.21099999999999999</c:v>
                </c:pt>
                <c:pt idx="18">
                  <c:v>32.398000000000003</c:v>
                </c:pt>
                <c:pt idx="19">
                  <c:v>10.794</c:v>
                </c:pt>
                <c:pt idx="20">
                  <c:v>0</c:v>
                </c:pt>
                <c:pt idx="21">
                  <c:v>5.3999999999999999E-2</c:v>
                </c:pt>
                <c:pt idx="22">
                  <c:v>0.14399999999999999</c:v>
                </c:pt>
                <c:pt idx="23">
                  <c:v>0</c:v>
                </c:pt>
                <c:pt idx="26">
                  <c:v>0.2</c:v>
                </c:pt>
                <c:pt idx="27">
                  <c:v>0</c:v>
                </c:pt>
                <c:pt idx="28">
                  <c:v>5.5E-2</c:v>
                </c:pt>
                <c:pt idx="29">
                  <c:v>0</c:v>
                </c:pt>
                <c:pt idx="30">
                  <c:v>0.55200000000000005</c:v>
                </c:pt>
                <c:pt idx="31">
                  <c:v>1.1950000000000001</c:v>
                </c:pt>
                <c:pt idx="32">
                  <c:v>2.9359999999999999</c:v>
                </c:pt>
                <c:pt idx="33">
                  <c:v>6.3E-2</c:v>
                </c:pt>
                <c:pt idx="36">
                  <c:v>5.5E-2</c:v>
                </c:pt>
                <c:pt idx="37">
                  <c:v>0.39500000000000002</c:v>
                </c:pt>
                <c:pt idx="38">
                  <c:v>0.25</c:v>
                </c:pt>
                <c:pt idx="39">
                  <c:v>1.47</c:v>
                </c:pt>
                <c:pt idx="40">
                  <c:v>5.2999999999999999E-2</c:v>
                </c:pt>
              </c:numCache>
            </c:numRef>
          </c:val>
        </c:ser>
        <c:ser>
          <c:idx val="2"/>
          <c:order val="2"/>
          <c:tx>
            <c:strRef>
              <c:f>'Value of Approvals'!$AU$7</c:f>
              <c:strCache>
                <c:ptCount val="1"/>
                <c:pt idx="0">
                  <c:v>Offices</c:v>
                </c:pt>
              </c:strCache>
            </c:strRef>
          </c:tx>
          <c:spPr>
            <a:solidFill>
              <a:schemeClr val="accent6"/>
            </a:solidFill>
            <a:ln>
              <a:solidFill>
                <a:schemeClr val="tx1"/>
              </a:solidFill>
            </a:ln>
            <a:effectLst/>
          </c:spPr>
          <c:invertIfNegative val="0"/>
          <c:cat>
            <c:strRef>
              <c:f>'Value of Approvals'!$AR$8:$AR$48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Approvals'!$AU$8:$AU$48</c:f>
              <c:numCache>
                <c:formatCode>_-"$"* #,##0_-;\-"$"* #,##0_-;_-"$"* "-"??_-;_-@_-</c:formatCode>
                <c:ptCount val="41"/>
                <c:pt idx="1">
                  <c:v>4.4000000000000004</c:v>
                </c:pt>
                <c:pt idx="2">
                  <c:v>767.85799999999995</c:v>
                </c:pt>
                <c:pt idx="3">
                  <c:v>48.421999999999997</c:v>
                </c:pt>
                <c:pt idx="4">
                  <c:v>67.256</c:v>
                </c:pt>
                <c:pt idx="5">
                  <c:v>50.356000000000002</c:v>
                </c:pt>
                <c:pt idx="8">
                  <c:v>27.155999999999999</c:v>
                </c:pt>
                <c:pt idx="9">
                  <c:v>13.208</c:v>
                </c:pt>
                <c:pt idx="10">
                  <c:v>2.1110000000000002</c:v>
                </c:pt>
                <c:pt idx="11">
                  <c:v>5.492</c:v>
                </c:pt>
                <c:pt idx="12">
                  <c:v>142.941</c:v>
                </c:pt>
                <c:pt idx="13">
                  <c:v>26.838999999999999</c:v>
                </c:pt>
                <c:pt idx="14">
                  <c:v>1.306</c:v>
                </c:pt>
                <c:pt idx="17">
                  <c:v>8.7100000000000009</c:v>
                </c:pt>
                <c:pt idx="18">
                  <c:v>6.3120000000000003</c:v>
                </c:pt>
                <c:pt idx="19">
                  <c:v>32.898000000000003</c:v>
                </c:pt>
                <c:pt idx="20">
                  <c:v>1.538</c:v>
                </c:pt>
                <c:pt idx="21">
                  <c:v>6.5289999999999999</c:v>
                </c:pt>
                <c:pt idx="22">
                  <c:v>0.19</c:v>
                </c:pt>
                <c:pt idx="23">
                  <c:v>16.832999999999998</c:v>
                </c:pt>
                <c:pt idx="26">
                  <c:v>3.05</c:v>
                </c:pt>
                <c:pt idx="27">
                  <c:v>2.4550000000000001</c:v>
                </c:pt>
                <c:pt idx="28">
                  <c:v>6.3879999999999999</c:v>
                </c:pt>
                <c:pt idx="29">
                  <c:v>3.5</c:v>
                </c:pt>
                <c:pt idx="30">
                  <c:v>5.4749999999999996</c:v>
                </c:pt>
                <c:pt idx="31">
                  <c:v>15.851000000000001</c:v>
                </c:pt>
                <c:pt idx="32">
                  <c:v>12.256</c:v>
                </c:pt>
                <c:pt idx="33">
                  <c:v>3.3780000000000001</c:v>
                </c:pt>
                <c:pt idx="36">
                  <c:v>5.4</c:v>
                </c:pt>
                <c:pt idx="37">
                  <c:v>4.7859999999999996</c:v>
                </c:pt>
                <c:pt idx="38">
                  <c:v>3.7160000000000002</c:v>
                </c:pt>
                <c:pt idx="39">
                  <c:v>3.379</c:v>
                </c:pt>
                <c:pt idx="40">
                  <c:v>6.5629999999999997</c:v>
                </c:pt>
              </c:numCache>
            </c:numRef>
          </c:val>
        </c:ser>
        <c:ser>
          <c:idx val="3"/>
          <c:order val="3"/>
          <c:tx>
            <c:strRef>
              <c:f>'Value of Approvals'!$AV$7</c:f>
              <c:strCache>
                <c:ptCount val="1"/>
                <c:pt idx="0">
                  <c:v>Other Commercial buildings </c:v>
                </c:pt>
              </c:strCache>
            </c:strRef>
          </c:tx>
          <c:spPr>
            <a:solidFill>
              <a:schemeClr val="accent2">
                <a:lumMod val="60000"/>
              </a:schemeClr>
            </a:solidFill>
            <a:ln>
              <a:solidFill>
                <a:schemeClr val="tx1"/>
              </a:solidFill>
            </a:ln>
            <a:effectLst/>
          </c:spPr>
          <c:invertIfNegative val="0"/>
          <c:cat>
            <c:strRef>
              <c:f>'Value of Approvals'!$AR$8:$AR$48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Approvals'!$AV$8:$AV$48</c:f>
              <c:numCache>
                <c:formatCode>_-"$"* #,##0_-;\-"$"* #,##0_-;_-"$"* "-"??_-;_-@_-</c:formatCode>
                <c:ptCount val="41"/>
                <c:pt idx="1">
                  <c:v>0</c:v>
                </c:pt>
                <c:pt idx="2">
                  <c:v>116.074</c:v>
                </c:pt>
                <c:pt idx="3">
                  <c:v>0</c:v>
                </c:pt>
                <c:pt idx="4">
                  <c:v>0.99</c:v>
                </c:pt>
                <c:pt idx="5">
                  <c:v>7.5</c:v>
                </c:pt>
                <c:pt idx="8">
                  <c:v>0</c:v>
                </c:pt>
                <c:pt idx="9">
                  <c:v>0.14000000000000001</c:v>
                </c:pt>
                <c:pt idx="10">
                  <c:v>0.374</c:v>
                </c:pt>
                <c:pt idx="11">
                  <c:v>0.315</c:v>
                </c:pt>
                <c:pt idx="12">
                  <c:v>0.05</c:v>
                </c:pt>
                <c:pt idx="13">
                  <c:v>1.25</c:v>
                </c:pt>
                <c:pt idx="14">
                  <c:v>0</c:v>
                </c:pt>
                <c:pt idx="17">
                  <c:v>0</c:v>
                </c:pt>
                <c:pt idx="18">
                  <c:v>0.93200000000000005</c:v>
                </c:pt>
                <c:pt idx="19">
                  <c:v>3</c:v>
                </c:pt>
                <c:pt idx="20">
                  <c:v>0.29799999999999999</c:v>
                </c:pt>
                <c:pt idx="21">
                  <c:v>0.3</c:v>
                </c:pt>
                <c:pt idx="22">
                  <c:v>0.6</c:v>
                </c:pt>
                <c:pt idx="23">
                  <c:v>0.1</c:v>
                </c:pt>
                <c:pt idx="26">
                  <c:v>0</c:v>
                </c:pt>
                <c:pt idx="27">
                  <c:v>0</c:v>
                </c:pt>
                <c:pt idx="28">
                  <c:v>1.1850000000000001</c:v>
                </c:pt>
                <c:pt idx="29">
                  <c:v>1.133</c:v>
                </c:pt>
                <c:pt idx="30">
                  <c:v>0.193</c:v>
                </c:pt>
                <c:pt idx="31">
                  <c:v>39.14</c:v>
                </c:pt>
                <c:pt idx="32">
                  <c:v>1.4730000000000001</c:v>
                </c:pt>
                <c:pt idx="33">
                  <c:v>5.6289999999999996</c:v>
                </c:pt>
                <c:pt idx="36">
                  <c:v>6.1440000000000001</c:v>
                </c:pt>
                <c:pt idx="37">
                  <c:v>0</c:v>
                </c:pt>
                <c:pt idx="38">
                  <c:v>2.83</c:v>
                </c:pt>
                <c:pt idx="39">
                  <c:v>8.5000000000000006E-2</c:v>
                </c:pt>
                <c:pt idx="40">
                  <c:v>0.98299999999999998</c:v>
                </c:pt>
              </c:numCache>
            </c:numRef>
          </c:val>
        </c:ser>
        <c:dLbls>
          <c:showLegendKey val="0"/>
          <c:showVal val="0"/>
          <c:showCatName val="0"/>
          <c:showSerName val="0"/>
          <c:showPercent val="0"/>
          <c:showBubbleSize val="0"/>
        </c:dLbls>
        <c:gapWidth val="30"/>
        <c:overlap val="100"/>
        <c:axId val="808400400"/>
        <c:axId val="808400960"/>
      </c:barChart>
      <c:catAx>
        <c:axId val="8084004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8400960"/>
        <c:crosses val="autoZero"/>
        <c:auto val="1"/>
        <c:lblAlgn val="ctr"/>
        <c:lblOffset val="100"/>
        <c:noMultiLvlLbl val="0"/>
      </c:catAx>
      <c:valAx>
        <c:axId val="808400960"/>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rPr>
                  <a:t>Value of Building Approvals (Millions)</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8400400"/>
        <c:crosses val="autoZero"/>
        <c:crossBetween val="between"/>
      </c:valAx>
      <c:spPr>
        <a:noFill/>
        <a:ln>
          <a:noFill/>
        </a:ln>
        <a:effectLst/>
      </c:spPr>
    </c:plotArea>
    <c:legend>
      <c:legendPos val="b"/>
      <c:layout>
        <c:manualLayout>
          <c:xMode val="edge"/>
          <c:yMode val="edge"/>
          <c:x val="0.57502165354330703"/>
          <c:y val="8.4438140217119716E-3"/>
          <c:w val="0.42495669291338584"/>
          <c:h val="8.401609727136208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Value</a:t>
            </a:r>
            <a:r>
              <a:rPr lang="en-AU" baseline="0"/>
              <a:t> of </a:t>
            </a:r>
            <a:r>
              <a:rPr lang="en-AU"/>
              <a:t>Building</a:t>
            </a:r>
            <a:r>
              <a:rPr lang="en-AU" baseline="0"/>
              <a:t> Approvals - Commercial</a:t>
            </a:r>
          </a:p>
          <a:p>
            <a:pPr algn="l">
              <a:defRPr/>
            </a:pPr>
            <a:r>
              <a:rPr lang="en-AU" baseline="0"/>
              <a:t>Metropolitan Melbourne 2014-15</a:t>
            </a:r>
          </a:p>
          <a:p>
            <a:pPr algn="l">
              <a:defRPr/>
            </a:pPr>
            <a:r>
              <a:rPr lang="en-AU" sz="1000" baseline="0"/>
              <a:t>Source: ABS building approvals </a:t>
            </a:r>
            <a:endParaRPr lang="en-AU" sz="1000"/>
          </a:p>
        </c:rich>
      </c:tx>
      <c:layout>
        <c:manualLayout>
          <c:xMode val="edge"/>
          <c:yMode val="edge"/>
          <c:x val="1.4863950829675698E-3"/>
          <c:y val="5.1177072671443197E-3"/>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483655120300505"/>
          <c:y val="0.15356422080706048"/>
          <c:w val="0.73222761271669967"/>
          <c:h val="0.83341813233610695"/>
        </c:manualLayout>
      </c:layout>
      <c:barChart>
        <c:barDir val="bar"/>
        <c:grouping val="stacked"/>
        <c:varyColors val="0"/>
        <c:ser>
          <c:idx val="0"/>
          <c:order val="0"/>
          <c:tx>
            <c:strRef>
              <c:f>'Value of Approvals'!$AS$7</c:f>
              <c:strCache>
                <c:ptCount val="1"/>
                <c:pt idx="0">
                  <c:v>Retail and wholesale trade buildings</c:v>
                </c:pt>
              </c:strCache>
            </c:strRef>
          </c:tx>
          <c:spPr>
            <a:solidFill>
              <a:schemeClr val="accent2"/>
            </a:solidFill>
            <a:ln>
              <a:solidFill>
                <a:schemeClr val="tx1"/>
              </a:solidFill>
            </a:ln>
            <a:effectLst/>
          </c:spPr>
          <c:invertIfNegative val="0"/>
          <c:cat>
            <c:strRef>
              <c:f>'Value of Approvals'!$AR$50:$AR$98</c:f>
              <c:strCache>
                <c:ptCount val="49"/>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strCache>
            </c:strRef>
          </c:cat>
          <c:val>
            <c:numRef>
              <c:f>'Value of Approvals'!$AS$50:$AS$98</c:f>
              <c:numCache>
                <c:formatCode>_-"$"* #,##0_-;\-"$"* #,##0_-;_-"$"* "-"??_-;_-@_-</c:formatCode>
                <c:ptCount val="49"/>
                <c:pt idx="0">
                  <c:v>6.98</c:v>
                </c:pt>
                <c:pt idx="1">
                  <c:v>20.056000000000001</c:v>
                </c:pt>
                <c:pt idx="2">
                  <c:v>67.010999999999996</c:v>
                </c:pt>
                <c:pt idx="3">
                  <c:v>24.449000000000002</c:v>
                </c:pt>
                <c:pt idx="4">
                  <c:v>0.66900000000000004</c:v>
                </c:pt>
                <c:pt idx="5">
                  <c:v>7.7729999999999997</c:v>
                </c:pt>
                <c:pt idx="6">
                  <c:v>5.4459999999999997</c:v>
                </c:pt>
                <c:pt idx="7">
                  <c:v>1.2569999999999999</c:v>
                </c:pt>
                <c:pt idx="8">
                  <c:v>0.81399999999999995</c:v>
                </c:pt>
                <c:pt idx="9">
                  <c:v>55.22</c:v>
                </c:pt>
                <c:pt idx="11">
                  <c:v>0.34300000000000003</c:v>
                </c:pt>
                <c:pt idx="12">
                  <c:v>0.48499999999999999</c:v>
                </c:pt>
                <c:pt idx="13">
                  <c:v>4.5220000000000002</c:v>
                </c:pt>
                <c:pt idx="14">
                  <c:v>2.2829999999999999</c:v>
                </c:pt>
                <c:pt idx="15">
                  <c:v>0.35199999999999998</c:v>
                </c:pt>
                <c:pt idx="16">
                  <c:v>0.17899999999999999</c:v>
                </c:pt>
                <c:pt idx="17">
                  <c:v>9.3190000000000008</c:v>
                </c:pt>
                <c:pt idx="18">
                  <c:v>0.13800000000000001</c:v>
                </c:pt>
                <c:pt idx="19">
                  <c:v>1.113</c:v>
                </c:pt>
                <c:pt idx="20">
                  <c:v>0.17</c:v>
                </c:pt>
                <c:pt idx="21">
                  <c:v>3.407</c:v>
                </c:pt>
                <c:pt idx="22">
                  <c:v>0.223</c:v>
                </c:pt>
                <c:pt idx="23">
                  <c:v>2.56</c:v>
                </c:pt>
                <c:pt idx="24">
                  <c:v>0.20699999999999999</c:v>
                </c:pt>
                <c:pt idx="25">
                  <c:v>1.6759999999999999</c:v>
                </c:pt>
                <c:pt idx="26">
                  <c:v>0</c:v>
                </c:pt>
                <c:pt idx="27">
                  <c:v>0</c:v>
                </c:pt>
                <c:pt idx="28">
                  <c:v>0</c:v>
                </c:pt>
                <c:pt idx="29">
                  <c:v>1.996</c:v>
                </c:pt>
                <c:pt idx="30">
                  <c:v>0</c:v>
                </c:pt>
                <c:pt idx="31">
                  <c:v>0.85</c:v>
                </c:pt>
                <c:pt idx="32">
                  <c:v>15.175000000000001</c:v>
                </c:pt>
                <c:pt idx="33">
                  <c:v>0.60299999999999998</c:v>
                </c:pt>
                <c:pt idx="34">
                  <c:v>0.23200000000000001</c:v>
                </c:pt>
                <c:pt idx="35">
                  <c:v>0.65</c:v>
                </c:pt>
                <c:pt idx="36">
                  <c:v>0</c:v>
                </c:pt>
                <c:pt idx="37">
                  <c:v>0</c:v>
                </c:pt>
                <c:pt idx="38">
                  <c:v>0.1</c:v>
                </c:pt>
                <c:pt idx="39">
                  <c:v>1.7989999999999999</c:v>
                </c:pt>
                <c:pt idx="40">
                  <c:v>1.623</c:v>
                </c:pt>
                <c:pt idx="41">
                  <c:v>0.27500000000000002</c:v>
                </c:pt>
                <c:pt idx="42">
                  <c:v>5.0519999999999996</c:v>
                </c:pt>
                <c:pt idx="43">
                  <c:v>6.3579999999999997</c:v>
                </c:pt>
                <c:pt idx="44">
                  <c:v>0.17499999999999999</c:v>
                </c:pt>
                <c:pt idx="45">
                  <c:v>0.57999999999999996</c:v>
                </c:pt>
                <c:pt idx="46">
                  <c:v>0</c:v>
                </c:pt>
                <c:pt idx="47">
                  <c:v>0.08</c:v>
                </c:pt>
                <c:pt idx="48">
                  <c:v>0.30499999999999999</c:v>
                </c:pt>
              </c:numCache>
            </c:numRef>
          </c:val>
        </c:ser>
        <c:ser>
          <c:idx val="1"/>
          <c:order val="1"/>
          <c:tx>
            <c:strRef>
              <c:f>'Value of Approvals'!$AT$7</c:f>
              <c:strCache>
                <c:ptCount val="1"/>
                <c:pt idx="0">
                  <c:v>Transport buildings</c:v>
                </c:pt>
              </c:strCache>
            </c:strRef>
          </c:tx>
          <c:spPr>
            <a:solidFill>
              <a:schemeClr val="accent4"/>
            </a:solidFill>
            <a:ln>
              <a:solidFill>
                <a:schemeClr val="tx1"/>
              </a:solidFill>
            </a:ln>
            <a:effectLst/>
          </c:spPr>
          <c:invertIfNegative val="0"/>
          <c:cat>
            <c:strRef>
              <c:f>'Value of Approvals'!$AR$50:$AR$98</c:f>
              <c:strCache>
                <c:ptCount val="49"/>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strCache>
            </c:strRef>
          </c:cat>
          <c:val>
            <c:numRef>
              <c:f>'Value of Approvals'!$AT$50:$AT$98</c:f>
              <c:numCache>
                <c:formatCode>_-"$"* #,##0_-;\-"$"* #,##0_-;_-"$"* "-"??_-;_-@_-</c:formatCode>
                <c:ptCount val="49"/>
                <c:pt idx="0">
                  <c:v>0.41499999999999998</c:v>
                </c:pt>
                <c:pt idx="1">
                  <c:v>2.367</c:v>
                </c:pt>
                <c:pt idx="2">
                  <c:v>0.20200000000000001</c:v>
                </c:pt>
                <c:pt idx="3">
                  <c:v>0</c:v>
                </c:pt>
                <c:pt idx="4">
                  <c:v>0.22900000000000001</c:v>
                </c:pt>
                <c:pt idx="5">
                  <c:v>0.1</c:v>
                </c:pt>
                <c:pt idx="6">
                  <c:v>0</c:v>
                </c:pt>
                <c:pt idx="7">
                  <c:v>0</c:v>
                </c:pt>
                <c:pt idx="8">
                  <c:v>3.2519999999999998</c:v>
                </c:pt>
                <c:pt idx="9">
                  <c:v>0.308</c:v>
                </c:pt>
                <c:pt idx="11">
                  <c:v>0</c:v>
                </c:pt>
                <c:pt idx="12">
                  <c:v>0</c:v>
                </c:pt>
                <c:pt idx="13">
                  <c:v>0</c:v>
                </c:pt>
                <c:pt idx="14">
                  <c:v>0.13600000000000001</c:v>
                </c:pt>
                <c:pt idx="15">
                  <c:v>0</c:v>
                </c:pt>
                <c:pt idx="16">
                  <c:v>0.26100000000000001</c:v>
                </c:pt>
                <c:pt idx="17">
                  <c:v>0.06</c:v>
                </c:pt>
                <c:pt idx="18">
                  <c:v>0</c:v>
                </c:pt>
                <c:pt idx="19">
                  <c:v>0.19500000000000001</c:v>
                </c:pt>
                <c:pt idx="20">
                  <c:v>0</c:v>
                </c:pt>
                <c:pt idx="21">
                  <c:v>0.06</c:v>
                </c:pt>
                <c:pt idx="22">
                  <c:v>0</c:v>
                </c:pt>
                <c:pt idx="23">
                  <c:v>0</c:v>
                </c:pt>
                <c:pt idx="24">
                  <c:v>0.158</c:v>
                </c:pt>
                <c:pt idx="25">
                  <c:v>0.15</c:v>
                </c:pt>
                <c:pt idx="26">
                  <c:v>0</c:v>
                </c:pt>
                <c:pt idx="27">
                  <c:v>0</c:v>
                </c:pt>
                <c:pt idx="28">
                  <c:v>1.024</c:v>
                </c:pt>
                <c:pt idx="29">
                  <c:v>0</c:v>
                </c:pt>
                <c:pt idx="30">
                  <c:v>0</c:v>
                </c:pt>
                <c:pt idx="31">
                  <c:v>0.629</c:v>
                </c:pt>
                <c:pt idx="32">
                  <c:v>0.307</c:v>
                </c:pt>
                <c:pt idx="33">
                  <c:v>0.996</c:v>
                </c:pt>
                <c:pt idx="34">
                  <c:v>0</c:v>
                </c:pt>
                <c:pt idx="35">
                  <c:v>0</c:v>
                </c:pt>
                <c:pt idx="36">
                  <c:v>0.43</c:v>
                </c:pt>
                <c:pt idx="37">
                  <c:v>0</c:v>
                </c:pt>
                <c:pt idx="38">
                  <c:v>0.27300000000000002</c:v>
                </c:pt>
                <c:pt idx="39">
                  <c:v>0.5</c:v>
                </c:pt>
                <c:pt idx="40">
                  <c:v>0</c:v>
                </c:pt>
                <c:pt idx="41">
                  <c:v>0.155</c:v>
                </c:pt>
                <c:pt idx="42">
                  <c:v>0</c:v>
                </c:pt>
                <c:pt idx="43">
                  <c:v>0.20100000000000001</c:v>
                </c:pt>
                <c:pt idx="44">
                  <c:v>0</c:v>
                </c:pt>
                <c:pt idx="45">
                  <c:v>0</c:v>
                </c:pt>
                <c:pt idx="46">
                  <c:v>0.314</c:v>
                </c:pt>
                <c:pt idx="47">
                  <c:v>0.32800000000000001</c:v>
                </c:pt>
                <c:pt idx="48">
                  <c:v>0</c:v>
                </c:pt>
              </c:numCache>
            </c:numRef>
          </c:val>
        </c:ser>
        <c:ser>
          <c:idx val="2"/>
          <c:order val="2"/>
          <c:tx>
            <c:strRef>
              <c:f>'Value of Approvals'!$AU$7</c:f>
              <c:strCache>
                <c:ptCount val="1"/>
                <c:pt idx="0">
                  <c:v>Offices</c:v>
                </c:pt>
              </c:strCache>
            </c:strRef>
          </c:tx>
          <c:spPr>
            <a:solidFill>
              <a:schemeClr val="accent6"/>
            </a:solidFill>
            <a:ln>
              <a:solidFill>
                <a:schemeClr val="tx1"/>
              </a:solidFill>
            </a:ln>
            <a:effectLst/>
          </c:spPr>
          <c:invertIfNegative val="0"/>
          <c:cat>
            <c:strRef>
              <c:f>'Value of Approvals'!$AR$50:$AR$98</c:f>
              <c:strCache>
                <c:ptCount val="49"/>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strCache>
            </c:strRef>
          </c:cat>
          <c:val>
            <c:numRef>
              <c:f>'Value of Approvals'!$AU$50:$AU$98</c:f>
              <c:numCache>
                <c:formatCode>_-"$"* #,##0_-;\-"$"* #,##0_-;_-"$"* "-"??_-;_-@_-</c:formatCode>
                <c:ptCount val="49"/>
                <c:pt idx="0">
                  <c:v>4.4180000000000001</c:v>
                </c:pt>
                <c:pt idx="1">
                  <c:v>12.295</c:v>
                </c:pt>
                <c:pt idx="2">
                  <c:v>9.6660000000000004</c:v>
                </c:pt>
                <c:pt idx="3">
                  <c:v>4.8280000000000003</c:v>
                </c:pt>
                <c:pt idx="4">
                  <c:v>0.67900000000000005</c:v>
                </c:pt>
                <c:pt idx="5">
                  <c:v>6.609</c:v>
                </c:pt>
                <c:pt idx="6">
                  <c:v>6.8879999999999999</c:v>
                </c:pt>
                <c:pt idx="7">
                  <c:v>0.68200000000000005</c:v>
                </c:pt>
                <c:pt idx="8">
                  <c:v>2.3969999999999998</c:v>
                </c:pt>
                <c:pt idx="9">
                  <c:v>1.625</c:v>
                </c:pt>
                <c:pt idx="11">
                  <c:v>0</c:v>
                </c:pt>
                <c:pt idx="12">
                  <c:v>0.74</c:v>
                </c:pt>
                <c:pt idx="13">
                  <c:v>0.14499999999999999</c:v>
                </c:pt>
                <c:pt idx="14">
                  <c:v>3.3919999999999999</c:v>
                </c:pt>
                <c:pt idx="15">
                  <c:v>0.104</c:v>
                </c:pt>
                <c:pt idx="16">
                  <c:v>5.5E-2</c:v>
                </c:pt>
                <c:pt idx="17">
                  <c:v>0.95399999999999996</c:v>
                </c:pt>
                <c:pt idx="18">
                  <c:v>0.20100000000000001</c:v>
                </c:pt>
                <c:pt idx="19">
                  <c:v>0</c:v>
                </c:pt>
                <c:pt idx="20">
                  <c:v>0</c:v>
                </c:pt>
                <c:pt idx="21">
                  <c:v>2.1560000000000001</c:v>
                </c:pt>
                <c:pt idx="22">
                  <c:v>0</c:v>
                </c:pt>
                <c:pt idx="23">
                  <c:v>0.68799999999999994</c:v>
                </c:pt>
                <c:pt idx="24">
                  <c:v>0</c:v>
                </c:pt>
                <c:pt idx="25">
                  <c:v>0.498</c:v>
                </c:pt>
                <c:pt idx="26">
                  <c:v>1.113</c:v>
                </c:pt>
                <c:pt idx="27">
                  <c:v>1.6</c:v>
                </c:pt>
                <c:pt idx="28">
                  <c:v>0</c:v>
                </c:pt>
                <c:pt idx="29">
                  <c:v>2.379</c:v>
                </c:pt>
                <c:pt idx="30">
                  <c:v>0.1</c:v>
                </c:pt>
                <c:pt idx="31">
                  <c:v>0.72499999999999998</c:v>
                </c:pt>
                <c:pt idx="32">
                  <c:v>0.69099999999999995</c:v>
                </c:pt>
                <c:pt idx="33">
                  <c:v>0.14000000000000001</c:v>
                </c:pt>
                <c:pt idx="34">
                  <c:v>1.54</c:v>
                </c:pt>
                <c:pt idx="35">
                  <c:v>0.13700000000000001</c:v>
                </c:pt>
                <c:pt idx="36">
                  <c:v>0.745</c:v>
                </c:pt>
                <c:pt idx="37">
                  <c:v>0</c:v>
                </c:pt>
                <c:pt idx="38">
                  <c:v>0</c:v>
                </c:pt>
                <c:pt idx="39">
                  <c:v>2.3940000000000001</c:v>
                </c:pt>
                <c:pt idx="40">
                  <c:v>0.70899999999999996</c:v>
                </c:pt>
                <c:pt idx="41">
                  <c:v>0</c:v>
                </c:pt>
                <c:pt idx="42">
                  <c:v>0.56299999999999994</c:v>
                </c:pt>
                <c:pt idx="43">
                  <c:v>0.93</c:v>
                </c:pt>
                <c:pt idx="44">
                  <c:v>9.6000000000000002E-2</c:v>
                </c:pt>
                <c:pt idx="45">
                  <c:v>3.597</c:v>
                </c:pt>
                <c:pt idx="46">
                  <c:v>0</c:v>
                </c:pt>
                <c:pt idx="47">
                  <c:v>7.8E-2</c:v>
                </c:pt>
                <c:pt idx="48">
                  <c:v>0.24399999999999999</c:v>
                </c:pt>
              </c:numCache>
            </c:numRef>
          </c:val>
        </c:ser>
        <c:ser>
          <c:idx val="3"/>
          <c:order val="3"/>
          <c:tx>
            <c:strRef>
              <c:f>'Value of Approvals'!$AV$7</c:f>
              <c:strCache>
                <c:ptCount val="1"/>
                <c:pt idx="0">
                  <c:v>Other Commercial buildings </c:v>
                </c:pt>
              </c:strCache>
            </c:strRef>
          </c:tx>
          <c:spPr>
            <a:solidFill>
              <a:schemeClr val="accent2">
                <a:lumMod val="60000"/>
              </a:schemeClr>
            </a:solidFill>
            <a:ln>
              <a:solidFill>
                <a:schemeClr val="tx1"/>
              </a:solidFill>
            </a:ln>
            <a:effectLst/>
          </c:spPr>
          <c:invertIfNegative val="0"/>
          <c:cat>
            <c:strRef>
              <c:f>'Value of Approvals'!$AR$50:$AR$98</c:f>
              <c:strCache>
                <c:ptCount val="49"/>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strCache>
            </c:strRef>
          </c:cat>
          <c:val>
            <c:numRef>
              <c:f>'Value of Approvals'!$AV$50:$AV$98</c:f>
              <c:numCache>
                <c:formatCode>_-"$"* #,##0_-;\-"$"* #,##0_-;_-"$"* "-"??_-;_-@_-</c:formatCode>
                <c:ptCount val="49"/>
                <c:pt idx="0">
                  <c:v>1.25</c:v>
                </c:pt>
                <c:pt idx="1">
                  <c:v>0.05</c:v>
                </c:pt>
                <c:pt idx="2">
                  <c:v>3.5</c:v>
                </c:pt>
                <c:pt idx="3">
                  <c:v>0.13400000000000001</c:v>
                </c:pt>
                <c:pt idx="4">
                  <c:v>0</c:v>
                </c:pt>
                <c:pt idx="5">
                  <c:v>1.919</c:v>
                </c:pt>
                <c:pt idx="6">
                  <c:v>0</c:v>
                </c:pt>
                <c:pt idx="7">
                  <c:v>1</c:v>
                </c:pt>
                <c:pt idx="8">
                  <c:v>0</c:v>
                </c:pt>
                <c:pt idx="9">
                  <c:v>2.85</c:v>
                </c:pt>
                <c:pt idx="11">
                  <c:v>0</c:v>
                </c:pt>
                <c:pt idx="12">
                  <c:v>0</c:v>
                </c:pt>
                <c:pt idx="13">
                  <c:v>0</c:v>
                </c:pt>
                <c:pt idx="14">
                  <c:v>0</c:v>
                </c:pt>
                <c:pt idx="15">
                  <c:v>0</c:v>
                </c:pt>
                <c:pt idx="16">
                  <c:v>0</c:v>
                </c:pt>
                <c:pt idx="17">
                  <c:v>0</c:v>
                </c:pt>
                <c:pt idx="18">
                  <c:v>0</c:v>
                </c:pt>
                <c:pt idx="19">
                  <c:v>0</c:v>
                </c:pt>
                <c:pt idx="20">
                  <c:v>0.35</c:v>
                </c:pt>
                <c:pt idx="21">
                  <c:v>0</c:v>
                </c:pt>
                <c:pt idx="22">
                  <c:v>0.2</c:v>
                </c:pt>
                <c:pt idx="23">
                  <c:v>0</c:v>
                </c:pt>
                <c:pt idx="24">
                  <c:v>2</c:v>
                </c:pt>
                <c:pt idx="25">
                  <c:v>0</c:v>
                </c:pt>
                <c:pt idx="26">
                  <c:v>0</c:v>
                </c:pt>
                <c:pt idx="27">
                  <c:v>0</c:v>
                </c:pt>
                <c:pt idx="28">
                  <c:v>0.08</c:v>
                </c:pt>
                <c:pt idx="29">
                  <c:v>0</c:v>
                </c:pt>
                <c:pt idx="30">
                  <c:v>0.1</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2.6</c:v>
                </c:pt>
                <c:pt idx="46">
                  <c:v>0</c:v>
                </c:pt>
                <c:pt idx="47">
                  <c:v>0</c:v>
                </c:pt>
                <c:pt idx="48">
                  <c:v>0</c:v>
                </c:pt>
              </c:numCache>
            </c:numRef>
          </c:val>
        </c:ser>
        <c:dLbls>
          <c:showLegendKey val="0"/>
          <c:showVal val="0"/>
          <c:showCatName val="0"/>
          <c:showSerName val="0"/>
          <c:showPercent val="0"/>
          <c:showBubbleSize val="0"/>
        </c:dLbls>
        <c:gapWidth val="30"/>
        <c:overlap val="100"/>
        <c:axId val="808404880"/>
        <c:axId val="808405440"/>
      </c:barChart>
      <c:catAx>
        <c:axId val="8084048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8405440"/>
        <c:crosses val="autoZero"/>
        <c:auto val="1"/>
        <c:lblAlgn val="ctr"/>
        <c:lblOffset val="100"/>
        <c:noMultiLvlLbl val="0"/>
      </c:catAx>
      <c:valAx>
        <c:axId val="808405440"/>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rPr>
                  <a:t>Value of Building Approvals (Millions)</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8404880"/>
        <c:crosses val="autoZero"/>
        <c:crossBetween val="between"/>
      </c:valAx>
      <c:spPr>
        <a:noFill/>
        <a:ln>
          <a:noFill/>
        </a:ln>
        <a:effectLst/>
      </c:spPr>
    </c:plotArea>
    <c:legend>
      <c:legendPos val="b"/>
      <c:layout>
        <c:manualLayout>
          <c:xMode val="edge"/>
          <c:yMode val="edge"/>
          <c:x val="0.57502165354330703"/>
          <c:y val="8.4438140217119716E-3"/>
          <c:w val="0.42495669291338584"/>
          <c:h val="8.401609727136208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Value</a:t>
            </a:r>
            <a:r>
              <a:rPr lang="en-AU" baseline="0"/>
              <a:t> of </a:t>
            </a:r>
            <a:r>
              <a:rPr lang="en-AU"/>
              <a:t>Building</a:t>
            </a:r>
            <a:r>
              <a:rPr lang="en-AU" baseline="0"/>
              <a:t> Approvals - Industrial</a:t>
            </a:r>
          </a:p>
          <a:p>
            <a:pPr algn="l">
              <a:defRPr/>
            </a:pPr>
            <a:r>
              <a:rPr lang="en-AU" baseline="0"/>
              <a:t>Metropolitan Melbourne 2014-15</a:t>
            </a:r>
          </a:p>
          <a:p>
            <a:pPr algn="l">
              <a:defRPr/>
            </a:pPr>
            <a:r>
              <a:rPr lang="en-AU" sz="1000" baseline="0"/>
              <a:t>Source: ABS building approvals </a:t>
            </a:r>
            <a:endParaRPr lang="en-AU" sz="1000"/>
          </a:p>
        </c:rich>
      </c:tx>
      <c:layout>
        <c:manualLayout>
          <c:xMode val="edge"/>
          <c:yMode val="edge"/>
          <c:x val="1.4863950829675698E-3"/>
          <c:y val="5.1177072671443197E-3"/>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483655120300505"/>
          <c:y val="0.15356422080706048"/>
          <c:w val="0.73222761271669967"/>
          <c:h val="0.81662601562254922"/>
        </c:manualLayout>
      </c:layout>
      <c:barChart>
        <c:barDir val="bar"/>
        <c:grouping val="stacked"/>
        <c:varyColors val="0"/>
        <c:ser>
          <c:idx val="0"/>
          <c:order val="0"/>
          <c:tx>
            <c:strRef>
              <c:f>'Value of Approvals'!$BI$7</c:f>
              <c:strCache>
                <c:ptCount val="1"/>
                <c:pt idx="0">
                  <c:v>Factories and other secondary production buildings</c:v>
                </c:pt>
              </c:strCache>
            </c:strRef>
          </c:tx>
          <c:spPr>
            <a:solidFill>
              <a:srgbClr val="7030A0"/>
            </a:solidFill>
            <a:ln>
              <a:solidFill>
                <a:schemeClr val="tx1"/>
              </a:solidFill>
            </a:ln>
            <a:effectLst/>
          </c:spPr>
          <c:invertIfNegative val="0"/>
          <c:cat>
            <c:strRef>
              <c:f>'Value of Approvals'!$AR$8:$AR$48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Approvals'!$BI$8:$BI$48</c:f>
              <c:numCache>
                <c:formatCode>_-"$"* #,##0_-;\-"$"* #,##0_-;_-"$"* "-"??_-;_-@_-</c:formatCode>
                <c:ptCount val="41"/>
                <c:pt idx="1">
                  <c:v>2.09</c:v>
                </c:pt>
                <c:pt idx="2">
                  <c:v>18.329999999999998</c:v>
                </c:pt>
                <c:pt idx="3">
                  <c:v>0</c:v>
                </c:pt>
                <c:pt idx="4">
                  <c:v>0</c:v>
                </c:pt>
                <c:pt idx="5">
                  <c:v>16.591000000000001</c:v>
                </c:pt>
                <c:pt idx="6">
                  <c:v>0</c:v>
                </c:pt>
                <c:pt idx="7">
                  <c:v>0</c:v>
                </c:pt>
                <c:pt idx="8">
                  <c:v>0</c:v>
                </c:pt>
                <c:pt idx="9">
                  <c:v>5.7480000000000002</c:v>
                </c:pt>
                <c:pt idx="10">
                  <c:v>0</c:v>
                </c:pt>
                <c:pt idx="11">
                  <c:v>0.93200000000000005</c:v>
                </c:pt>
                <c:pt idx="12">
                  <c:v>5.6689999999999996</c:v>
                </c:pt>
                <c:pt idx="13">
                  <c:v>7.3999999999999996E-2</c:v>
                </c:pt>
                <c:pt idx="14">
                  <c:v>0</c:v>
                </c:pt>
                <c:pt idx="15">
                  <c:v>0</c:v>
                </c:pt>
                <c:pt idx="16">
                  <c:v>0</c:v>
                </c:pt>
                <c:pt idx="17">
                  <c:v>1.165</c:v>
                </c:pt>
                <c:pt idx="18">
                  <c:v>0.17</c:v>
                </c:pt>
                <c:pt idx="19">
                  <c:v>12.468</c:v>
                </c:pt>
                <c:pt idx="20">
                  <c:v>0.9</c:v>
                </c:pt>
                <c:pt idx="21">
                  <c:v>0.27200000000000002</c:v>
                </c:pt>
                <c:pt idx="22">
                  <c:v>0</c:v>
                </c:pt>
                <c:pt idx="23">
                  <c:v>3.1539999999999999</c:v>
                </c:pt>
                <c:pt idx="24">
                  <c:v>0</c:v>
                </c:pt>
                <c:pt idx="25">
                  <c:v>0</c:v>
                </c:pt>
                <c:pt idx="26">
                  <c:v>8.5000000000000006E-2</c:v>
                </c:pt>
                <c:pt idx="27">
                  <c:v>3.49</c:v>
                </c:pt>
                <c:pt idx="28">
                  <c:v>2.48</c:v>
                </c:pt>
                <c:pt idx="29">
                  <c:v>4.516</c:v>
                </c:pt>
                <c:pt idx="30">
                  <c:v>7.2999999999999995E-2</c:v>
                </c:pt>
                <c:pt idx="31">
                  <c:v>18.190999999999999</c:v>
                </c:pt>
                <c:pt idx="32">
                  <c:v>6.0369999999999999</c:v>
                </c:pt>
                <c:pt idx="33">
                  <c:v>3.2589999999999999</c:v>
                </c:pt>
                <c:pt idx="34">
                  <c:v>0</c:v>
                </c:pt>
                <c:pt idx="35">
                  <c:v>0</c:v>
                </c:pt>
                <c:pt idx="36">
                  <c:v>6.7370000000000001</c:v>
                </c:pt>
                <c:pt idx="37">
                  <c:v>0.23599999999999999</c:v>
                </c:pt>
                <c:pt idx="38">
                  <c:v>0</c:v>
                </c:pt>
                <c:pt idx="39">
                  <c:v>0.12</c:v>
                </c:pt>
                <c:pt idx="40">
                  <c:v>17.606000000000002</c:v>
                </c:pt>
              </c:numCache>
            </c:numRef>
          </c:val>
        </c:ser>
        <c:ser>
          <c:idx val="1"/>
          <c:order val="1"/>
          <c:tx>
            <c:strRef>
              <c:f>'Value of Approvals'!$BJ$7</c:f>
              <c:strCache>
                <c:ptCount val="1"/>
                <c:pt idx="0">
                  <c:v>Warehouses</c:v>
                </c:pt>
              </c:strCache>
            </c:strRef>
          </c:tx>
          <c:spPr>
            <a:solidFill>
              <a:schemeClr val="accent3"/>
            </a:solidFill>
            <a:ln>
              <a:solidFill>
                <a:schemeClr val="tx1"/>
              </a:solidFill>
            </a:ln>
            <a:effectLst/>
          </c:spPr>
          <c:invertIfNegative val="0"/>
          <c:cat>
            <c:strRef>
              <c:f>'Value of Approvals'!$AR$8:$AR$48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Approvals'!$BJ$8:$BJ$48</c:f>
              <c:numCache>
                <c:formatCode>_-"$"* #,##0_-;\-"$"* #,##0_-;_-"$"* "-"??_-;_-@_-</c:formatCode>
                <c:ptCount val="41"/>
                <c:pt idx="1">
                  <c:v>11.621</c:v>
                </c:pt>
                <c:pt idx="2">
                  <c:v>30.632999999999999</c:v>
                </c:pt>
                <c:pt idx="3">
                  <c:v>2.84</c:v>
                </c:pt>
                <c:pt idx="4">
                  <c:v>0.26400000000000001</c:v>
                </c:pt>
                <c:pt idx="5">
                  <c:v>4.9509999999999996</c:v>
                </c:pt>
                <c:pt idx="6">
                  <c:v>0</c:v>
                </c:pt>
                <c:pt idx="7">
                  <c:v>0</c:v>
                </c:pt>
                <c:pt idx="8">
                  <c:v>1.2629999999999999</c:v>
                </c:pt>
                <c:pt idx="9">
                  <c:v>23.434999999999999</c:v>
                </c:pt>
                <c:pt idx="10">
                  <c:v>0</c:v>
                </c:pt>
                <c:pt idx="11">
                  <c:v>3.911</c:v>
                </c:pt>
                <c:pt idx="12">
                  <c:v>40.01</c:v>
                </c:pt>
                <c:pt idx="13">
                  <c:v>2.0720000000000001</c:v>
                </c:pt>
                <c:pt idx="14">
                  <c:v>8.8879999999999999</c:v>
                </c:pt>
                <c:pt idx="15">
                  <c:v>0</c:v>
                </c:pt>
                <c:pt idx="16">
                  <c:v>0</c:v>
                </c:pt>
                <c:pt idx="17">
                  <c:v>5.7</c:v>
                </c:pt>
                <c:pt idx="18">
                  <c:v>4.8890000000000002</c:v>
                </c:pt>
                <c:pt idx="19">
                  <c:v>106.31399999999999</c:v>
                </c:pt>
                <c:pt idx="20">
                  <c:v>1.8480000000000001</c:v>
                </c:pt>
                <c:pt idx="21">
                  <c:v>3.968</c:v>
                </c:pt>
                <c:pt idx="22">
                  <c:v>8.1000000000000003E-2</c:v>
                </c:pt>
                <c:pt idx="23">
                  <c:v>75.903000000000006</c:v>
                </c:pt>
                <c:pt idx="24">
                  <c:v>0</c:v>
                </c:pt>
                <c:pt idx="25">
                  <c:v>0</c:v>
                </c:pt>
                <c:pt idx="26">
                  <c:v>2.78</c:v>
                </c:pt>
                <c:pt idx="27">
                  <c:v>14.047000000000001</c:v>
                </c:pt>
                <c:pt idx="28">
                  <c:v>12.88</c:v>
                </c:pt>
                <c:pt idx="29">
                  <c:v>29.777999999999999</c:v>
                </c:pt>
                <c:pt idx="30">
                  <c:v>0.25</c:v>
                </c:pt>
                <c:pt idx="31">
                  <c:v>120.021</c:v>
                </c:pt>
                <c:pt idx="32">
                  <c:v>35.319000000000003</c:v>
                </c:pt>
                <c:pt idx="33">
                  <c:v>10.849</c:v>
                </c:pt>
                <c:pt idx="34">
                  <c:v>0</c:v>
                </c:pt>
                <c:pt idx="35">
                  <c:v>0</c:v>
                </c:pt>
                <c:pt idx="36">
                  <c:v>65.575000000000003</c:v>
                </c:pt>
                <c:pt idx="37">
                  <c:v>40.259</c:v>
                </c:pt>
                <c:pt idx="38">
                  <c:v>62.024999999999999</c:v>
                </c:pt>
                <c:pt idx="39">
                  <c:v>7.0000000000000007E-2</c:v>
                </c:pt>
                <c:pt idx="40">
                  <c:v>92.884</c:v>
                </c:pt>
              </c:numCache>
            </c:numRef>
          </c:val>
        </c:ser>
        <c:ser>
          <c:idx val="2"/>
          <c:order val="2"/>
          <c:tx>
            <c:strRef>
              <c:f>'Value of Approvals'!$BK$7</c:f>
              <c:strCache>
                <c:ptCount val="1"/>
                <c:pt idx="0">
                  <c:v>Agricultural and aquacultural buildings</c:v>
                </c:pt>
              </c:strCache>
            </c:strRef>
          </c:tx>
          <c:spPr>
            <a:solidFill>
              <a:schemeClr val="accent5"/>
            </a:solidFill>
            <a:ln>
              <a:solidFill>
                <a:schemeClr val="tx1"/>
              </a:solidFill>
            </a:ln>
            <a:effectLst/>
          </c:spPr>
          <c:invertIfNegative val="0"/>
          <c:cat>
            <c:strRef>
              <c:f>'Value of Approvals'!$AR$8:$AR$48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Approvals'!$BK$8:$BK$48</c:f>
              <c:numCache>
                <c:formatCode>_-"$"* #,##0_-;\-"$"* #,##0_-;_-"$"* "-"??_-;_-@_-</c:formatCode>
                <c:ptCount val="41"/>
                <c:pt idx="1">
                  <c:v>0</c:v>
                </c:pt>
                <c:pt idx="2">
                  <c:v>0.16</c:v>
                </c:pt>
                <c:pt idx="3">
                  <c:v>0.66</c:v>
                </c:pt>
                <c:pt idx="4">
                  <c:v>0</c:v>
                </c:pt>
                <c:pt idx="5">
                  <c:v>0</c:v>
                </c:pt>
                <c:pt idx="6">
                  <c:v>0</c:v>
                </c:pt>
                <c:pt idx="7">
                  <c:v>0</c:v>
                </c:pt>
                <c:pt idx="8">
                  <c:v>0</c:v>
                </c:pt>
                <c:pt idx="9">
                  <c:v>0</c:v>
                </c:pt>
                <c:pt idx="10">
                  <c:v>0</c:v>
                </c:pt>
                <c:pt idx="11">
                  <c:v>0</c:v>
                </c:pt>
                <c:pt idx="12">
                  <c:v>1.9710000000000001</c:v>
                </c:pt>
                <c:pt idx="13">
                  <c:v>0</c:v>
                </c:pt>
                <c:pt idx="14">
                  <c:v>2.012</c:v>
                </c:pt>
                <c:pt idx="15">
                  <c:v>0</c:v>
                </c:pt>
                <c:pt idx="16">
                  <c:v>0</c:v>
                </c:pt>
                <c:pt idx="17">
                  <c:v>0</c:v>
                </c:pt>
                <c:pt idx="18">
                  <c:v>0.1</c:v>
                </c:pt>
                <c:pt idx="19">
                  <c:v>5.9039999999999999</c:v>
                </c:pt>
                <c:pt idx="20">
                  <c:v>0.39800000000000002</c:v>
                </c:pt>
                <c:pt idx="21">
                  <c:v>0</c:v>
                </c:pt>
                <c:pt idx="22">
                  <c:v>0</c:v>
                </c:pt>
                <c:pt idx="23">
                  <c:v>0.79400000000000004</c:v>
                </c:pt>
                <c:pt idx="24">
                  <c:v>0</c:v>
                </c:pt>
                <c:pt idx="25">
                  <c:v>0</c:v>
                </c:pt>
                <c:pt idx="26">
                  <c:v>0</c:v>
                </c:pt>
                <c:pt idx="27">
                  <c:v>7.2779999999999996</c:v>
                </c:pt>
                <c:pt idx="28">
                  <c:v>0.48299999999999998</c:v>
                </c:pt>
                <c:pt idx="29">
                  <c:v>0</c:v>
                </c:pt>
                <c:pt idx="30">
                  <c:v>0.05</c:v>
                </c:pt>
                <c:pt idx="31">
                  <c:v>0</c:v>
                </c:pt>
                <c:pt idx="32">
                  <c:v>0</c:v>
                </c:pt>
                <c:pt idx="33">
                  <c:v>2.9009999999999998</c:v>
                </c:pt>
                <c:pt idx="34">
                  <c:v>0</c:v>
                </c:pt>
                <c:pt idx="35">
                  <c:v>0</c:v>
                </c:pt>
                <c:pt idx="36">
                  <c:v>2.5</c:v>
                </c:pt>
                <c:pt idx="37">
                  <c:v>0</c:v>
                </c:pt>
                <c:pt idx="38">
                  <c:v>0.32400000000000001</c:v>
                </c:pt>
                <c:pt idx="39">
                  <c:v>0</c:v>
                </c:pt>
                <c:pt idx="40">
                  <c:v>0.67</c:v>
                </c:pt>
              </c:numCache>
            </c:numRef>
          </c:val>
        </c:ser>
        <c:ser>
          <c:idx val="3"/>
          <c:order val="3"/>
          <c:tx>
            <c:strRef>
              <c:f>'Value of Approvals'!$BL$7</c:f>
              <c:strCache>
                <c:ptCount val="1"/>
                <c:pt idx="0">
                  <c:v>Other industrial buildings</c:v>
                </c:pt>
              </c:strCache>
            </c:strRef>
          </c:tx>
          <c:spPr>
            <a:solidFill>
              <a:srgbClr val="CC00CC"/>
            </a:solidFill>
            <a:ln>
              <a:solidFill>
                <a:schemeClr val="tx1"/>
              </a:solidFill>
            </a:ln>
            <a:effectLst/>
          </c:spPr>
          <c:invertIfNegative val="0"/>
          <c:cat>
            <c:strRef>
              <c:f>'Value of Approvals'!$AR$8:$AR$48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Approvals'!$BL$8:$BL$48</c:f>
              <c:numCache>
                <c:formatCode>_-"$"* #,##0_-;\-"$"* #,##0_-;_-"$"* "-"??_-;_-@_-</c:formatCode>
                <c:ptCount val="41"/>
                <c:pt idx="1">
                  <c:v>0.125</c:v>
                </c:pt>
                <c:pt idx="2">
                  <c:v>1.014</c:v>
                </c:pt>
                <c:pt idx="3">
                  <c:v>0</c:v>
                </c:pt>
                <c:pt idx="4">
                  <c:v>0.28999999999999998</c:v>
                </c:pt>
                <c:pt idx="5">
                  <c:v>0.33</c:v>
                </c:pt>
                <c:pt idx="6">
                  <c:v>0</c:v>
                </c:pt>
                <c:pt idx="7">
                  <c:v>0</c:v>
                </c:pt>
                <c:pt idx="8">
                  <c:v>0</c:v>
                </c:pt>
                <c:pt idx="9">
                  <c:v>0</c:v>
                </c:pt>
                <c:pt idx="10">
                  <c:v>0</c:v>
                </c:pt>
                <c:pt idx="11">
                  <c:v>0</c:v>
                </c:pt>
                <c:pt idx="12">
                  <c:v>0</c:v>
                </c:pt>
                <c:pt idx="13">
                  <c:v>0.13400000000000001</c:v>
                </c:pt>
                <c:pt idx="14">
                  <c:v>8.5000000000000006E-2</c:v>
                </c:pt>
                <c:pt idx="15">
                  <c:v>0</c:v>
                </c:pt>
                <c:pt idx="16">
                  <c:v>0</c:v>
                </c:pt>
                <c:pt idx="17">
                  <c:v>0</c:v>
                </c:pt>
                <c:pt idx="18">
                  <c:v>2.577</c:v>
                </c:pt>
                <c:pt idx="19">
                  <c:v>0.16500000000000001</c:v>
                </c:pt>
                <c:pt idx="20">
                  <c:v>0</c:v>
                </c:pt>
                <c:pt idx="21">
                  <c:v>0.2</c:v>
                </c:pt>
                <c:pt idx="22">
                  <c:v>0</c:v>
                </c:pt>
                <c:pt idx="23">
                  <c:v>0.06</c:v>
                </c:pt>
                <c:pt idx="24">
                  <c:v>0</c:v>
                </c:pt>
                <c:pt idx="25">
                  <c:v>0</c:v>
                </c:pt>
                <c:pt idx="26">
                  <c:v>0</c:v>
                </c:pt>
                <c:pt idx="27">
                  <c:v>0.13</c:v>
                </c:pt>
                <c:pt idx="28">
                  <c:v>1.024</c:v>
                </c:pt>
                <c:pt idx="29">
                  <c:v>0</c:v>
                </c:pt>
                <c:pt idx="30">
                  <c:v>0</c:v>
                </c:pt>
                <c:pt idx="31">
                  <c:v>11.754</c:v>
                </c:pt>
                <c:pt idx="32">
                  <c:v>1.272</c:v>
                </c:pt>
                <c:pt idx="33">
                  <c:v>0.15</c:v>
                </c:pt>
                <c:pt idx="34">
                  <c:v>0</c:v>
                </c:pt>
                <c:pt idx="35">
                  <c:v>0</c:v>
                </c:pt>
                <c:pt idx="36">
                  <c:v>1.0680000000000001</c:v>
                </c:pt>
                <c:pt idx="37">
                  <c:v>2.2480000000000002</c:v>
                </c:pt>
                <c:pt idx="38">
                  <c:v>0.27</c:v>
                </c:pt>
                <c:pt idx="39">
                  <c:v>0</c:v>
                </c:pt>
                <c:pt idx="40">
                  <c:v>0.72299999999999998</c:v>
                </c:pt>
              </c:numCache>
            </c:numRef>
          </c:val>
        </c:ser>
        <c:dLbls>
          <c:showLegendKey val="0"/>
          <c:showVal val="0"/>
          <c:showCatName val="0"/>
          <c:showSerName val="0"/>
          <c:showPercent val="0"/>
          <c:showBubbleSize val="0"/>
        </c:dLbls>
        <c:gapWidth val="30"/>
        <c:overlap val="100"/>
        <c:axId val="808409360"/>
        <c:axId val="808409920"/>
      </c:barChart>
      <c:catAx>
        <c:axId val="8084093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8409920"/>
        <c:crosses val="autoZero"/>
        <c:auto val="1"/>
        <c:lblAlgn val="ctr"/>
        <c:lblOffset val="100"/>
        <c:noMultiLvlLbl val="0"/>
      </c:catAx>
      <c:valAx>
        <c:axId val="808409920"/>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rPr>
                  <a:t>Value of Building Approvals (Millions)</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8409360"/>
        <c:crosses val="autoZero"/>
        <c:crossBetween val="between"/>
      </c:valAx>
      <c:spPr>
        <a:noFill/>
        <a:ln>
          <a:noFill/>
        </a:ln>
        <a:effectLst/>
      </c:spPr>
    </c:plotArea>
    <c:legend>
      <c:legendPos val="b"/>
      <c:layout>
        <c:manualLayout>
          <c:xMode val="edge"/>
          <c:yMode val="edge"/>
          <c:x val="0.52402487415081456"/>
          <c:y val="8.4438140217119716E-3"/>
          <c:w val="0.47595340568520728"/>
          <c:h val="8.401609727136208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Value</a:t>
            </a:r>
            <a:r>
              <a:rPr lang="en-AU" baseline="0"/>
              <a:t> of </a:t>
            </a:r>
            <a:r>
              <a:rPr lang="en-AU"/>
              <a:t>Building</a:t>
            </a:r>
            <a:r>
              <a:rPr lang="en-AU" baseline="0"/>
              <a:t> Approvals - Industrial</a:t>
            </a:r>
          </a:p>
          <a:p>
            <a:pPr algn="l">
              <a:defRPr/>
            </a:pPr>
            <a:r>
              <a:rPr lang="en-AU" baseline="0"/>
              <a:t>Regional Victoria 2014-15</a:t>
            </a:r>
          </a:p>
          <a:p>
            <a:pPr algn="l">
              <a:defRPr/>
            </a:pPr>
            <a:r>
              <a:rPr lang="en-AU" sz="1000" baseline="0"/>
              <a:t>Source: ABS building approvals </a:t>
            </a:r>
            <a:endParaRPr lang="en-AU" sz="1000"/>
          </a:p>
        </c:rich>
      </c:tx>
      <c:layout>
        <c:manualLayout>
          <c:xMode val="edge"/>
          <c:yMode val="edge"/>
          <c:x val="1.4863950829675698E-3"/>
          <c:y val="5.1177072671443197E-3"/>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483655120300505"/>
          <c:y val="0.15356422080706048"/>
          <c:w val="0.73222761271669967"/>
          <c:h val="0.83031220664022831"/>
        </c:manualLayout>
      </c:layout>
      <c:barChart>
        <c:barDir val="bar"/>
        <c:grouping val="stacked"/>
        <c:varyColors val="0"/>
        <c:ser>
          <c:idx val="0"/>
          <c:order val="0"/>
          <c:tx>
            <c:strRef>
              <c:f>'Value of Approvals'!$BI$7</c:f>
              <c:strCache>
                <c:ptCount val="1"/>
                <c:pt idx="0">
                  <c:v>Factories and other secondary production buildings</c:v>
                </c:pt>
              </c:strCache>
            </c:strRef>
          </c:tx>
          <c:spPr>
            <a:solidFill>
              <a:srgbClr val="7030A0"/>
            </a:solidFill>
            <a:ln>
              <a:solidFill>
                <a:schemeClr val="tx1"/>
              </a:solidFill>
            </a:ln>
            <a:effectLst/>
          </c:spPr>
          <c:invertIfNegative val="0"/>
          <c:cat>
            <c:strRef>
              <c:f>'Value of Approvals'!$AR$50:$AR$99</c:f>
              <c:strCache>
                <c:ptCount val="50"/>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pt idx="49">
                  <c:v>No usual address (Vic.)</c:v>
                </c:pt>
              </c:strCache>
            </c:strRef>
          </c:cat>
          <c:val>
            <c:numRef>
              <c:f>'Value of Approvals'!$BI$50:$BI$99</c:f>
              <c:numCache>
                <c:formatCode>_-"$"* #,##0_-;\-"$"* #,##0_-;_-"$"* "-"??_-;_-@_-</c:formatCode>
                <c:ptCount val="50"/>
                <c:pt idx="0">
                  <c:v>1.0129999999999999</c:v>
                </c:pt>
                <c:pt idx="1">
                  <c:v>2.4950000000000001</c:v>
                </c:pt>
                <c:pt idx="2">
                  <c:v>22.992999999999999</c:v>
                </c:pt>
                <c:pt idx="3">
                  <c:v>3.27</c:v>
                </c:pt>
                <c:pt idx="4">
                  <c:v>0.18</c:v>
                </c:pt>
                <c:pt idx="5">
                  <c:v>5.59</c:v>
                </c:pt>
                <c:pt idx="6">
                  <c:v>4.26</c:v>
                </c:pt>
                <c:pt idx="7">
                  <c:v>0.16</c:v>
                </c:pt>
                <c:pt idx="8">
                  <c:v>1.3</c:v>
                </c:pt>
                <c:pt idx="9">
                  <c:v>1.6719999999999999</c:v>
                </c:pt>
                <c:pt idx="10">
                  <c:v>0</c:v>
                </c:pt>
                <c:pt idx="11">
                  <c:v>0</c:v>
                </c:pt>
                <c:pt idx="12">
                  <c:v>0</c:v>
                </c:pt>
                <c:pt idx="13">
                  <c:v>0.19400000000000001</c:v>
                </c:pt>
                <c:pt idx="14">
                  <c:v>2.7629999999999999</c:v>
                </c:pt>
                <c:pt idx="15">
                  <c:v>0.08</c:v>
                </c:pt>
                <c:pt idx="16">
                  <c:v>0.12</c:v>
                </c:pt>
                <c:pt idx="17">
                  <c:v>3.52</c:v>
                </c:pt>
                <c:pt idx="18">
                  <c:v>0.125</c:v>
                </c:pt>
                <c:pt idx="19">
                  <c:v>1.246</c:v>
                </c:pt>
                <c:pt idx="20">
                  <c:v>0</c:v>
                </c:pt>
                <c:pt idx="21">
                  <c:v>1.0669999999999999</c:v>
                </c:pt>
                <c:pt idx="22">
                  <c:v>0.5</c:v>
                </c:pt>
                <c:pt idx="23">
                  <c:v>0</c:v>
                </c:pt>
                <c:pt idx="24">
                  <c:v>0.11</c:v>
                </c:pt>
                <c:pt idx="25">
                  <c:v>7.9000000000000001E-2</c:v>
                </c:pt>
                <c:pt idx="26">
                  <c:v>0.17899999999999999</c:v>
                </c:pt>
                <c:pt idx="27">
                  <c:v>8.5000000000000006E-2</c:v>
                </c:pt>
                <c:pt idx="28">
                  <c:v>0</c:v>
                </c:pt>
                <c:pt idx="29">
                  <c:v>1.48</c:v>
                </c:pt>
                <c:pt idx="30">
                  <c:v>0.77400000000000002</c:v>
                </c:pt>
                <c:pt idx="31">
                  <c:v>20.619</c:v>
                </c:pt>
                <c:pt idx="32">
                  <c:v>0.30199999999999999</c:v>
                </c:pt>
                <c:pt idx="33">
                  <c:v>0.14199999999999999</c:v>
                </c:pt>
                <c:pt idx="34">
                  <c:v>0.34100000000000003</c:v>
                </c:pt>
                <c:pt idx="35">
                  <c:v>0</c:v>
                </c:pt>
                <c:pt idx="36">
                  <c:v>0</c:v>
                </c:pt>
                <c:pt idx="37">
                  <c:v>0</c:v>
                </c:pt>
                <c:pt idx="38">
                  <c:v>0</c:v>
                </c:pt>
                <c:pt idx="39">
                  <c:v>1.6060000000000001</c:v>
                </c:pt>
                <c:pt idx="40">
                  <c:v>0</c:v>
                </c:pt>
                <c:pt idx="41">
                  <c:v>5.7000000000000002E-2</c:v>
                </c:pt>
                <c:pt idx="42">
                  <c:v>0.186</c:v>
                </c:pt>
                <c:pt idx="43">
                  <c:v>0.67</c:v>
                </c:pt>
                <c:pt idx="44">
                  <c:v>0</c:v>
                </c:pt>
                <c:pt idx="45">
                  <c:v>0</c:v>
                </c:pt>
                <c:pt idx="46">
                  <c:v>0</c:v>
                </c:pt>
                <c:pt idx="47">
                  <c:v>0.15</c:v>
                </c:pt>
                <c:pt idx="48">
                  <c:v>0</c:v>
                </c:pt>
                <c:pt idx="49">
                  <c:v>0</c:v>
                </c:pt>
              </c:numCache>
            </c:numRef>
          </c:val>
        </c:ser>
        <c:ser>
          <c:idx val="1"/>
          <c:order val="1"/>
          <c:tx>
            <c:strRef>
              <c:f>'Value of Approvals'!$BJ$7</c:f>
              <c:strCache>
                <c:ptCount val="1"/>
                <c:pt idx="0">
                  <c:v>Warehouses</c:v>
                </c:pt>
              </c:strCache>
            </c:strRef>
          </c:tx>
          <c:spPr>
            <a:solidFill>
              <a:schemeClr val="accent3"/>
            </a:solidFill>
            <a:ln>
              <a:solidFill>
                <a:schemeClr val="tx1"/>
              </a:solidFill>
            </a:ln>
            <a:effectLst/>
          </c:spPr>
          <c:invertIfNegative val="0"/>
          <c:cat>
            <c:strRef>
              <c:f>'Value of Approvals'!$AR$50:$AR$99</c:f>
              <c:strCache>
                <c:ptCount val="50"/>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pt idx="49">
                  <c:v>No usual address (Vic.)</c:v>
                </c:pt>
              </c:strCache>
            </c:strRef>
          </c:cat>
          <c:val>
            <c:numRef>
              <c:f>'Value of Approvals'!$BJ$50:$BJ$99</c:f>
              <c:numCache>
                <c:formatCode>_-"$"* #,##0_-;\-"$"* #,##0_-;_-"$"* "-"??_-;_-@_-</c:formatCode>
                <c:ptCount val="50"/>
                <c:pt idx="0">
                  <c:v>7.0869999999999997</c:v>
                </c:pt>
                <c:pt idx="1">
                  <c:v>15.185</c:v>
                </c:pt>
                <c:pt idx="2">
                  <c:v>28.495000000000001</c:v>
                </c:pt>
                <c:pt idx="3">
                  <c:v>2.4089999999999998</c:v>
                </c:pt>
                <c:pt idx="4">
                  <c:v>0.39900000000000002</c:v>
                </c:pt>
                <c:pt idx="5">
                  <c:v>0.60599999999999998</c:v>
                </c:pt>
                <c:pt idx="6">
                  <c:v>2.1429999999999998</c:v>
                </c:pt>
                <c:pt idx="7">
                  <c:v>0.55600000000000005</c:v>
                </c:pt>
                <c:pt idx="8">
                  <c:v>0.31</c:v>
                </c:pt>
                <c:pt idx="9">
                  <c:v>2.4630000000000001</c:v>
                </c:pt>
                <c:pt idx="10">
                  <c:v>0</c:v>
                </c:pt>
                <c:pt idx="11">
                  <c:v>8.1440000000000001</c:v>
                </c:pt>
                <c:pt idx="12">
                  <c:v>0</c:v>
                </c:pt>
                <c:pt idx="13">
                  <c:v>0.33700000000000002</c:v>
                </c:pt>
                <c:pt idx="14">
                  <c:v>2.4870000000000001</c:v>
                </c:pt>
                <c:pt idx="15">
                  <c:v>0.151</c:v>
                </c:pt>
                <c:pt idx="16">
                  <c:v>0</c:v>
                </c:pt>
                <c:pt idx="17">
                  <c:v>3.4489999999999998</c:v>
                </c:pt>
                <c:pt idx="18">
                  <c:v>0</c:v>
                </c:pt>
                <c:pt idx="19">
                  <c:v>5.101</c:v>
                </c:pt>
                <c:pt idx="20">
                  <c:v>6.7119999999999997</c:v>
                </c:pt>
                <c:pt idx="21">
                  <c:v>1.617</c:v>
                </c:pt>
                <c:pt idx="22">
                  <c:v>0.61</c:v>
                </c:pt>
                <c:pt idx="23">
                  <c:v>0.51</c:v>
                </c:pt>
                <c:pt idx="24">
                  <c:v>0.66700000000000004</c:v>
                </c:pt>
                <c:pt idx="25">
                  <c:v>0</c:v>
                </c:pt>
                <c:pt idx="26">
                  <c:v>0</c:v>
                </c:pt>
                <c:pt idx="27">
                  <c:v>0.308</c:v>
                </c:pt>
                <c:pt idx="28">
                  <c:v>0</c:v>
                </c:pt>
                <c:pt idx="29">
                  <c:v>0.61</c:v>
                </c:pt>
                <c:pt idx="30">
                  <c:v>0.44600000000000001</c:v>
                </c:pt>
                <c:pt idx="31">
                  <c:v>4.335</c:v>
                </c:pt>
                <c:pt idx="32">
                  <c:v>1.266</c:v>
                </c:pt>
                <c:pt idx="33">
                  <c:v>0</c:v>
                </c:pt>
                <c:pt idx="34">
                  <c:v>0.73899999999999999</c:v>
                </c:pt>
                <c:pt idx="35">
                  <c:v>0.44</c:v>
                </c:pt>
                <c:pt idx="36">
                  <c:v>0.08</c:v>
                </c:pt>
                <c:pt idx="37">
                  <c:v>0.12</c:v>
                </c:pt>
                <c:pt idx="38">
                  <c:v>0</c:v>
                </c:pt>
                <c:pt idx="39">
                  <c:v>3.2810000000000001</c:v>
                </c:pt>
                <c:pt idx="40">
                  <c:v>2.7949999999999999</c:v>
                </c:pt>
                <c:pt idx="41">
                  <c:v>0.83</c:v>
                </c:pt>
                <c:pt idx="42">
                  <c:v>3.1520000000000001</c:v>
                </c:pt>
                <c:pt idx="43">
                  <c:v>3.7879999999999998</c:v>
                </c:pt>
                <c:pt idx="44">
                  <c:v>4</c:v>
                </c:pt>
                <c:pt idx="45">
                  <c:v>0.22900000000000001</c:v>
                </c:pt>
                <c:pt idx="46">
                  <c:v>0.22</c:v>
                </c:pt>
                <c:pt idx="47">
                  <c:v>0.06</c:v>
                </c:pt>
                <c:pt idx="48">
                  <c:v>0.26</c:v>
                </c:pt>
                <c:pt idx="49">
                  <c:v>0</c:v>
                </c:pt>
              </c:numCache>
            </c:numRef>
          </c:val>
        </c:ser>
        <c:ser>
          <c:idx val="2"/>
          <c:order val="2"/>
          <c:tx>
            <c:strRef>
              <c:f>'Value of Approvals'!$BK$7</c:f>
              <c:strCache>
                <c:ptCount val="1"/>
                <c:pt idx="0">
                  <c:v>Agricultural and aquacultural buildings</c:v>
                </c:pt>
              </c:strCache>
            </c:strRef>
          </c:tx>
          <c:spPr>
            <a:solidFill>
              <a:schemeClr val="accent5"/>
            </a:solidFill>
            <a:ln>
              <a:solidFill>
                <a:schemeClr val="tx1"/>
              </a:solidFill>
            </a:ln>
            <a:effectLst/>
          </c:spPr>
          <c:invertIfNegative val="0"/>
          <c:cat>
            <c:strRef>
              <c:f>'Value of Approvals'!$AR$50:$AR$99</c:f>
              <c:strCache>
                <c:ptCount val="50"/>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pt idx="49">
                  <c:v>No usual address (Vic.)</c:v>
                </c:pt>
              </c:strCache>
            </c:strRef>
          </c:cat>
          <c:val>
            <c:numRef>
              <c:f>'Value of Approvals'!$BK$50:$BK$99</c:f>
              <c:numCache>
                <c:formatCode>_-"$"* #,##0_-;\-"$"* #,##0_-;_-"$"* "-"??_-;_-@_-</c:formatCode>
                <c:ptCount val="50"/>
                <c:pt idx="0">
                  <c:v>0.26700000000000002</c:v>
                </c:pt>
                <c:pt idx="1">
                  <c:v>1.764</c:v>
                </c:pt>
                <c:pt idx="2">
                  <c:v>0.32</c:v>
                </c:pt>
                <c:pt idx="3">
                  <c:v>5.1360000000000001</c:v>
                </c:pt>
                <c:pt idx="4">
                  <c:v>0</c:v>
                </c:pt>
                <c:pt idx="5">
                  <c:v>0.16200000000000001</c:v>
                </c:pt>
                <c:pt idx="6">
                  <c:v>2.1619999999999999</c:v>
                </c:pt>
                <c:pt idx="7">
                  <c:v>2.3570000000000002</c:v>
                </c:pt>
                <c:pt idx="8">
                  <c:v>0.56599999999999995</c:v>
                </c:pt>
                <c:pt idx="9">
                  <c:v>0</c:v>
                </c:pt>
                <c:pt idx="10">
                  <c:v>0</c:v>
                </c:pt>
                <c:pt idx="11">
                  <c:v>0.13200000000000001</c:v>
                </c:pt>
                <c:pt idx="12">
                  <c:v>0.105</c:v>
                </c:pt>
                <c:pt idx="13">
                  <c:v>6.5000000000000002E-2</c:v>
                </c:pt>
                <c:pt idx="14">
                  <c:v>1.4419999999999999</c:v>
                </c:pt>
                <c:pt idx="15">
                  <c:v>0.104</c:v>
                </c:pt>
                <c:pt idx="16">
                  <c:v>0.34699999999999998</c:v>
                </c:pt>
                <c:pt idx="17">
                  <c:v>1.222</c:v>
                </c:pt>
                <c:pt idx="18">
                  <c:v>1.0920000000000001</c:v>
                </c:pt>
                <c:pt idx="19">
                  <c:v>4.6479999999999997</c:v>
                </c:pt>
                <c:pt idx="20">
                  <c:v>0.45400000000000001</c:v>
                </c:pt>
                <c:pt idx="21">
                  <c:v>0.13200000000000001</c:v>
                </c:pt>
                <c:pt idx="22">
                  <c:v>0.61799999999999999</c:v>
                </c:pt>
                <c:pt idx="23">
                  <c:v>5.8999999999999997E-2</c:v>
                </c:pt>
                <c:pt idx="24">
                  <c:v>0.52</c:v>
                </c:pt>
                <c:pt idx="25">
                  <c:v>0.67900000000000005</c:v>
                </c:pt>
                <c:pt idx="26">
                  <c:v>0.28399999999999997</c:v>
                </c:pt>
                <c:pt idx="27">
                  <c:v>0</c:v>
                </c:pt>
                <c:pt idx="28">
                  <c:v>3.6259999999999999</c:v>
                </c:pt>
                <c:pt idx="29">
                  <c:v>1.0840000000000001</c:v>
                </c:pt>
                <c:pt idx="30">
                  <c:v>0.222</c:v>
                </c:pt>
                <c:pt idx="31">
                  <c:v>1.339</c:v>
                </c:pt>
                <c:pt idx="32">
                  <c:v>3.8820000000000001</c:v>
                </c:pt>
                <c:pt idx="33">
                  <c:v>0.124</c:v>
                </c:pt>
                <c:pt idx="34">
                  <c:v>1.4239999999999999</c:v>
                </c:pt>
                <c:pt idx="35">
                  <c:v>5.6000000000000001E-2</c:v>
                </c:pt>
                <c:pt idx="36">
                  <c:v>8.6999999999999994E-2</c:v>
                </c:pt>
                <c:pt idx="37">
                  <c:v>3.24</c:v>
                </c:pt>
                <c:pt idx="38">
                  <c:v>0</c:v>
                </c:pt>
                <c:pt idx="39">
                  <c:v>2.6360000000000001</c:v>
                </c:pt>
                <c:pt idx="40">
                  <c:v>0</c:v>
                </c:pt>
                <c:pt idx="41">
                  <c:v>0.94</c:v>
                </c:pt>
                <c:pt idx="42">
                  <c:v>0.998</c:v>
                </c:pt>
                <c:pt idx="43">
                  <c:v>0.77900000000000003</c:v>
                </c:pt>
                <c:pt idx="44">
                  <c:v>0</c:v>
                </c:pt>
                <c:pt idx="45">
                  <c:v>2.919</c:v>
                </c:pt>
                <c:pt idx="46">
                  <c:v>6.0999999999999999E-2</c:v>
                </c:pt>
                <c:pt idx="47">
                  <c:v>1.528</c:v>
                </c:pt>
                <c:pt idx="48">
                  <c:v>0</c:v>
                </c:pt>
                <c:pt idx="49">
                  <c:v>0</c:v>
                </c:pt>
              </c:numCache>
            </c:numRef>
          </c:val>
        </c:ser>
        <c:ser>
          <c:idx val="3"/>
          <c:order val="3"/>
          <c:tx>
            <c:strRef>
              <c:f>'Value of Approvals'!$BL$7</c:f>
              <c:strCache>
                <c:ptCount val="1"/>
                <c:pt idx="0">
                  <c:v>Other industrial buildings</c:v>
                </c:pt>
              </c:strCache>
            </c:strRef>
          </c:tx>
          <c:spPr>
            <a:solidFill>
              <a:srgbClr val="CC00CC"/>
            </a:solidFill>
            <a:ln>
              <a:solidFill>
                <a:schemeClr val="tx1"/>
              </a:solidFill>
            </a:ln>
            <a:effectLst/>
          </c:spPr>
          <c:invertIfNegative val="0"/>
          <c:cat>
            <c:strRef>
              <c:f>'Value of Approvals'!$AR$50:$AR$99</c:f>
              <c:strCache>
                <c:ptCount val="50"/>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pt idx="49">
                  <c:v>No usual address (Vic.)</c:v>
                </c:pt>
              </c:strCache>
            </c:strRef>
          </c:cat>
          <c:val>
            <c:numRef>
              <c:f>'Value of Approvals'!$BL$50:$BL$99</c:f>
              <c:numCache>
                <c:formatCode>_-"$"* #,##0_-;\-"$"* #,##0_-;_-"$"* "-"??_-;_-@_-</c:formatCode>
                <c:ptCount val="50"/>
                <c:pt idx="0">
                  <c:v>1.2929999999999999</c:v>
                </c:pt>
                <c:pt idx="1">
                  <c:v>0.05</c:v>
                </c:pt>
                <c:pt idx="2">
                  <c:v>0.108</c:v>
                </c:pt>
                <c:pt idx="3">
                  <c:v>0.13900000000000001</c:v>
                </c:pt>
                <c:pt idx="4">
                  <c:v>6.8000000000000005E-2</c:v>
                </c:pt>
                <c:pt idx="5">
                  <c:v>1.42</c:v>
                </c:pt>
                <c:pt idx="6">
                  <c:v>0.114</c:v>
                </c:pt>
                <c:pt idx="7">
                  <c:v>7.0000000000000007E-2</c:v>
                </c:pt>
                <c:pt idx="8">
                  <c:v>0.41199999999999998</c:v>
                </c:pt>
                <c:pt idx="9">
                  <c:v>0</c:v>
                </c:pt>
                <c:pt idx="10">
                  <c:v>0</c:v>
                </c:pt>
                <c:pt idx="11">
                  <c:v>8.5000000000000006E-2</c:v>
                </c:pt>
                <c:pt idx="12">
                  <c:v>7.0000000000000007E-2</c:v>
                </c:pt>
                <c:pt idx="13">
                  <c:v>9.8000000000000004E-2</c:v>
                </c:pt>
                <c:pt idx="14">
                  <c:v>0.17899999999999999</c:v>
                </c:pt>
                <c:pt idx="15">
                  <c:v>0.25700000000000001</c:v>
                </c:pt>
                <c:pt idx="16">
                  <c:v>0.11700000000000001</c:v>
                </c:pt>
                <c:pt idx="17">
                  <c:v>0.19900000000000001</c:v>
                </c:pt>
                <c:pt idx="18">
                  <c:v>0</c:v>
                </c:pt>
                <c:pt idx="19">
                  <c:v>0.27100000000000002</c:v>
                </c:pt>
                <c:pt idx="20">
                  <c:v>0.50800000000000001</c:v>
                </c:pt>
                <c:pt idx="21">
                  <c:v>1.36</c:v>
                </c:pt>
                <c:pt idx="22">
                  <c:v>0.107</c:v>
                </c:pt>
                <c:pt idx="23">
                  <c:v>0.11600000000000001</c:v>
                </c:pt>
                <c:pt idx="24">
                  <c:v>0</c:v>
                </c:pt>
                <c:pt idx="25">
                  <c:v>0</c:v>
                </c:pt>
                <c:pt idx="26">
                  <c:v>0</c:v>
                </c:pt>
                <c:pt idx="27">
                  <c:v>0.1</c:v>
                </c:pt>
                <c:pt idx="28">
                  <c:v>0</c:v>
                </c:pt>
                <c:pt idx="29">
                  <c:v>0</c:v>
                </c:pt>
                <c:pt idx="30">
                  <c:v>0.23499999999999999</c:v>
                </c:pt>
                <c:pt idx="31">
                  <c:v>2.4820000000000002</c:v>
                </c:pt>
                <c:pt idx="32">
                  <c:v>0</c:v>
                </c:pt>
                <c:pt idx="33">
                  <c:v>0</c:v>
                </c:pt>
                <c:pt idx="34">
                  <c:v>8.5000000000000006E-2</c:v>
                </c:pt>
                <c:pt idx="35">
                  <c:v>0</c:v>
                </c:pt>
                <c:pt idx="36">
                  <c:v>0</c:v>
                </c:pt>
                <c:pt idx="37">
                  <c:v>0</c:v>
                </c:pt>
                <c:pt idx="38">
                  <c:v>0</c:v>
                </c:pt>
                <c:pt idx="39">
                  <c:v>0.14499999999999999</c:v>
                </c:pt>
                <c:pt idx="40">
                  <c:v>0</c:v>
                </c:pt>
                <c:pt idx="41">
                  <c:v>0</c:v>
                </c:pt>
                <c:pt idx="42">
                  <c:v>0</c:v>
                </c:pt>
                <c:pt idx="43">
                  <c:v>0.73599999999999999</c:v>
                </c:pt>
                <c:pt idx="44">
                  <c:v>6.5000000000000002E-2</c:v>
                </c:pt>
                <c:pt idx="45">
                  <c:v>1.34</c:v>
                </c:pt>
                <c:pt idx="46">
                  <c:v>0</c:v>
                </c:pt>
                <c:pt idx="47">
                  <c:v>0.26</c:v>
                </c:pt>
                <c:pt idx="48">
                  <c:v>8.5999999999999993E-2</c:v>
                </c:pt>
                <c:pt idx="49">
                  <c:v>0</c:v>
                </c:pt>
              </c:numCache>
            </c:numRef>
          </c:val>
        </c:ser>
        <c:dLbls>
          <c:showLegendKey val="0"/>
          <c:showVal val="0"/>
          <c:showCatName val="0"/>
          <c:showSerName val="0"/>
          <c:showPercent val="0"/>
          <c:showBubbleSize val="0"/>
        </c:dLbls>
        <c:gapWidth val="30"/>
        <c:overlap val="100"/>
        <c:axId val="764377472"/>
        <c:axId val="764378032"/>
      </c:barChart>
      <c:catAx>
        <c:axId val="7643774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378032"/>
        <c:crosses val="autoZero"/>
        <c:auto val="1"/>
        <c:lblAlgn val="ctr"/>
        <c:lblOffset val="100"/>
        <c:noMultiLvlLbl val="0"/>
      </c:catAx>
      <c:valAx>
        <c:axId val="764378032"/>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rPr>
                  <a:t>Value of Building Approvals (Millions)</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377472"/>
        <c:crosses val="autoZero"/>
        <c:crossBetween val="between"/>
      </c:valAx>
      <c:spPr>
        <a:noFill/>
        <a:ln>
          <a:noFill/>
        </a:ln>
        <a:effectLst/>
      </c:spPr>
    </c:plotArea>
    <c:legend>
      <c:legendPos val="b"/>
      <c:layout>
        <c:manualLayout>
          <c:xMode val="edge"/>
          <c:yMode val="edge"/>
          <c:x val="0.51520660611867963"/>
          <c:y val="8.4438140217119716E-3"/>
          <c:w val="0.48477169520476598"/>
          <c:h val="8.401609727136208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Value</a:t>
            </a:r>
            <a:r>
              <a:rPr lang="en-AU" baseline="0"/>
              <a:t> of </a:t>
            </a:r>
            <a:r>
              <a:rPr lang="en-AU"/>
              <a:t>Building</a:t>
            </a:r>
            <a:r>
              <a:rPr lang="en-AU" baseline="0"/>
              <a:t> Approvals - </a:t>
            </a:r>
          </a:p>
          <a:p>
            <a:pPr algn="l">
              <a:defRPr/>
            </a:pPr>
            <a:r>
              <a:rPr lang="en-AU" baseline="0"/>
              <a:t>Other types of buildings</a:t>
            </a:r>
          </a:p>
          <a:p>
            <a:pPr algn="l">
              <a:defRPr/>
            </a:pPr>
            <a:r>
              <a:rPr lang="en-AU" baseline="0"/>
              <a:t>Metropolitan Melbourne 2014-15</a:t>
            </a:r>
          </a:p>
          <a:p>
            <a:pPr algn="l">
              <a:defRPr/>
            </a:pPr>
            <a:r>
              <a:rPr lang="en-AU" sz="1000" baseline="0"/>
              <a:t>Source: ABS building approvals </a:t>
            </a:r>
            <a:endParaRPr lang="en-AU" sz="1000"/>
          </a:p>
        </c:rich>
      </c:tx>
      <c:layout>
        <c:manualLayout>
          <c:xMode val="edge"/>
          <c:yMode val="edge"/>
          <c:x val="1.4863950829675698E-3"/>
          <c:y val="5.1177072671443197E-3"/>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483655120300505"/>
          <c:y val="0.19340485825725967"/>
          <c:w val="0.73222761271669967"/>
          <c:h val="0.77678537817234994"/>
        </c:manualLayout>
      </c:layout>
      <c:barChart>
        <c:barDir val="bar"/>
        <c:grouping val="stacked"/>
        <c:varyColors val="0"/>
        <c:ser>
          <c:idx val="0"/>
          <c:order val="0"/>
          <c:tx>
            <c:strRef>
              <c:f>'Value of Approvals'!$CA$7</c:f>
              <c:strCache>
                <c:ptCount val="1"/>
                <c:pt idx="0">
                  <c:v>Education buildings</c:v>
                </c:pt>
              </c:strCache>
            </c:strRef>
          </c:tx>
          <c:spPr>
            <a:solidFill>
              <a:schemeClr val="accent6"/>
            </a:solidFill>
            <a:ln>
              <a:solidFill>
                <a:schemeClr val="tx1"/>
              </a:solidFill>
            </a:ln>
            <a:effectLst/>
          </c:spPr>
          <c:invertIfNegative val="0"/>
          <c:cat>
            <c:strRef>
              <c:f>'Value of Approvals'!$AR$8:$AR$48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Approvals'!$CA$8:$CA$48</c:f>
              <c:numCache>
                <c:formatCode>_-"$"* #,##0_-;\-"$"* #,##0_-;_-"$"* "-"??_-;_-@_-</c:formatCode>
                <c:ptCount val="41"/>
                <c:pt idx="1">
                  <c:v>4.4729999999999999</c:v>
                </c:pt>
                <c:pt idx="2">
                  <c:v>232.577</c:v>
                </c:pt>
                <c:pt idx="3">
                  <c:v>27.872</c:v>
                </c:pt>
                <c:pt idx="4">
                  <c:v>10.077</c:v>
                </c:pt>
                <c:pt idx="5">
                  <c:v>12.097</c:v>
                </c:pt>
                <c:pt idx="8">
                  <c:v>83.588999999999999</c:v>
                </c:pt>
                <c:pt idx="9">
                  <c:v>4.9980000000000002</c:v>
                </c:pt>
                <c:pt idx="10">
                  <c:v>3.3820000000000001</c:v>
                </c:pt>
                <c:pt idx="11">
                  <c:v>7.37</c:v>
                </c:pt>
                <c:pt idx="12">
                  <c:v>197.095</c:v>
                </c:pt>
                <c:pt idx="13">
                  <c:v>83.41</c:v>
                </c:pt>
                <c:pt idx="14">
                  <c:v>10.241</c:v>
                </c:pt>
                <c:pt idx="17">
                  <c:v>6.32</c:v>
                </c:pt>
                <c:pt idx="18">
                  <c:v>29.670999999999999</c:v>
                </c:pt>
                <c:pt idx="19">
                  <c:v>22.215</c:v>
                </c:pt>
                <c:pt idx="20">
                  <c:v>7.0540000000000003</c:v>
                </c:pt>
                <c:pt idx="21">
                  <c:v>13.868</c:v>
                </c:pt>
                <c:pt idx="22">
                  <c:v>2.1749999999999998</c:v>
                </c:pt>
                <c:pt idx="23">
                  <c:v>75.478999999999999</c:v>
                </c:pt>
                <c:pt idx="26">
                  <c:v>10.622999999999999</c:v>
                </c:pt>
                <c:pt idx="27">
                  <c:v>18.533999999999999</c:v>
                </c:pt>
                <c:pt idx="28">
                  <c:v>13.585000000000001</c:v>
                </c:pt>
                <c:pt idx="29">
                  <c:v>13.819000000000001</c:v>
                </c:pt>
                <c:pt idx="30">
                  <c:v>18.87</c:v>
                </c:pt>
                <c:pt idx="31">
                  <c:v>4.2670000000000003</c:v>
                </c:pt>
                <c:pt idx="32">
                  <c:v>11.52</c:v>
                </c:pt>
                <c:pt idx="33">
                  <c:v>10.417</c:v>
                </c:pt>
                <c:pt idx="36">
                  <c:v>8.5190000000000001</c:v>
                </c:pt>
                <c:pt idx="37">
                  <c:v>6.3460000000000001</c:v>
                </c:pt>
                <c:pt idx="38">
                  <c:v>11.792</c:v>
                </c:pt>
                <c:pt idx="39">
                  <c:v>13.025</c:v>
                </c:pt>
                <c:pt idx="40">
                  <c:v>17.384</c:v>
                </c:pt>
              </c:numCache>
            </c:numRef>
          </c:val>
        </c:ser>
        <c:ser>
          <c:idx val="1"/>
          <c:order val="1"/>
          <c:tx>
            <c:strRef>
              <c:f>'Value of Approvals'!$CB$7</c:f>
              <c:strCache>
                <c:ptCount val="1"/>
                <c:pt idx="0">
                  <c:v>Religion buildings</c:v>
                </c:pt>
              </c:strCache>
            </c:strRef>
          </c:tx>
          <c:spPr>
            <a:solidFill>
              <a:srgbClr val="FF0000"/>
            </a:solidFill>
            <a:ln>
              <a:solidFill>
                <a:schemeClr val="tx1"/>
              </a:solidFill>
            </a:ln>
            <a:effectLst/>
          </c:spPr>
          <c:invertIfNegative val="0"/>
          <c:cat>
            <c:strRef>
              <c:f>'Value of Approvals'!$AR$8:$AR$48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Approvals'!$CB$8:$CB$48</c:f>
              <c:numCache>
                <c:formatCode>_-"$"* #,##0_-;\-"$"* #,##0_-;_-"$"* "-"??_-;_-@_-</c:formatCode>
                <c:ptCount val="41"/>
                <c:pt idx="1">
                  <c:v>0.56299999999999994</c:v>
                </c:pt>
                <c:pt idx="2">
                  <c:v>9.4640000000000004</c:v>
                </c:pt>
                <c:pt idx="3">
                  <c:v>3.1230000000000002</c:v>
                </c:pt>
                <c:pt idx="4">
                  <c:v>1.0940000000000001</c:v>
                </c:pt>
                <c:pt idx="5">
                  <c:v>0.60099999999999998</c:v>
                </c:pt>
                <c:pt idx="8">
                  <c:v>1.35</c:v>
                </c:pt>
                <c:pt idx="9">
                  <c:v>0.5</c:v>
                </c:pt>
                <c:pt idx="10">
                  <c:v>14.12</c:v>
                </c:pt>
                <c:pt idx="11">
                  <c:v>1.5</c:v>
                </c:pt>
                <c:pt idx="12">
                  <c:v>0</c:v>
                </c:pt>
                <c:pt idx="13">
                  <c:v>4.5650000000000004</c:v>
                </c:pt>
                <c:pt idx="14">
                  <c:v>1.39</c:v>
                </c:pt>
                <c:pt idx="17">
                  <c:v>0.78</c:v>
                </c:pt>
                <c:pt idx="18">
                  <c:v>0.16</c:v>
                </c:pt>
                <c:pt idx="19">
                  <c:v>4.9000000000000004</c:v>
                </c:pt>
                <c:pt idx="20">
                  <c:v>0</c:v>
                </c:pt>
                <c:pt idx="21">
                  <c:v>0.18</c:v>
                </c:pt>
                <c:pt idx="22">
                  <c:v>4.18</c:v>
                </c:pt>
                <c:pt idx="23">
                  <c:v>0.15</c:v>
                </c:pt>
                <c:pt idx="26">
                  <c:v>0.254</c:v>
                </c:pt>
                <c:pt idx="27">
                  <c:v>0</c:v>
                </c:pt>
                <c:pt idx="28">
                  <c:v>0.95</c:v>
                </c:pt>
                <c:pt idx="29">
                  <c:v>0</c:v>
                </c:pt>
                <c:pt idx="30">
                  <c:v>1.845</c:v>
                </c:pt>
                <c:pt idx="31">
                  <c:v>3.242</c:v>
                </c:pt>
                <c:pt idx="32">
                  <c:v>4.7830000000000004</c:v>
                </c:pt>
                <c:pt idx="33">
                  <c:v>1.6439999999999999</c:v>
                </c:pt>
                <c:pt idx="36">
                  <c:v>0.38500000000000001</c:v>
                </c:pt>
                <c:pt idx="37">
                  <c:v>9.718</c:v>
                </c:pt>
                <c:pt idx="38">
                  <c:v>0.11</c:v>
                </c:pt>
                <c:pt idx="39">
                  <c:v>0.61499999999999999</c:v>
                </c:pt>
                <c:pt idx="40">
                  <c:v>16.289000000000001</c:v>
                </c:pt>
              </c:numCache>
            </c:numRef>
          </c:val>
        </c:ser>
        <c:ser>
          <c:idx val="2"/>
          <c:order val="2"/>
          <c:tx>
            <c:strRef>
              <c:f>'Value of Approvals'!$CC$7</c:f>
              <c:strCache>
                <c:ptCount val="1"/>
                <c:pt idx="0">
                  <c:v>Aged care facilities</c:v>
                </c:pt>
              </c:strCache>
            </c:strRef>
          </c:tx>
          <c:spPr>
            <a:solidFill>
              <a:schemeClr val="accent4"/>
            </a:solidFill>
            <a:ln>
              <a:solidFill>
                <a:schemeClr val="tx1"/>
              </a:solidFill>
            </a:ln>
            <a:effectLst/>
          </c:spPr>
          <c:invertIfNegative val="0"/>
          <c:cat>
            <c:strRef>
              <c:f>'Value of Approvals'!$AR$8:$AR$48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Approvals'!$CC$8:$CC$48</c:f>
              <c:numCache>
                <c:formatCode>_-"$"* #,##0_-;\-"$"* #,##0_-;_-"$"* "-"??_-;_-@_-</c:formatCode>
                <c:ptCount val="41"/>
                <c:pt idx="1">
                  <c:v>0</c:v>
                </c:pt>
                <c:pt idx="2">
                  <c:v>4.3520000000000003</c:v>
                </c:pt>
                <c:pt idx="3">
                  <c:v>9.7379999999999995</c:v>
                </c:pt>
                <c:pt idx="4">
                  <c:v>30</c:v>
                </c:pt>
                <c:pt idx="5">
                  <c:v>0</c:v>
                </c:pt>
                <c:pt idx="8">
                  <c:v>11.339</c:v>
                </c:pt>
                <c:pt idx="9">
                  <c:v>2.34</c:v>
                </c:pt>
                <c:pt idx="10">
                  <c:v>1.613</c:v>
                </c:pt>
                <c:pt idx="11">
                  <c:v>5.149</c:v>
                </c:pt>
                <c:pt idx="12">
                  <c:v>17.312999999999999</c:v>
                </c:pt>
                <c:pt idx="13">
                  <c:v>0.56899999999999995</c:v>
                </c:pt>
                <c:pt idx="14">
                  <c:v>3.552</c:v>
                </c:pt>
                <c:pt idx="17">
                  <c:v>73.936999999999998</c:v>
                </c:pt>
                <c:pt idx="18">
                  <c:v>0</c:v>
                </c:pt>
                <c:pt idx="19">
                  <c:v>0</c:v>
                </c:pt>
                <c:pt idx="20">
                  <c:v>0.15</c:v>
                </c:pt>
                <c:pt idx="21">
                  <c:v>0.66700000000000004</c:v>
                </c:pt>
                <c:pt idx="22">
                  <c:v>9</c:v>
                </c:pt>
                <c:pt idx="23">
                  <c:v>9.9</c:v>
                </c:pt>
                <c:pt idx="26">
                  <c:v>16.013999999999999</c:v>
                </c:pt>
                <c:pt idx="27">
                  <c:v>0</c:v>
                </c:pt>
                <c:pt idx="28">
                  <c:v>6.2880000000000003</c:v>
                </c:pt>
                <c:pt idx="29">
                  <c:v>41.073999999999998</c:v>
                </c:pt>
                <c:pt idx="30">
                  <c:v>51.18</c:v>
                </c:pt>
                <c:pt idx="31">
                  <c:v>9.0239999999999991</c:v>
                </c:pt>
                <c:pt idx="32">
                  <c:v>0</c:v>
                </c:pt>
                <c:pt idx="33">
                  <c:v>11.875999999999999</c:v>
                </c:pt>
                <c:pt idx="36">
                  <c:v>11.2</c:v>
                </c:pt>
                <c:pt idx="37">
                  <c:v>7.1920000000000002</c:v>
                </c:pt>
                <c:pt idx="38">
                  <c:v>0</c:v>
                </c:pt>
                <c:pt idx="39">
                  <c:v>0.6</c:v>
                </c:pt>
                <c:pt idx="40">
                  <c:v>0.36399999999999999</c:v>
                </c:pt>
              </c:numCache>
            </c:numRef>
          </c:val>
        </c:ser>
        <c:ser>
          <c:idx val="3"/>
          <c:order val="3"/>
          <c:tx>
            <c:strRef>
              <c:f>'Value of Approvals'!$CD$7</c:f>
              <c:strCache>
                <c:ptCount val="1"/>
                <c:pt idx="0">
                  <c:v>Health buildings</c:v>
                </c:pt>
              </c:strCache>
            </c:strRef>
          </c:tx>
          <c:spPr>
            <a:solidFill>
              <a:schemeClr val="accent6">
                <a:lumMod val="60000"/>
              </a:schemeClr>
            </a:solidFill>
            <a:ln>
              <a:solidFill>
                <a:schemeClr val="tx1"/>
              </a:solidFill>
            </a:ln>
            <a:effectLst/>
          </c:spPr>
          <c:invertIfNegative val="0"/>
          <c:cat>
            <c:strRef>
              <c:f>'Value of Approvals'!$AR$8:$AR$48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Approvals'!$CD$8:$CD$48</c:f>
              <c:numCache>
                <c:formatCode>_-"$"* #,##0_-;\-"$"* #,##0_-;_-"$"* "-"??_-;_-@_-</c:formatCode>
                <c:ptCount val="41"/>
                <c:pt idx="1">
                  <c:v>0.995</c:v>
                </c:pt>
                <c:pt idx="2">
                  <c:v>38.509</c:v>
                </c:pt>
                <c:pt idx="3">
                  <c:v>1.2270000000000001</c:v>
                </c:pt>
                <c:pt idx="4">
                  <c:v>5.4489999999999998</c:v>
                </c:pt>
                <c:pt idx="5">
                  <c:v>40.398000000000003</c:v>
                </c:pt>
                <c:pt idx="8">
                  <c:v>1.573</c:v>
                </c:pt>
                <c:pt idx="9">
                  <c:v>0.56999999999999995</c:v>
                </c:pt>
                <c:pt idx="10">
                  <c:v>1.153</c:v>
                </c:pt>
                <c:pt idx="11">
                  <c:v>3.1320000000000001</c:v>
                </c:pt>
                <c:pt idx="12">
                  <c:v>225.74799999999999</c:v>
                </c:pt>
                <c:pt idx="13">
                  <c:v>23.547999999999998</c:v>
                </c:pt>
                <c:pt idx="14">
                  <c:v>0.71699999999999997</c:v>
                </c:pt>
                <c:pt idx="17">
                  <c:v>20.378</c:v>
                </c:pt>
                <c:pt idx="18">
                  <c:v>2.79</c:v>
                </c:pt>
                <c:pt idx="19">
                  <c:v>1.7649999999999999</c:v>
                </c:pt>
                <c:pt idx="20">
                  <c:v>0</c:v>
                </c:pt>
                <c:pt idx="21">
                  <c:v>3.089</c:v>
                </c:pt>
                <c:pt idx="22">
                  <c:v>0.20399999999999999</c:v>
                </c:pt>
                <c:pt idx="23">
                  <c:v>20.294</c:v>
                </c:pt>
                <c:pt idx="26">
                  <c:v>3.9119999999999999</c:v>
                </c:pt>
                <c:pt idx="27">
                  <c:v>0.90400000000000003</c:v>
                </c:pt>
                <c:pt idx="28">
                  <c:v>8.0259999999999998</c:v>
                </c:pt>
                <c:pt idx="29">
                  <c:v>59.145000000000003</c:v>
                </c:pt>
                <c:pt idx="30">
                  <c:v>11.853999999999999</c:v>
                </c:pt>
                <c:pt idx="31">
                  <c:v>3.1080000000000001</c:v>
                </c:pt>
                <c:pt idx="32">
                  <c:v>2.6110000000000002</c:v>
                </c:pt>
                <c:pt idx="33">
                  <c:v>12.548999999999999</c:v>
                </c:pt>
                <c:pt idx="36">
                  <c:v>4.8949999999999996</c:v>
                </c:pt>
                <c:pt idx="37">
                  <c:v>3.262</c:v>
                </c:pt>
                <c:pt idx="38">
                  <c:v>0.53</c:v>
                </c:pt>
                <c:pt idx="39">
                  <c:v>1.895</c:v>
                </c:pt>
                <c:pt idx="40">
                  <c:v>15.704000000000001</c:v>
                </c:pt>
              </c:numCache>
            </c:numRef>
          </c:val>
        </c:ser>
        <c:ser>
          <c:idx val="4"/>
          <c:order val="4"/>
          <c:tx>
            <c:strRef>
              <c:f>'Value of Approvals'!$CE$7</c:f>
              <c:strCache>
                <c:ptCount val="1"/>
                <c:pt idx="0">
                  <c:v>Entertainment and recreation buildings</c:v>
                </c:pt>
              </c:strCache>
            </c:strRef>
          </c:tx>
          <c:spPr>
            <a:solidFill>
              <a:schemeClr val="accent5">
                <a:lumMod val="60000"/>
              </a:schemeClr>
            </a:solidFill>
            <a:ln>
              <a:solidFill>
                <a:schemeClr val="tx1"/>
              </a:solidFill>
            </a:ln>
            <a:effectLst/>
          </c:spPr>
          <c:invertIfNegative val="0"/>
          <c:cat>
            <c:strRef>
              <c:f>'Value of Approvals'!$AR$8:$AR$48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Approvals'!$CE$8:$CE$48</c:f>
              <c:numCache>
                <c:formatCode>_-"$"* #,##0_-;\-"$"* #,##0_-;_-"$"* "-"??_-;_-@_-</c:formatCode>
                <c:ptCount val="41"/>
                <c:pt idx="1">
                  <c:v>4.5469999999999997</c:v>
                </c:pt>
                <c:pt idx="2">
                  <c:v>47.838999999999999</c:v>
                </c:pt>
                <c:pt idx="3">
                  <c:v>2.2160000000000002</c:v>
                </c:pt>
                <c:pt idx="4">
                  <c:v>2.66</c:v>
                </c:pt>
                <c:pt idx="5">
                  <c:v>8.4849999999999994</c:v>
                </c:pt>
                <c:pt idx="8">
                  <c:v>59.061999999999998</c:v>
                </c:pt>
                <c:pt idx="9">
                  <c:v>0.94399999999999995</c:v>
                </c:pt>
                <c:pt idx="10">
                  <c:v>11.789</c:v>
                </c:pt>
                <c:pt idx="11">
                  <c:v>5.8319999999999999</c:v>
                </c:pt>
                <c:pt idx="12">
                  <c:v>3.5</c:v>
                </c:pt>
                <c:pt idx="13">
                  <c:v>2.0979999999999999</c:v>
                </c:pt>
                <c:pt idx="14">
                  <c:v>8.24</c:v>
                </c:pt>
                <c:pt idx="17">
                  <c:v>0.82799999999999996</c:v>
                </c:pt>
                <c:pt idx="18">
                  <c:v>5.6630000000000003</c:v>
                </c:pt>
                <c:pt idx="19">
                  <c:v>4.702</c:v>
                </c:pt>
                <c:pt idx="20">
                  <c:v>9.0709999999999997</c:v>
                </c:pt>
                <c:pt idx="21">
                  <c:v>2.6829999999999998</c:v>
                </c:pt>
                <c:pt idx="22">
                  <c:v>0</c:v>
                </c:pt>
                <c:pt idx="23">
                  <c:v>7.843</c:v>
                </c:pt>
                <c:pt idx="26">
                  <c:v>0.42599999999999999</c:v>
                </c:pt>
                <c:pt idx="27">
                  <c:v>6.0060000000000002</c:v>
                </c:pt>
                <c:pt idx="28">
                  <c:v>8.5709999999999997</c:v>
                </c:pt>
                <c:pt idx="29">
                  <c:v>16.613</c:v>
                </c:pt>
                <c:pt idx="30">
                  <c:v>1.776</c:v>
                </c:pt>
                <c:pt idx="31">
                  <c:v>6.7249999999999996</c:v>
                </c:pt>
                <c:pt idx="32">
                  <c:v>5.8940000000000001</c:v>
                </c:pt>
                <c:pt idx="33">
                  <c:v>17.957000000000001</c:v>
                </c:pt>
                <c:pt idx="36">
                  <c:v>66.305999999999997</c:v>
                </c:pt>
                <c:pt idx="37">
                  <c:v>13.339</c:v>
                </c:pt>
                <c:pt idx="38">
                  <c:v>7.6139999999999999</c:v>
                </c:pt>
                <c:pt idx="39">
                  <c:v>4.9980000000000002</c:v>
                </c:pt>
                <c:pt idx="40">
                  <c:v>11.225</c:v>
                </c:pt>
              </c:numCache>
            </c:numRef>
          </c:val>
        </c:ser>
        <c:ser>
          <c:idx val="5"/>
          <c:order val="5"/>
          <c:tx>
            <c:strRef>
              <c:f>'Value of Approvals'!$CF$7</c:f>
              <c:strCache>
                <c:ptCount val="1"/>
                <c:pt idx="0">
                  <c:v>Short term accommodation buildings</c:v>
                </c:pt>
              </c:strCache>
            </c:strRef>
          </c:tx>
          <c:spPr>
            <a:solidFill>
              <a:schemeClr val="accent4">
                <a:lumMod val="60000"/>
              </a:schemeClr>
            </a:solidFill>
            <a:ln>
              <a:solidFill>
                <a:schemeClr val="tx1"/>
              </a:solidFill>
            </a:ln>
            <a:effectLst/>
          </c:spPr>
          <c:invertIfNegative val="0"/>
          <c:cat>
            <c:strRef>
              <c:f>'Value of Approvals'!$AR$8:$AR$48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Approvals'!$CF$8:$CF$48</c:f>
              <c:numCache>
                <c:formatCode>_-"$"* #,##0_-;\-"$"* #,##0_-;_-"$"* "-"??_-;_-@_-</c:formatCode>
                <c:ptCount val="41"/>
                <c:pt idx="1">
                  <c:v>43.976999999999997</c:v>
                </c:pt>
                <c:pt idx="2">
                  <c:v>134.21600000000001</c:v>
                </c:pt>
                <c:pt idx="3">
                  <c:v>19.995000000000001</c:v>
                </c:pt>
                <c:pt idx="4">
                  <c:v>24.84</c:v>
                </c:pt>
                <c:pt idx="5">
                  <c:v>0</c:v>
                </c:pt>
                <c:pt idx="8">
                  <c:v>0.27</c:v>
                </c:pt>
                <c:pt idx="9">
                  <c:v>0.8</c:v>
                </c:pt>
                <c:pt idx="10">
                  <c:v>0</c:v>
                </c:pt>
                <c:pt idx="11">
                  <c:v>0</c:v>
                </c:pt>
                <c:pt idx="12">
                  <c:v>1.149</c:v>
                </c:pt>
                <c:pt idx="13">
                  <c:v>0.51700000000000002</c:v>
                </c:pt>
                <c:pt idx="14">
                  <c:v>9.9019999999999992</c:v>
                </c:pt>
                <c:pt idx="17">
                  <c:v>1.6040000000000001</c:v>
                </c:pt>
                <c:pt idx="18">
                  <c:v>0.28999999999999998</c:v>
                </c:pt>
                <c:pt idx="19">
                  <c:v>0.55000000000000004</c:v>
                </c:pt>
                <c:pt idx="20">
                  <c:v>0.26800000000000002</c:v>
                </c:pt>
                <c:pt idx="21">
                  <c:v>0</c:v>
                </c:pt>
                <c:pt idx="22">
                  <c:v>0</c:v>
                </c:pt>
                <c:pt idx="23">
                  <c:v>0</c:v>
                </c:pt>
                <c:pt idx="26">
                  <c:v>0</c:v>
                </c:pt>
                <c:pt idx="27">
                  <c:v>0.18</c:v>
                </c:pt>
                <c:pt idx="28">
                  <c:v>0.34799999999999998</c:v>
                </c:pt>
                <c:pt idx="29">
                  <c:v>2.4340000000000002</c:v>
                </c:pt>
                <c:pt idx="30">
                  <c:v>0.15</c:v>
                </c:pt>
                <c:pt idx="31">
                  <c:v>0.316</c:v>
                </c:pt>
                <c:pt idx="32">
                  <c:v>0.80300000000000005</c:v>
                </c:pt>
                <c:pt idx="33">
                  <c:v>4.1529999999999996</c:v>
                </c:pt>
                <c:pt idx="36">
                  <c:v>0</c:v>
                </c:pt>
                <c:pt idx="37">
                  <c:v>0</c:v>
                </c:pt>
                <c:pt idx="38">
                  <c:v>0</c:v>
                </c:pt>
                <c:pt idx="39">
                  <c:v>25.3</c:v>
                </c:pt>
                <c:pt idx="40">
                  <c:v>0</c:v>
                </c:pt>
              </c:numCache>
            </c:numRef>
          </c:val>
        </c:ser>
        <c:ser>
          <c:idx val="6"/>
          <c:order val="6"/>
          <c:tx>
            <c:strRef>
              <c:f>'Value of Approvals'!$CG$7</c:f>
              <c:strCache>
                <c:ptCount val="1"/>
                <c:pt idx="0">
                  <c:v>Other non-residential </c:v>
                </c:pt>
              </c:strCache>
            </c:strRef>
          </c:tx>
          <c:spPr>
            <a:solidFill>
              <a:srgbClr val="00CCFF"/>
            </a:solidFill>
            <a:ln>
              <a:solidFill>
                <a:schemeClr val="tx1"/>
              </a:solidFill>
            </a:ln>
            <a:effectLst/>
          </c:spPr>
          <c:invertIfNegative val="0"/>
          <c:cat>
            <c:strRef>
              <c:f>'Value of Approvals'!$AR$8:$AR$48</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'Value of Approvals'!$CG$8:$CG$48</c:f>
              <c:numCache>
                <c:formatCode>_-"$"* #,##0_-;\-"$"* #,##0_-;_-"$"* "-"??_-;_-@_-</c:formatCode>
                <c:ptCount val="41"/>
                <c:pt idx="1">
                  <c:v>8.7530000000000001</c:v>
                </c:pt>
                <c:pt idx="2">
                  <c:v>47.912999999999997</c:v>
                </c:pt>
                <c:pt idx="3">
                  <c:v>3.839</c:v>
                </c:pt>
                <c:pt idx="4">
                  <c:v>9.5649999999999995</c:v>
                </c:pt>
                <c:pt idx="5">
                  <c:v>0.316</c:v>
                </c:pt>
                <c:pt idx="8">
                  <c:v>2.9780000000000002</c:v>
                </c:pt>
                <c:pt idx="9">
                  <c:v>2.6040000000000001</c:v>
                </c:pt>
                <c:pt idx="10">
                  <c:v>2.9380000000000002</c:v>
                </c:pt>
                <c:pt idx="11">
                  <c:v>2.609</c:v>
                </c:pt>
                <c:pt idx="12">
                  <c:v>3.0910000000000002</c:v>
                </c:pt>
                <c:pt idx="13">
                  <c:v>1.6619999999999999</c:v>
                </c:pt>
                <c:pt idx="14">
                  <c:v>6.2009999999999996</c:v>
                </c:pt>
                <c:pt idx="17">
                  <c:v>2.0449999999999999</c:v>
                </c:pt>
                <c:pt idx="18">
                  <c:v>3.79</c:v>
                </c:pt>
                <c:pt idx="19">
                  <c:v>4.4749999999999996</c:v>
                </c:pt>
                <c:pt idx="20">
                  <c:v>1.448</c:v>
                </c:pt>
                <c:pt idx="21">
                  <c:v>24.074999999999999</c:v>
                </c:pt>
                <c:pt idx="22">
                  <c:v>1.1180000000000001</c:v>
                </c:pt>
                <c:pt idx="23">
                  <c:v>11.509</c:v>
                </c:pt>
                <c:pt idx="26">
                  <c:v>1.923</c:v>
                </c:pt>
                <c:pt idx="27">
                  <c:v>0.63400000000000001</c:v>
                </c:pt>
                <c:pt idx="28">
                  <c:v>4.4109999999999996</c:v>
                </c:pt>
                <c:pt idx="29">
                  <c:v>3.556</c:v>
                </c:pt>
                <c:pt idx="30">
                  <c:v>4.6260000000000003</c:v>
                </c:pt>
                <c:pt idx="31">
                  <c:v>9.8620000000000001</c:v>
                </c:pt>
                <c:pt idx="32">
                  <c:v>2.2599999999999998</c:v>
                </c:pt>
                <c:pt idx="33">
                  <c:v>5.29</c:v>
                </c:pt>
                <c:pt idx="36">
                  <c:v>1.4239999999999999</c:v>
                </c:pt>
                <c:pt idx="37">
                  <c:v>8.8569999999999993</c:v>
                </c:pt>
                <c:pt idx="38">
                  <c:v>645.44799999999998</c:v>
                </c:pt>
                <c:pt idx="39">
                  <c:v>4.25</c:v>
                </c:pt>
                <c:pt idx="40">
                  <c:v>9.9160000000000004</c:v>
                </c:pt>
              </c:numCache>
            </c:numRef>
          </c:val>
        </c:ser>
        <c:dLbls>
          <c:showLegendKey val="0"/>
          <c:showVal val="0"/>
          <c:showCatName val="0"/>
          <c:showSerName val="0"/>
          <c:showPercent val="0"/>
          <c:showBubbleSize val="0"/>
        </c:dLbls>
        <c:gapWidth val="30"/>
        <c:overlap val="100"/>
        <c:axId val="764383632"/>
        <c:axId val="764384192"/>
      </c:barChart>
      <c:catAx>
        <c:axId val="7643836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384192"/>
        <c:crosses val="autoZero"/>
        <c:auto val="1"/>
        <c:lblAlgn val="ctr"/>
        <c:lblOffset val="100"/>
        <c:noMultiLvlLbl val="0"/>
      </c:catAx>
      <c:valAx>
        <c:axId val="764384192"/>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rPr>
                  <a:t>Value of Building Approvals (Millions)</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383632"/>
        <c:crosses val="autoZero"/>
        <c:crossBetween val="between"/>
      </c:valAx>
      <c:spPr>
        <a:noFill/>
        <a:ln>
          <a:noFill/>
        </a:ln>
        <a:effectLst/>
      </c:spPr>
    </c:plotArea>
    <c:legend>
      <c:legendPos val="b"/>
      <c:layout>
        <c:manualLayout>
          <c:xMode val="edge"/>
          <c:yMode val="edge"/>
          <c:x val="0.59677627102167785"/>
          <c:y val="8.4438140217119716E-3"/>
          <c:w val="0.40322372897832209"/>
          <c:h val="0.1178626700546893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Population Growth 2014/15 -</a:t>
            </a:r>
          </a:p>
          <a:p>
            <a:pPr algn="l">
              <a:defRPr/>
            </a:pPr>
            <a:r>
              <a:rPr lang="en-AU" baseline="0"/>
              <a:t>Metropolitan Melbourne</a:t>
            </a:r>
          </a:p>
          <a:p>
            <a:pPr algn="l">
              <a:defRPr/>
            </a:pPr>
            <a:r>
              <a:rPr lang="en-AU" sz="800" baseline="0"/>
              <a:t>Source: ABS 3128</a:t>
            </a:r>
            <a:endParaRPr lang="en-AU"/>
          </a:p>
        </c:rich>
      </c:tx>
      <c:layout>
        <c:manualLayout>
          <c:xMode val="edge"/>
          <c:yMode val="edge"/>
          <c:x val="1.0001575212295834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1"/>
        <c:ser>
          <c:idx val="0"/>
          <c:order val="0"/>
          <c:spPr>
            <a:ln>
              <a:solidFill>
                <a:schemeClr val="tx1"/>
              </a:solidFill>
            </a:ln>
          </c:spPr>
          <c:invertIfNegative val="0"/>
          <c:dPt>
            <c:idx val="0"/>
            <c:invertIfNegative val="0"/>
            <c:bubble3D val="0"/>
            <c:spPr>
              <a:solidFill>
                <a:schemeClr val="accent1"/>
              </a:solidFill>
              <a:ln>
                <a:solidFill>
                  <a:schemeClr val="tx1"/>
                </a:solidFill>
              </a:ln>
              <a:effectLst/>
            </c:spPr>
          </c:dPt>
          <c:dPt>
            <c:idx val="1"/>
            <c:invertIfNegative val="0"/>
            <c:bubble3D val="0"/>
            <c:spPr>
              <a:solidFill>
                <a:schemeClr val="accent2"/>
              </a:solidFill>
              <a:ln>
                <a:solidFill>
                  <a:schemeClr val="tx1"/>
                </a:solidFill>
              </a:ln>
              <a:effectLst/>
            </c:spPr>
          </c:dPt>
          <c:dPt>
            <c:idx val="2"/>
            <c:invertIfNegative val="0"/>
            <c:bubble3D val="0"/>
            <c:spPr>
              <a:solidFill>
                <a:schemeClr val="accent3"/>
              </a:solidFill>
              <a:ln>
                <a:solidFill>
                  <a:schemeClr val="tx1"/>
                </a:solidFill>
              </a:ln>
              <a:effectLst/>
            </c:spPr>
          </c:dPt>
          <c:dPt>
            <c:idx val="3"/>
            <c:invertIfNegative val="0"/>
            <c:bubble3D val="0"/>
            <c:spPr>
              <a:solidFill>
                <a:schemeClr val="accent4"/>
              </a:solidFill>
              <a:ln>
                <a:solidFill>
                  <a:schemeClr val="tx1"/>
                </a:solidFill>
              </a:ln>
              <a:effectLst/>
            </c:spPr>
          </c:dPt>
          <c:dPt>
            <c:idx val="4"/>
            <c:invertIfNegative val="0"/>
            <c:bubble3D val="0"/>
            <c:spPr>
              <a:solidFill>
                <a:schemeClr val="accent5"/>
              </a:solidFill>
              <a:ln>
                <a:solidFill>
                  <a:schemeClr val="tx1"/>
                </a:solidFill>
              </a:ln>
              <a:effectLst/>
            </c:spPr>
          </c:dPt>
          <c:dPt>
            <c:idx val="5"/>
            <c:invertIfNegative val="0"/>
            <c:bubble3D val="0"/>
            <c:spPr>
              <a:solidFill>
                <a:schemeClr val="accent6"/>
              </a:solidFill>
              <a:ln>
                <a:solidFill>
                  <a:schemeClr val="tx1"/>
                </a:solidFill>
              </a:ln>
              <a:effectLst/>
            </c:spPr>
          </c:dPt>
          <c:dPt>
            <c:idx val="6"/>
            <c:invertIfNegative val="0"/>
            <c:bubble3D val="0"/>
            <c:spPr>
              <a:solidFill>
                <a:schemeClr val="accent1">
                  <a:lumMod val="60000"/>
                </a:schemeClr>
              </a:solidFill>
              <a:ln>
                <a:solidFill>
                  <a:schemeClr val="tx1"/>
                </a:solidFill>
              </a:ln>
              <a:effectLst/>
            </c:spPr>
          </c:dPt>
          <c:dPt>
            <c:idx val="7"/>
            <c:invertIfNegative val="0"/>
            <c:bubble3D val="0"/>
            <c:spPr>
              <a:solidFill>
                <a:schemeClr val="accent2">
                  <a:lumMod val="60000"/>
                </a:schemeClr>
              </a:solidFill>
              <a:ln>
                <a:solidFill>
                  <a:schemeClr val="tx1"/>
                </a:solidFill>
              </a:ln>
              <a:effectLst/>
            </c:spPr>
          </c:dPt>
          <c:dPt>
            <c:idx val="8"/>
            <c:invertIfNegative val="0"/>
            <c:bubble3D val="0"/>
            <c:spPr>
              <a:solidFill>
                <a:schemeClr val="accent3">
                  <a:lumMod val="60000"/>
                </a:schemeClr>
              </a:solidFill>
              <a:ln>
                <a:solidFill>
                  <a:schemeClr val="tx1"/>
                </a:solidFill>
              </a:ln>
              <a:effectLst/>
            </c:spPr>
          </c:dPt>
          <c:dPt>
            <c:idx val="9"/>
            <c:invertIfNegative val="0"/>
            <c:bubble3D val="0"/>
            <c:spPr>
              <a:solidFill>
                <a:schemeClr val="accent4">
                  <a:lumMod val="60000"/>
                </a:schemeClr>
              </a:solidFill>
              <a:ln>
                <a:solidFill>
                  <a:schemeClr val="tx1"/>
                </a:solidFill>
              </a:ln>
              <a:effectLst/>
            </c:spPr>
          </c:dPt>
          <c:dPt>
            <c:idx val="10"/>
            <c:invertIfNegative val="0"/>
            <c:bubble3D val="0"/>
            <c:spPr>
              <a:solidFill>
                <a:schemeClr val="accent5">
                  <a:lumMod val="60000"/>
                </a:schemeClr>
              </a:solidFill>
              <a:ln>
                <a:solidFill>
                  <a:schemeClr val="tx1"/>
                </a:solidFill>
              </a:ln>
              <a:effectLst/>
            </c:spPr>
          </c:dPt>
          <c:dPt>
            <c:idx val="11"/>
            <c:invertIfNegative val="0"/>
            <c:bubble3D val="0"/>
            <c:spPr>
              <a:solidFill>
                <a:schemeClr val="accent6">
                  <a:lumMod val="60000"/>
                </a:schemeClr>
              </a:solidFill>
              <a:ln>
                <a:solidFill>
                  <a:schemeClr val="tx1"/>
                </a:solidFill>
              </a:ln>
              <a:effectLst/>
            </c:spPr>
          </c:dPt>
          <c:dPt>
            <c:idx val="12"/>
            <c:invertIfNegative val="0"/>
            <c:bubble3D val="0"/>
            <c:spPr>
              <a:solidFill>
                <a:schemeClr val="accent1">
                  <a:lumMod val="80000"/>
                  <a:lumOff val="20000"/>
                </a:schemeClr>
              </a:solidFill>
              <a:ln>
                <a:solidFill>
                  <a:schemeClr val="tx1"/>
                </a:solidFill>
              </a:ln>
              <a:effectLst/>
            </c:spPr>
          </c:dPt>
          <c:dPt>
            <c:idx val="13"/>
            <c:invertIfNegative val="0"/>
            <c:bubble3D val="0"/>
            <c:spPr>
              <a:solidFill>
                <a:schemeClr val="accent2">
                  <a:lumMod val="80000"/>
                  <a:lumOff val="20000"/>
                </a:schemeClr>
              </a:solidFill>
              <a:ln>
                <a:solidFill>
                  <a:schemeClr val="tx1"/>
                </a:solidFill>
              </a:ln>
              <a:effectLst/>
            </c:spPr>
          </c:dPt>
          <c:dPt>
            <c:idx val="14"/>
            <c:invertIfNegative val="0"/>
            <c:bubble3D val="0"/>
            <c:spPr>
              <a:solidFill>
                <a:schemeClr val="accent3">
                  <a:lumMod val="80000"/>
                  <a:lumOff val="20000"/>
                </a:schemeClr>
              </a:solidFill>
              <a:ln>
                <a:solidFill>
                  <a:schemeClr val="tx1"/>
                </a:solidFill>
              </a:ln>
              <a:effectLst/>
            </c:spPr>
          </c:dPt>
          <c:dPt>
            <c:idx val="15"/>
            <c:invertIfNegative val="0"/>
            <c:bubble3D val="0"/>
            <c:spPr>
              <a:solidFill>
                <a:schemeClr val="accent4">
                  <a:lumMod val="80000"/>
                  <a:lumOff val="20000"/>
                </a:schemeClr>
              </a:solidFill>
              <a:ln>
                <a:solidFill>
                  <a:schemeClr val="tx1"/>
                </a:solidFill>
              </a:ln>
              <a:effectLst/>
            </c:spPr>
          </c:dPt>
          <c:dPt>
            <c:idx val="16"/>
            <c:invertIfNegative val="0"/>
            <c:bubble3D val="0"/>
            <c:spPr>
              <a:solidFill>
                <a:schemeClr val="accent5">
                  <a:lumMod val="80000"/>
                  <a:lumOff val="20000"/>
                </a:schemeClr>
              </a:solidFill>
              <a:ln>
                <a:solidFill>
                  <a:schemeClr val="tx1"/>
                </a:solidFill>
              </a:ln>
              <a:effectLst/>
            </c:spPr>
          </c:dPt>
          <c:dPt>
            <c:idx val="17"/>
            <c:invertIfNegative val="0"/>
            <c:bubble3D val="0"/>
            <c:spPr>
              <a:solidFill>
                <a:schemeClr val="accent6">
                  <a:lumMod val="80000"/>
                  <a:lumOff val="20000"/>
                </a:schemeClr>
              </a:solidFill>
              <a:ln>
                <a:solidFill>
                  <a:schemeClr val="tx1"/>
                </a:solidFill>
              </a:ln>
              <a:effectLst/>
            </c:spPr>
          </c:dPt>
          <c:dPt>
            <c:idx val="18"/>
            <c:invertIfNegative val="0"/>
            <c:bubble3D val="0"/>
            <c:spPr>
              <a:solidFill>
                <a:schemeClr val="accent1">
                  <a:lumMod val="80000"/>
                </a:schemeClr>
              </a:solidFill>
              <a:ln>
                <a:solidFill>
                  <a:schemeClr val="tx1"/>
                </a:solidFill>
              </a:ln>
              <a:effectLst/>
            </c:spPr>
          </c:dPt>
          <c:dPt>
            <c:idx val="19"/>
            <c:invertIfNegative val="0"/>
            <c:bubble3D val="0"/>
            <c:spPr>
              <a:solidFill>
                <a:schemeClr val="accent2">
                  <a:lumMod val="80000"/>
                </a:schemeClr>
              </a:solidFill>
              <a:ln>
                <a:solidFill>
                  <a:schemeClr val="tx1"/>
                </a:solidFill>
              </a:ln>
              <a:effectLst/>
            </c:spPr>
          </c:dPt>
          <c:dPt>
            <c:idx val="20"/>
            <c:invertIfNegative val="0"/>
            <c:bubble3D val="0"/>
            <c:spPr>
              <a:solidFill>
                <a:schemeClr val="accent3">
                  <a:lumMod val="80000"/>
                </a:schemeClr>
              </a:solidFill>
              <a:ln>
                <a:solidFill>
                  <a:schemeClr val="tx1"/>
                </a:solidFill>
              </a:ln>
              <a:effectLst/>
            </c:spPr>
          </c:dPt>
          <c:dPt>
            <c:idx val="21"/>
            <c:invertIfNegative val="0"/>
            <c:bubble3D val="0"/>
            <c:spPr>
              <a:solidFill>
                <a:schemeClr val="accent4">
                  <a:lumMod val="80000"/>
                </a:schemeClr>
              </a:solidFill>
              <a:ln>
                <a:solidFill>
                  <a:schemeClr val="tx1"/>
                </a:solidFill>
              </a:ln>
              <a:effectLst/>
            </c:spPr>
          </c:dPt>
          <c:dPt>
            <c:idx val="22"/>
            <c:invertIfNegative val="0"/>
            <c:bubble3D val="0"/>
            <c:spPr>
              <a:solidFill>
                <a:schemeClr val="accent5">
                  <a:lumMod val="80000"/>
                </a:schemeClr>
              </a:solidFill>
              <a:ln>
                <a:solidFill>
                  <a:schemeClr val="tx1"/>
                </a:solidFill>
              </a:ln>
              <a:effectLst/>
            </c:spPr>
          </c:dPt>
          <c:dPt>
            <c:idx val="23"/>
            <c:invertIfNegative val="0"/>
            <c:bubble3D val="0"/>
            <c:spPr>
              <a:solidFill>
                <a:schemeClr val="accent6">
                  <a:lumMod val="80000"/>
                </a:schemeClr>
              </a:solidFill>
              <a:ln>
                <a:solidFill>
                  <a:schemeClr val="tx1"/>
                </a:solidFill>
              </a:ln>
              <a:effectLst/>
            </c:spPr>
          </c:dPt>
          <c:dPt>
            <c:idx val="24"/>
            <c:invertIfNegative val="0"/>
            <c:bubble3D val="0"/>
            <c:spPr>
              <a:solidFill>
                <a:schemeClr val="accent1">
                  <a:lumMod val="60000"/>
                  <a:lumOff val="40000"/>
                </a:schemeClr>
              </a:solidFill>
              <a:ln>
                <a:solidFill>
                  <a:schemeClr val="tx1"/>
                </a:solidFill>
              </a:ln>
              <a:effectLst/>
            </c:spPr>
          </c:dPt>
          <c:dPt>
            <c:idx val="25"/>
            <c:invertIfNegative val="0"/>
            <c:bubble3D val="0"/>
            <c:spPr>
              <a:solidFill>
                <a:schemeClr val="accent2">
                  <a:lumMod val="60000"/>
                  <a:lumOff val="40000"/>
                </a:schemeClr>
              </a:solidFill>
              <a:ln>
                <a:solidFill>
                  <a:schemeClr val="tx1"/>
                </a:solidFill>
              </a:ln>
              <a:effectLst/>
            </c:spPr>
          </c:dPt>
          <c:dPt>
            <c:idx val="26"/>
            <c:invertIfNegative val="0"/>
            <c:bubble3D val="0"/>
            <c:spPr>
              <a:solidFill>
                <a:schemeClr val="accent3">
                  <a:lumMod val="60000"/>
                  <a:lumOff val="40000"/>
                </a:schemeClr>
              </a:solidFill>
              <a:ln>
                <a:solidFill>
                  <a:schemeClr val="tx1"/>
                </a:solidFill>
              </a:ln>
              <a:effectLst/>
            </c:spPr>
          </c:dPt>
          <c:dPt>
            <c:idx val="27"/>
            <c:invertIfNegative val="0"/>
            <c:bubble3D val="0"/>
            <c:spPr>
              <a:solidFill>
                <a:schemeClr val="accent4">
                  <a:lumMod val="60000"/>
                  <a:lumOff val="40000"/>
                </a:schemeClr>
              </a:solidFill>
              <a:ln>
                <a:solidFill>
                  <a:schemeClr val="tx1"/>
                </a:solidFill>
              </a:ln>
              <a:effectLst/>
            </c:spPr>
          </c:dPt>
          <c:dPt>
            <c:idx val="28"/>
            <c:invertIfNegative val="0"/>
            <c:bubble3D val="0"/>
            <c:spPr>
              <a:solidFill>
                <a:schemeClr val="accent5">
                  <a:lumMod val="60000"/>
                  <a:lumOff val="40000"/>
                </a:schemeClr>
              </a:solidFill>
              <a:ln>
                <a:solidFill>
                  <a:schemeClr val="tx1"/>
                </a:solidFill>
              </a:ln>
              <a:effectLst/>
            </c:spPr>
          </c:dPt>
          <c:dPt>
            <c:idx val="29"/>
            <c:invertIfNegative val="0"/>
            <c:bubble3D val="0"/>
            <c:spPr>
              <a:solidFill>
                <a:schemeClr val="accent6">
                  <a:lumMod val="60000"/>
                  <a:lumOff val="40000"/>
                </a:schemeClr>
              </a:solidFill>
              <a:ln>
                <a:solidFill>
                  <a:schemeClr val="tx1"/>
                </a:solidFill>
              </a:ln>
              <a:effectLst/>
            </c:spPr>
          </c:dPt>
          <c:dPt>
            <c:idx val="30"/>
            <c:invertIfNegative val="0"/>
            <c:bubble3D val="0"/>
            <c:spPr>
              <a:solidFill>
                <a:schemeClr val="accent1">
                  <a:lumMod val="50000"/>
                </a:schemeClr>
              </a:solidFill>
              <a:ln>
                <a:solidFill>
                  <a:schemeClr val="tx1"/>
                </a:solidFill>
              </a:ln>
              <a:effectLst/>
            </c:spPr>
          </c:dPt>
          <c:dPt>
            <c:idx val="31"/>
            <c:invertIfNegative val="0"/>
            <c:bubble3D val="0"/>
            <c:spPr>
              <a:solidFill>
                <a:schemeClr val="accent2">
                  <a:lumMod val="50000"/>
                </a:schemeClr>
              </a:solidFill>
              <a:ln>
                <a:solidFill>
                  <a:schemeClr val="tx1"/>
                </a:solidFill>
              </a:ln>
              <a:effectLst/>
            </c:spPr>
          </c:dPt>
          <c:dPt>
            <c:idx val="32"/>
            <c:invertIfNegative val="0"/>
            <c:bubble3D val="0"/>
            <c:spPr>
              <a:solidFill>
                <a:schemeClr val="accent3">
                  <a:lumMod val="50000"/>
                </a:schemeClr>
              </a:solidFill>
              <a:ln>
                <a:solidFill>
                  <a:schemeClr val="tx1"/>
                </a:solidFill>
              </a:ln>
              <a:effectLst/>
            </c:spPr>
          </c:dPt>
          <c:dPt>
            <c:idx val="33"/>
            <c:invertIfNegative val="0"/>
            <c:bubble3D val="0"/>
            <c:spPr>
              <a:solidFill>
                <a:schemeClr val="accent4">
                  <a:lumMod val="50000"/>
                </a:schemeClr>
              </a:solidFill>
              <a:ln>
                <a:solidFill>
                  <a:schemeClr val="tx1"/>
                </a:solidFill>
              </a:ln>
              <a:effectLst/>
            </c:spPr>
          </c:dPt>
          <c:dPt>
            <c:idx val="34"/>
            <c:invertIfNegative val="0"/>
            <c:bubble3D val="0"/>
            <c:spPr>
              <a:solidFill>
                <a:schemeClr val="accent5">
                  <a:lumMod val="50000"/>
                </a:schemeClr>
              </a:solidFill>
              <a:ln>
                <a:solidFill>
                  <a:schemeClr val="tx1"/>
                </a:solidFill>
              </a:ln>
              <a:effectLst/>
            </c:spPr>
          </c:dPt>
          <c:dPt>
            <c:idx val="35"/>
            <c:invertIfNegative val="0"/>
            <c:bubble3D val="0"/>
            <c:spPr>
              <a:solidFill>
                <a:schemeClr val="accent6">
                  <a:lumMod val="50000"/>
                </a:schemeClr>
              </a:solidFill>
              <a:ln>
                <a:solidFill>
                  <a:schemeClr val="tx1"/>
                </a:solidFill>
              </a:ln>
              <a:effectLst/>
            </c:spPr>
          </c:dPt>
          <c:dPt>
            <c:idx val="36"/>
            <c:invertIfNegative val="0"/>
            <c:bubble3D val="0"/>
            <c:spPr>
              <a:solidFill>
                <a:schemeClr val="accent1">
                  <a:lumMod val="70000"/>
                  <a:lumOff val="30000"/>
                </a:schemeClr>
              </a:solidFill>
              <a:ln>
                <a:solidFill>
                  <a:schemeClr val="tx1"/>
                </a:solidFill>
              </a:ln>
              <a:effectLst/>
            </c:spPr>
          </c:dPt>
          <c:dPt>
            <c:idx val="37"/>
            <c:invertIfNegative val="0"/>
            <c:bubble3D val="0"/>
            <c:spPr>
              <a:solidFill>
                <a:schemeClr val="accent2">
                  <a:lumMod val="70000"/>
                  <a:lumOff val="30000"/>
                </a:schemeClr>
              </a:solidFill>
              <a:ln>
                <a:solidFill>
                  <a:schemeClr val="tx1"/>
                </a:solidFill>
              </a:ln>
              <a:effectLst/>
            </c:spPr>
          </c:dPt>
          <c:dPt>
            <c:idx val="38"/>
            <c:invertIfNegative val="0"/>
            <c:bubble3D val="0"/>
            <c:spPr>
              <a:solidFill>
                <a:schemeClr val="accent3">
                  <a:lumMod val="70000"/>
                  <a:lumOff val="30000"/>
                </a:schemeClr>
              </a:solidFill>
              <a:ln>
                <a:solidFill>
                  <a:schemeClr val="tx1"/>
                </a:solidFill>
              </a:ln>
              <a:effectLst/>
            </c:spPr>
          </c:dPt>
          <c:dPt>
            <c:idx val="39"/>
            <c:invertIfNegative val="0"/>
            <c:bubble3D val="0"/>
            <c:spPr>
              <a:solidFill>
                <a:schemeClr val="accent4">
                  <a:lumMod val="70000"/>
                  <a:lumOff val="30000"/>
                </a:schemeClr>
              </a:solidFill>
              <a:ln>
                <a:solidFill>
                  <a:schemeClr val="tx1"/>
                </a:solidFill>
              </a:ln>
              <a:effectLst/>
            </c:spPr>
          </c:dPt>
          <c:dPt>
            <c:idx val="40"/>
            <c:invertIfNegative val="0"/>
            <c:bubble3D val="0"/>
            <c:spPr>
              <a:solidFill>
                <a:schemeClr val="accent5">
                  <a:lumMod val="70000"/>
                  <a:lumOff val="30000"/>
                </a:schemeClr>
              </a:solidFill>
              <a:ln>
                <a:solidFill>
                  <a:schemeClr val="tx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'Growth 2015'!$A$2:$A$42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'Growth 2015'!$B$2:$B$42</c:f>
              <c:numCache>
                <c:formatCode>_-* #,##0_-;\-* #,##0_-;_-* "-"??_-;_-@_-</c:formatCode>
                <c:ptCount val="41"/>
                <c:pt idx="1">
                  <c:v>1684</c:v>
                </c:pt>
                <c:pt idx="2">
                  <c:v>6813</c:v>
                </c:pt>
                <c:pt idx="3">
                  <c:v>2314</c:v>
                </c:pt>
                <c:pt idx="4">
                  <c:v>1995</c:v>
                </c:pt>
                <c:pt idx="5">
                  <c:v>2774</c:v>
                </c:pt>
                <c:pt idx="8">
                  <c:v>2236</c:v>
                </c:pt>
                <c:pt idx="9">
                  <c:v>402</c:v>
                </c:pt>
                <c:pt idx="10">
                  <c:v>957</c:v>
                </c:pt>
                <c:pt idx="11">
                  <c:v>1125</c:v>
                </c:pt>
                <c:pt idx="12">
                  <c:v>2309</c:v>
                </c:pt>
                <c:pt idx="13">
                  <c:v>1911</c:v>
                </c:pt>
                <c:pt idx="14">
                  <c:v>625</c:v>
                </c:pt>
                <c:pt idx="17">
                  <c:v>781</c:v>
                </c:pt>
                <c:pt idx="18">
                  <c:v>2206</c:v>
                </c:pt>
                <c:pt idx="19">
                  <c:v>5337</c:v>
                </c:pt>
                <c:pt idx="20">
                  <c:v>750</c:v>
                </c:pt>
                <c:pt idx="21">
                  <c:v>3439</c:v>
                </c:pt>
                <c:pt idx="22">
                  <c:v>-247</c:v>
                </c:pt>
                <c:pt idx="23">
                  <c:v>8554</c:v>
                </c:pt>
                <c:pt idx="26">
                  <c:v>1407</c:v>
                </c:pt>
                <c:pt idx="27">
                  <c:v>3850</c:v>
                </c:pt>
                <c:pt idx="28">
                  <c:v>8996</c:v>
                </c:pt>
                <c:pt idx="29">
                  <c:v>1072</c:v>
                </c:pt>
                <c:pt idx="30">
                  <c:v>2294</c:v>
                </c:pt>
                <c:pt idx="31">
                  <c:v>3273</c:v>
                </c:pt>
                <c:pt idx="32">
                  <c:v>1443</c:v>
                </c:pt>
                <c:pt idx="33">
                  <c:v>1266</c:v>
                </c:pt>
                <c:pt idx="36">
                  <c:v>1795</c:v>
                </c:pt>
                <c:pt idx="37">
                  <c:v>1643</c:v>
                </c:pt>
                <c:pt idx="38">
                  <c:v>5114</c:v>
                </c:pt>
                <c:pt idx="39">
                  <c:v>2286</c:v>
                </c:pt>
                <c:pt idx="40">
                  <c:v>10202</c:v>
                </c:pt>
              </c:numCache>
            </c:numRef>
          </c:val>
        </c:ser>
        <c:dLbls>
          <c:showLegendKey val="0"/>
          <c:showVal val="0"/>
          <c:showCatName val="0"/>
          <c:showSerName val="0"/>
          <c:showPercent val="0"/>
          <c:showBubbleSize val="0"/>
        </c:dLbls>
        <c:gapWidth val="30"/>
        <c:axId val="790355424"/>
        <c:axId val="790355984"/>
      </c:barChart>
      <c:catAx>
        <c:axId val="790355424"/>
        <c:scaling>
          <c:orientation val="maxMin"/>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355984"/>
        <c:crosses val="autoZero"/>
        <c:auto val="1"/>
        <c:lblAlgn val="ctr"/>
        <c:lblOffset val="100"/>
        <c:noMultiLvlLbl val="0"/>
      </c:catAx>
      <c:valAx>
        <c:axId val="790355984"/>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3554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AU"/>
              <a:t>Value</a:t>
            </a:r>
            <a:r>
              <a:rPr lang="en-AU" baseline="0"/>
              <a:t> of </a:t>
            </a:r>
            <a:r>
              <a:rPr lang="en-AU"/>
              <a:t>Building</a:t>
            </a:r>
            <a:r>
              <a:rPr lang="en-AU" baseline="0"/>
              <a:t> Approvals - </a:t>
            </a:r>
          </a:p>
          <a:p>
            <a:pPr marL="0" marR="0" indent="0" algn="l"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en-AU" baseline="0"/>
              <a:t>Other types of buildings</a:t>
            </a:r>
          </a:p>
          <a:p>
            <a:pPr marL="0" marR="0" indent="0" algn="l"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en-AU" baseline="0"/>
              <a:t>Regional Victoria 2014-15</a:t>
            </a:r>
          </a:p>
          <a:p>
            <a:pPr marL="0" marR="0" indent="0" algn="l"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en-AU" sz="1000" baseline="0"/>
              <a:t>Source: ABS building approvals </a:t>
            </a:r>
            <a:endParaRPr lang="en-AU" sz="1000"/>
          </a:p>
        </c:rich>
      </c:tx>
      <c:layout>
        <c:manualLayout>
          <c:xMode val="edge"/>
          <c:yMode val="edge"/>
          <c:x val="1.4863950829675698E-3"/>
          <c:y val="5.1177072671443197E-3"/>
        </c:manualLayout>
      </c:layout>
      <c:overlay val="0"/>
      <c:spPr>
        <a:noFill/>
        <a:ln>
          <a:noFill/>
        </a:ln>
        <a:effectLst/>
      </c:spPr>
      <c:txPr>
        <a:bodyPr rot="0" spcFirstLastPara="1" vertOverflow="ellipsis" vert="horz" wrap="square" anchor="ctr" anchorCtr="1"/>
        <a:lstStyle/>
        <a:p>
          <a:pPr marL="0" marR="0" indent="0" algn="l"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0.18815981335666376"/>
          <c:y val="0.17147507055039174"/>
          <c:w val="0.77850685331000291"/>
          <c:h val="0.81583165591143214"/>
        </c:manualLayout>
      </c:layout>
      <c:barChart>
        <c:barDir val="bar"/>
        <c:grouping val="stacked"/>
        <c:varyColors val="0"/>
        <c:ser>
          <c:idx val="0"/>
          <c:order val="0"/>
          <c:tx>
            <c:strRef>
              <c:f>'Value of Approvals'!$CA$7</c:f>
              <c:strCache>
                <c:ptCount val="1"/>
                <c:pt idx="0">
                  <c:v>Education buildings</c:v>
                </c:pt>
              </c:strCache>
            </c:strRef>
          </c:tx>
          <c:spPr>
            <a:solidFill>
              <a:schemeClr val="accent6"/>
            </a:solidFill>
            <a:ln>
              <a:solidFill>
                <a:schemeClr val="tx1"/>
              </a:solidFill>
            </a:ln>
            <a:effectLst/>
          </c:spPr>
          <c:invertIfNegative val="0"/>
          <c:cat>
            <c:strRef>
              <c:f>'Value of Approvals'!$AR$50:$AR$98</c:f>
              <c:strCache>
                <c:ptCount val="49"/>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strCache>
            </c:strRef>
          </c:cat>
          <c:val>
            <c:numRef>
              <c:f>'Value of Approvals'!$CA$50:$CA$98</c:f>
              <c:numCache>
                <c:formatCode>_-"$"* #,##0_-;\-"$"* #,##0_-;_-"$"* "-"??_-;_-@_-</c:formatCode>
                <c:ptCount val="49"/>
                <c:pt idx="0">
                  <c:v>13.708</c:v>
                </c:pt>
                <c:pt idx="1">
                  <c:v>9.3710000000000004</c:v>
                </c:pt>
                <c:pt idx="2">
                  <c:v>42.537999999999997</c:v>
                </c:pt>
                <c:pt idx="3">
                  <c:v>12.667</c:v>
                </c:pt>
                <c:pt idx="4">
                  <c:v>2.7869999999999999</c:v>
                </c:pt>
                <c:pt idx="5">
                  <c:v>2.048</c:v>
                </c:pt>
                <c:pt idx="6">
                  <c:v>3.738</c:v>
                </c:pt>
                <c:pt idx="7">
                  <c:v>2.9239999999999999</c:v>
                </c:pt>
                <c:pt idx="8">
                  <c:v>8.9440000000000008</c:v>
                </c:pt>
                <c:pt idx="9">
                  <c:v>1.6359999999999999</c:v>
                </c:pt>
                <c:pt idx="11">
                  <c:v>0.56999999999999995</c:v>
                </c:pt>
                <c:pt idx="12">
                  <c:v>0</c:v>
                </c:pt>
                <c:pt idx="13">
                  <c:v>3.1909999999999998</c:v>
                </c:pt>
                <c:pt idx="14">
                  <c:v>3.593</c:v>
                </c:pt>
                <c:pt idx="15">
                  <c:v>0</c:v>
                </c:pt>
                <c:pt idx="16">
                  <c:v>0.29399999999999998</c:v>
                </c:pt>
                <c:pt idx="17">
                  <c:v>1.1379999999999999</c:v>
                </c:pt>
                <c:pt idx="18">
                  <c:v>0.05</c:v>
                </c:pt>
                <c:pt idx="19">
                  <c:v>0.17</c:v>
                </c:pt>
                <c:pt idx="20">
                  <c:v>2.6549999999999998</c:v>
                </c:pt>
                <c:pt idx="21">
                  <c:v>1.95</c:v>
                </c:pt>
                <c:pt idx="22">
                  <c:v>0.64600000000000002</c:v>
                </c:pt>
                <c:pt idx="23">
                  <c:v>0.38700000000000001</c:v>
                </c:pt>
                <c:pt idx="24">
                  <c:v>0.377</c:v>
                </c:pt>
                <c:pt idx="25">
                  <c:v>0</c:v>
                </c:pt>
                <c:pt idx="26">
                  <c:v>0</c:v>
                </c:pt>
                <c:pt idx="27">
                  <c:v>0.27200000000000002</c:v>
                </c:pt>
                <c:pt idx="28">
                  <c:v>0</c:v>
                </c:pt>
                <c:pt idx="29">
                  <c:v>4.1120000000000001</c:v>
                </c:pt>
                <c:pt idx="30">
                  <c:v>0</c:v>
                </c:pt>
                <c:pt idx="31">
                  <c:v>0.13900000000000001</c:v>
                </c:pt>
                <c:pt idx="32">
                  <c:v>2.4940000000000002</c:v>
                </c:pt>
                <c:pt idx="33">
                  <c:v>0.112</c:v>
                </c:pt>
                <c:pt idx="34">
                  <c:v>0.85099999999999998</c:v>
                </c:pt>
                <c:pt idx="35">
                  <c:v>0</c:v>
                </c:pt>
                <c:pt idx="36">
                  <c:v>0</c:v>
                </c:pt>
                <c:pt idx="37">
                  <c:v>0.13400000000000001</c:v>
                </c:pt>
                <c:pt idx="38">
                  <c:v>1.1319999999999999</c:v>
                </c:pt>
                <c:pt idx="39">
                  <c:v>3.2970000000000002</c:v>
                </c:pt>
                <c:pt idx="40">
                  <c:v>4.4980000000000002</c:v>
                </c:pt>
                <c:pt idx="41">
                  <c:v>0.13200000000000001</c:v>
                </c:pt>
                <c:pt idx="42">
                  <c:v>0.22</c:v>
                </c:pt>
                <c:pt idx="43">
                  <c:v>3.581</c:v>
                </c:pt>
                <c:pt idx="44">
                  <c:v>0</c:v>
                </c:pt>
                <c:pt idx="45">
                  <c:v>4.0599999999999996</c:v>
                </c:pt>
                <c:pt idx="46">
                  <c:v>0</c:v>
                </c:pt>
                <c:pt idx="47">
                  <c:v>5.1999999999999998E-2</c:v>
                </c:pt>
                <c:pt idx="48">
                  <c:v>0</c:v>
                </c:pt>
              </c:numCache>
            </c:numRef>
          </c:val>
        </c:ser>
        <c:ser>
          <c:idx val="1"/>
          <c:order val="1"/>
          <c:tx>
            <c:strRef>
              <c:f>'Value of Approvals'!$CB$7</c:f>
              <c:strCache>
                <c:ptCount val="1"/>
                <c:pt idx="0">
                  <c:v>Religion buildings</c:v>
                </c:pt>
              </c:strCache>
            </c:strRef>
          </c:tx>
          <c:spPr>
            <a:solidFill>
              <a:srgbClr val="FF0000"/>
            </a:solidFill>
            <a:ln>
              <a:solidFill>
                <a:schemeClr val="tx1"/>
              </a:solidFill>
            </a:ln>
            <a:effectLst/>
          </c:spPr>
          <c:invertIfNegative val="0"/>
          <c:cat>
            <c:strRef>
              <c:f>'Value of Approvals'!$AR$50:$AR$98</c:f>
              <c:strCache>
                <c:ptCount val="49"/>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strCache>
            </c:strRef>
          </c:cat>
          <c:val>
            <c:numRef>
              <c:f>'Value of Approvals'!$CB$50:$CB$98</c:f>
              <c:numCache>
                <c:formatCode>_-"$"* #,##0_-;\-"$"* #,##0_-;_-"$"* "-"??_-;_-@_-</c:formatCode>
                <c:ptCount val="49"/>
                <c:pt idx="0">
                  <c:v>1.4419999999999999</c:v>
                </c:pt>
                <c:pt idx="1">
                  <c:v>1.1930000000000001</c:v>
                </c:pt>
                <c:pt idx="2">
                  <c:v>2.7490000000000001</c:v>
                </c:pt>
                <c:pt idx="3">
                  <c:v>0</c:v>
                </c:pt>
                <c:pt idx="4">
                  <c:v>0.25</c:v>
                </c:pt>
                <c:pt idx="5">
                  <c:v>0</c:v>
                </c:pt>
                <c:pt idx="6">
                  <c:v>0.71399999999999997</c:v>
                </c:pt>
                <c:pt idx="7">
                  <c:v>0.23499999999999999</c:v>
                </c:pt>
                <c:pt idx="8">
                  <c:v>0.15</c:v>
                </c:pt>
                <c:pt idx="9">
                  <c:v>0</c:v>
                </c:pt>
                <c:pt idx="11">
                  <c:v>0</c:v>
                </c:pt>
                <c:pt idx="12">
                  <c:v>0</c:v>
                </c:pt>
                <c:pt idx="13">
                  <c:v>0</c:v>
                </c:pt>
                <c:pt idx="14">
                  <c:v>0</c:v>
                </c:pt>
                <c:pt idx="15">
                  <c:v>0</c:v>
                </c:pt>
                <c:pt idx="16">
                  <c:v>0</c:v>
                </c:pt>
                <c:pt idx="17">
                  <c:v>0</c:v>
                </c:pt>
                <c:pt idx="18">
                  <c:v>0</c:v>
                </c:pt>
                <c:pt idx="19">
                  <c:v>0.23599999999999999</c:v>
                </c:pt>
                <c:pt idx="20">
                  <c:v>0.46100000000000002</c:v>
                </c:pt>
                <c:pt idx="21">
                  <c:v>0.125</c:v>
                </c:pt>
                <c:pt idx="22">
                  <c:v>0</c:v>
                </c:pt>
                <c:pt idx="23">
                  <c:v>0</c:v>
                </c:pt>
                <c:pt idx="24">
                  <c:v>0.08</c:v>
                </c:pt>
                <c:pt idx="25">
                  <c:v>0</c:v>
                </c:pt>
                <c:pt idx="26">
                  <c:v>0</c:v>
                </c:pt>
                <c:pt idx="27">
                  <c:v>0</c:v>
                </c:pt>
                <c:pt idx="28">
                  <c:v>0</c:v>
                </c:pt>
                <c:pt idx="29">
                  <c:v>0.17699999999999999</c:v>
                </c:pt>
                <c:pt idx="30">
                  <c:v>0</c:v>
                </c:pt>
                <c:pt idx="31">
                  <c:v>0</c:v>
                </c:pt>
                <c:pt idx="32">
                  <c:v>0</c:v>
                </c:pt>
                <c:pt idx="33">
                  <c:v>0</c:v>
                </c:pt>
                <c:pt idx="34">
                  <c:v>0.2</c:v>
                </c:pt>
                <c:pt idx="35">
                  <c:v>0</c:v>
                </c:pt>
                <c:pt idx="36">
                  <c:v>0</c:v>
                </c:pt>
                <c:pt idx="37">
                  <c:v>0</c:v>
                </c:pt>
                <c:pt idx="38">
                  <c:v>0</c:v>
                </c:pt>
                <c:pt idx="39">
                  <c:v>0</c:v>
                </c:pt>
                <c:pt idx="40">
                  <c:v>0</c:v>
                </c:pt>
                <c:pt idx="41">
                  <c:v>0</c:v>
                </c:pt>
                <c:pt idx="42">
                  <c:v>0</c:v>
                </c:pt>
                <c:pt idx="43">
                  <c:v>0</c:v>
                </c:pt>
                <c:pt idx="44">
                  <c:v>0</c:v>
                </c:pt>
                <c:pt idx="45">
                  <c:v>0.12</c:v>
                </c:pt>
                <c:pt idx="46">
                  <c:v>0.57299999999999995</c:v>
                </c:pt>
                <c:pt idx="47">
                  <c:v>0</c:v>
                </c:pt>
                <c:pt idx="48">
                  <c:v>0</c:v>
                </c:pt>
              </c:numCache>
            </c:numRef>
          </c:val>
        </c:ser>
        <c:ser>
          <c:idx val="2"/>
          <c:order val="2"/>
          <c:tx>
            <c:strRef>
              <c:f>'Value of Approvals'!$CC$7</c:f>
              <c:strCache>
                <c:ptCount val="1"/>
                <c:pt idx="0">
                  <c:v>Aged care facilities</c:v>
                </c:pt>
              </c:strCache>
            </c:strRef>
          </c:tx>
          <c:spPr>
            <a:solidFill>
              <a:schemeClr val="accent4"/>
            </a:solidFill>
            <a:ln>
              <a:solidFill>
                <a:schemeClr val="tx1"/>
              </a:solidFill>
            </a:ln>
            <a:effectLst/>
          </c:spPr>
          <c:invertIfNegative val="0"/>
          <c:cat>
            <c:strRef>
              <c:f>'Value of Approvals'!$AR$50:$AR$98</c:f>
              <c:strCache>
                <c:ptCount val="49"/>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strCache>
            </c:strRef>
          </c:cat>
          <c:val>
            <c:numRef>
              <c:f>'Value of Approvals'!$CC$50:$CC$98</c:f>
              <c:numCache>
                <c:formatCode>_-"$"* #,##0_-;\-"$"* #,##0_-;_-"$"* "-"??_-;_-@_-</c:formatCode>
                <c:ptCount val="49"/>
                <c:pt idx="0">
                  <c:v>6.78</c:v>
                </c:pt>
                <c:pt idx="1">
                  <c:v>0</c:v>
                </c:pt>
                <c:pt idx="2">
                  <c:v>1.7949999999999999</c:v>
                </c:pt>
                <c:pt idx="3">
                  <c:v>0.44900000000000001</c:v>
                </c:pt>
                <c:pt idx="4">
                  <c:v>0</c:v>
                </c:pt>
                <c:pt idx="5">
                  <c:v>0</c:v>
                </c:pt>
                <c:pt idx="6">
                  <c:v>7.2519999999999998</c:v>
                </c:pt>
                <c:pt idx="7">
                  <c:v>2.323</c:v>
                </c:pt>
                <c:pt idx="8">
                  <c:v>0</c:v>
                </c:pt>
                <c:pt idx="9">
                  <c:v>0</c:v>
                </c:pt>
                <c:pt idx="11">
                  <c:v>0</c:v>
                </c:pt>
                <c:pt idx="12">
                  <c:v>0</c:v>
                </c:pt>
                <c:pt idx="13">
                  <c:v>0</c:v>
                </c:pt>
                <c:pt idx="14">
                  <c:v>23.327000000000002</c:v>
                </c:pt>
                <c:pt idx="15">
                  <c:v>2.589</c:v>
                </c:pt>
                <c:pt idx="16">
                  <c:v>0</c:v>
                </c:pt>
                <c:pt idx="17">
                  <c:v>0</c:v>
                </c:pt>
                <c:pt idx="18">
                  <c:v>0.75900000000000001</c:v>
                </c:pt>
                <c:pt idx="19">
                  <c:v>0</c:v>
                </c:pt>
                <c:pt idx="20">
                  <c:v>0</c:v>
                </c:pt>
                <c:pt idx="21">
                  <c:v>0.35399999999999998</c:v>
                </c:pt>
                <c:pt idx="22">
                  <c:v>0.08</c:v>
                </c:pt>
                <c:pt idx="23">
                  <c:v>0</c:v>
                </c:pt>
                <c:pt idx="24">
                  <c:v>0</c:v>
                </c:pt>
                <c:pt idx="25">
                  <c:v>0</c:v>
                </c:pt>
                <c:pt idx="26">
                  <c:v>0</c:v>
                </c:pt>
                <c:pt idx="27">
                  <c:v>0</c:v>
                </c:pt>
                <c:pt idx="28">
                  <c:v>0</c:v>
                </c:pt>
                <c:pt idx="29">
                  <c:v>0</c:v>
                </c:pt>
                <c:pt idx="30">
                  <c:v>0</c:v>
                </c:pt>
                <c:pt idx="31">
                  <c:v>4.133</c:v>
                </c:pt>
                <c:pt idx="32">
                  <c:v>0</c:v>
                </c:pt>
                <c:pt idx="33">
                  <c:v>0</c:v>
                </c:pt>
                <c:pt idx="34">
                  <c:v>5.2999999999999999E-2</c:v>
                </c:pt>
                <c:pt idx="35">
                  <c:v>0</c:v>
                </c:pt>
                <c:pt idx="36">
                  <c:v>0</c:v>
                </c:pt>
                <c:pt idx="37">
                  <c:v>0</c:v>
                </c:pt>
                <c:pt idx="38">
                  <c:v>0</c:v>
                </c:pt>
                <c:pt idx="39">
                  <c:v>0</c:v>
                </c:pt>
                <c:pt idx="40">
                  <c:v>0</c:v>
                </c:pt>
                <c:pt idx="41">
                  <c:v>0</c:v>
                </c:pt>
                <c:pt idx="42">
                  <c:v>0</c:v>
                </c:pt>
                <c:pt idx="43">
                  <c:v>0.16400000000000001</c:v>
                </c:pt>
                <c:pt idx="44">
                  <c:v>0</c:v>
                </c:pt>
                <c:pt idx="45">
                  <c:v>0</c:v>
                </c:pt>
                <c:pt idx="46">
                  <c:v>0</c:v>
                </c:pt>
                <c:pt idx="47">
                  <c:v>0</c:v>
                </c:pt>
                <c:pt idx="48">
                  <c:v>0</c:v>
                </c:pt>
              </c:numCache>
            </c:numRef>
          </c:val>
        </c:ser>
        <c:ser>
          <c:idx val="3"/>
          <c:order val="3"/>
          <c:tx>
            <c:strRef>
              <c:f>'Value of Approvals'!$CD$7</c:f>
              <c:strCache>
                <c:ptCount val="1"/>
                <c:pt idx="0">
                  <c:v>Health buildings</c:v>
                </c:pt>
              </c:strCache>
            </c:strRef>
          </c:tx>
          <c:spPr>
            <a:solidFill>
              <a:schemeClr val="accent6">
                <a:lumMod val="60000"/>
              </a:schemeClr>
            </a:solidFill>
            <a:ln>
              <a:solidFill>
                <a:schemeClr val="tx1"/>
              </a:solidFill>
            </a:ln>
            <a:effectLst/>
          </c:spPr>
          <c:invertIfNegative val="0"/>
          <c:cat>
            <c:strRef>
              <c:f>'Value of Approvals'!$AR$50:$AR$98</c:f>
              <c:strCache>
                <c:ptCount val="49"/>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strCache>
            </c:strRef>
          </c:cat>
          <c:val>
            <c:numRef>
              <c:f>'Value of Approvals'!$CD$50:$CD$98</c:f>
              <c:numCache>
                <c:formatCode>_-"$"* #,##0_-;\-"$"* #,##0_-;_-"$"* "-"??_-;_-@_-</c:formatCode>
                <c:ptCount val="49"/>
                <c:pt idx="0">
                  <c:v>34.761000000000003</c:v>
                </c:pt>
                <c:pt idx="1">
                  <c:v>34.579000000000001</c:v>
                </c:pt>
                <c:pt idx="2">
                  <c:v>19.574000000000002</c:v>
                </c:pt>
                <c:pt idx="3">
                  <c:v>1.395</c:v>
                </c:pt>
                <c:pt idx="4">
                  <c:v>0.29099999999999998</c:v>
                </c:pt>
                <c:pt idx="5">
                  <c:v>4.0629999999999997</c:v>
                </c:pt>
                <c:pt idx="6">
                  <c:v>0.13</c:v>
                </c:pt>
                <c:pt idx="7">
                  <c:v>1.121</c:v>
                </c:pt>
                <c:pt idx="8">
                  <c:v>30.172999999999998</c:v>
                </c:pt>
                <c:pt idx="9">
                  <c:v>2.649</c:v>
                </c:pt>
                <c:pt idx="11">
                  <c:v>0</c:v>
                </c:pt>
                <c:pt idx="12">
                  <c:v>0.251</c:v>
                </c:pt>
                <c:pt idx="13">
                  <c:v>0.57099999999999995</c:v>
                </c:pt>
                <c:pt idx="14">
                  <c:v>0.36799999999999999</c:v>
                </c:pt>
                <c:pt idx="15">
                  <c:v>0.05</c:v>
                </c:pt>
                <c:pt idx="16">
                  <c:v>0</c:v>
                </c:pt>
                <c:pt idx="17">
                  <c:v>0.5</c:v>
                </c:pt>
                <c:pt idx="18">
                  <c:v>0.3</c:v>
                </c:pt>
                <c:pt idx="19">
                  <c:v>0.40400000000000003</c:v>
                </c:pt>
                <c:pt idx="20">
                  <c:v>0</c:v>
                </c:pt>
                <c:pt idx="21">
                  <c:v>1.0309999999999999</c:v>
                </c:pt>
                <c:pt idx="22">
                  <c:v>0</c:v>
                </c:pt>
                <c:pt idx="23">
                  <c:v>0.15</c:v>
                </c:pt>
                <c:pt idx="24">
                  <c:v>0</c:v>
                </c:pt>
                <c:pt idx="25">
                  <c:v>0.22</c:v>
                </c:pt>
                <c:pt idx="26">
                  <c:v>0</c:v>
                </c:pt>
                <c:pt idx="27">
                  <c:v>0</c:v>
                </c:pt>
                <c:pt idx="28">
                  <c:v>9.1259999999999994</c:v>
                </c:pt>
                <c:pt idx="29">
                  <c:v>0.15</c:v>
                </c:pt>
                <c:pt idx="30">
                  <c:v>1</c:v>
                </c:pt>
                <c:pt idx="31">
                  <c:v>0</c:v>
                </c:pt>
                <c:pt idx="32">
                  <c:v>0.05</c:v>
                </c:pt>
                <c:pt idx="33">
                  <c:v>0</c:v>
                </c:pt>
                <c:pt idx="34">
                  <c:v>0.2</c:v>
                </c:pt>
                <c:pt idx="35">
                  <c:v>0</c:v>
                </c:pt>
                <c:pt idx="36">
                  <c:v>0</c:v>
                </c:pt>
                <c:pt idx="37">
                  <c:v>0</c:v>
                </c:pt>
                <c:pt idx="38">
                  <c:v>0</c:v>
                </c:pt>
                <c:pt idx="39">
                  <c:v>0</c:v>
                </c:pt>
                <c:pt idx="40">
                  <c:v>0.153</c:v>
                </c:pt>
                <c:pt idx="41">
                  <c:v>0</c:v>
                </c:pt>
                <c:pt idx="42">
                  <c:v>0</c:v>
                </c:pt>
                <c:pt idx="43">
                  <c:v>12.664</c:v>
                </c:pt>
                <c:pt idx="44">
                  <c:v>0.98699999999999999</c:v>
                </c:pt>
                <c:pt idx="45">
                  <c:v>0</c:v>
                </c:pt>
                <c:pt idx="46">
                  <c:v>0</c:v>
                </c:pt>
                <c:pt idx="47">
                  <c:v>8.1950000000000003</c:v>
                </c:pt>
                <c:pt idx="48">
                  <c:v>0</c:v>
                </c:pt>
              </c:numCache>
            </c:numRef>
          </c:val>
        </c:ser>
        <c:ser>
          <c:idx val="4"/>
          <c:order val="4"/>
          <c:tx>
            <c:strRef>
              <c:f>'Value of Approvals'!$CE$7</c:f>
              <c:strCache>
                <c:ptCount val="1"/>
                <c:pt idx="0">
                  <c:v>Entertainment and recreation buildings</c:v>
                </c:pt>
              </c:strCache>
            </c:strRef>
          </c:tx>
          <c:spPr>
            <a:solidFill>
              <a:schemeClr val="accent5">
                <a:lumMod val="60000"/>
              </a:schemeClr>
            </a:solidFill>
            <a:ln>
              <a:solidFill>
                <a:schemeClr val="tx1"/>
              </a:solidFill>
            </a:ln>
            <a:effectLst/>
          </c:spPr>
          <c:invertIfNegative val="0"/>
          <c:cat>
            <c:strRef>
              <c:f>'Value of Approvals'!$AR$50:$AR$98</c:f>
              <c:strCache>
                <c:ptCount val="49"/>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strCache>
            </c:strRef>
          </c:cat>
          <c:val>
            <c:numRef>
              <c:f>'Value of Approvals'!$CE$50:$CE$98</c:f>
              <c:numCache>
                <c:formatCode>_-"$"* #,##0_-;\-"$"* #,##0_-;_-"$"* "-"??_-;_-@_-</c:formatCode>
                <c:ptCount val="49"/>
                <c:pt idx="0">
                  <c:v>1.9650000000000001</c:v>
                </c:pt>
                <c:pt idx="1">
                  <c:v>4.7220000000000004</c:v>
                </c:pt>
                <c:pt idx="2">
                  <c:v>20.611999999999998</c:v>
                </c:pt>
                <c:pt idx="3">
                  <c:v>1.2490000000000001</c:v>
                </c:pt>
                <c:pt idx="4">
                  <c:v>1.284</c:v>
                </c:pt>
                <c:pt idx="5">
                  <c:v>14.776</c:v>
                </c:pt>
                <c:pt idx="6">
                  <c:v>1.649</c:v>
                </c:pt>
                <c:pt idx="7">
                  <c:v>0</c:v>
                </c:pt>
                <c:pt idx="8">
                  <c:v>8.5999999999999993E-2</c:v>
                </c:pt>
                <c:pt idx="9">
                  <c:v>0</c:v>
                </c:pt>
                <c:pt idx="11">
                  <c:v>8.2000000000000003E-2</c:v>
                </c:pt>
                <c:pt idx="12">
                  <c:v>0.41199999999999998</c:v>
                </c:pt>
                <c:pt idx="13">
                  <c:v>6.782</c:v>
                </c:pt>
                <c:pt idx="14">
                  <c:v>11.567</c:v>
                </c:pt>
                <c:pt idx="15">
                  <c:v>1.2649999999999999</c:v>
                </c:pt>
                <c:pt idx="16">
                  <c:v>0.06</c:v>
                </c:pt>
                <c:pt idx="17">
                  <c:v>3.6389999999999998</c:v>
                </c:pt>
                <c:pt idx="18">
                  <c:v>0.23899999999999999</c:v>
                </c:pt>
                <c:pt idx="19">
                  <c:v>0.73899999999999999</c:v>
                </c:pt>
                <c:pt idx="20">
                  <c:v>0.372</c:v>
                </c:pt>
                <c:pt idx="21">
                  <c:v>0.14000000000000001</c:v>
                </c:pt>
                <c:pt idx="22">
                  <c:v>0.06</c:v>
                </c:pt>
                <c:pt idx="23">
                  <c:v>0.26</c:v>
                </c:pt>
                <c:pt idx="24">
                  <c:v>1.5109999999999999</c:v>
                </c:pt>
                <c:pt idx="25">
                  <c:v>1.2569999999999999</c:v>
                </c:pt>
                <c:pt idx="26">
                  <c:v>0.10299999999999999</c:v>
                </c:pt>
                <c:pt idx="27">
                  <c:v>0.14000000000000001</c:v>
                </c:pt>
                <c:pt idx="28">
                  <c:v>2.15</c:v>
                </c:pt>
                <c:pt idx="29">
                  <c:v>0.91</c:v>
                </c:pt>
                <c:pt idx="30">
                  <c:v>0</c:v>
                </c:pt>
                <c:pt idx="31">
                  <c:v>0.105</c:v>
                </c:pt>
                <c:pt idx="32">
                  <c:v>1.131</c:v>
                </c:pt>
                <c:pt idx="33">
                  <c:v>0.22</c:v>
                </c:pt>
                <c:pt idx="34">
                  <c:v>0.48</c:v>
                </c:pt>
                <c:pt idx="35">
                  <c:v>1.038</c:v>
                </c:pt>
                <c:pt idx="36">
                  <c:v>0.89</c:v>
                </c:pt>
                <c:pt idx="37">
                  <c:v>0.74</c:v>
                </c:pt>
                <c:pt idx="38">
                  <c:v>0.71299999999999997</c:v>
                </c:pt>
                <c:pt idx="39">
                  <c:v>0</c:v>
                </c:pt>
                <c:pt idx="40">
                  <c:v>1.0449999999999999</c:v>
                </c:pt>
                <c:pt idx="41">
                  <c:v>0.33700000000000002</c:v>
                </c:pt>
                <c:pt idx="42">
                  <c:v>0.51200000000000001</c:v>
                </c:pt>
                <c:pt idx="43">
                  <c:v>0.05</c:v>
                </c:pt>
                <c:pt idx="44">
                  <c:v>3.2450000000000001</c:v>
                </c:pt>
                <c:pt idx="45">
                  <c:v>5.0890000000000004</c:v>
                </c:pt>
                <c:pt idx="46">
                  <c:v>0.19</c:v>
                </c:pt>
                <c:pt idx="47">
                  <c:v>8.6999999999999994E-2</c:v>
                </c:pt>
                <c:pt idx="48">
                  <c:v>0</c:v>
                </c:pt>
              </c:numCache>
            </c:numRef>
          </c:val>
        </c:ser>
        <c:ser>
          <c:idx val="5"/>
          <c:order val="5"/>
          <c:tx>
            <c:strRef>
              <c:f>'Value of Approvals'!$CF$7</c:f>
              <c:strCache>
                <c:ptCount val="1"/>
                <c:pt idx="0">
                  <c:v>Short term accommodation buildings</c:v>
                </c:pt>
              </c:strCache>
            </c:strRef>
          </c:tx>
          <c:spPr>
            <a:solidFill>
              <a:schemeClr val="accent4">
                <a:lumMod val="60000"/>
              </a:schemeClr>
            </a:solidFill>
            <a:ln>
              <a:solidFill>
                <a:schemeClr val="tx1"/>
              </a:solidFill>
            </a:ln>
            <a:effectLst/>
          </c:spPr>
          <c:invertIfNegative val="0"/>
          <c:cat>
            <c:strRef>
              <c:f>'Value of Approvals'!$AR$50:$AR$98</c:f>
              <c:strCache>
                <c:ptCount val="49"/>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strCache>
            </c:strRef>
          </c:cat>
          <c:val>
            <c:numRef>
              <c:f>'Value of Approvals'!$CF$50:$CF$98</c:f>
              <c:numCache>
                <c:formatCode>_-"$"* #,##0_-;\-"$"* #,##0_-;_-"$"* "-"??_-;_-@_-</c:formatCode>
                <c:ptCount val="49"/>
                <c:pt idx="0">
                  <c:v>6.0990000000000002</c:v>
                </c:pt>
                <c:pt idx="1">
                  <c:v>0.67400000000000004</c:v>
                </c:pt>
                <c:pt idx="2">
                  <c:v>1.3149999999999999</c:v>
                </c:pt>
                <c:pt idx="3">
                  <c:v>0.61199999999999999</c:v>
                </c:pt>
                <c:pt idx="4">
                  <c:v>0.105</c:v>
                </c:pt>
                <c:pt idx="5">
                  <c:v>0</c:v>
                </c:pt>
                <c:pt idx="6">
                  <c:v>6.6000000000000003E-2</c:v>
                </c:pt>
                <c:pt idx="7">
                  <c:v>0</c:v>
                </c:pt>
                <c:pt idx="8">
                  <c:v>0</c:v>
                </c:pt>
                <c:pt idx="9">
                  <c:v>0</c:v>
                </c:pt>
                <c:pt idx="11">
                  <c:v>0</c:v>
                </c:pt>
                <c:pt idx="12">
                  <c:v>0</c:v>
                </c:pt>
                <c:pt idx="13">
                  <c:v>0.17799999999999999</c:v>
                </c:pt>
                <c:pt idx="14">
                  <c:v>0.73</c:v>
                </c:pt>
                <c:pt idx="15">
                  <c:v>0</c:v>
                </c:pt>
                <c:pt idx="16">
                  <c:v>0</c:v>
                </c:pt>
                <c:pt idx="17">
                  <c:v>0.08</c:v>
                </c:pt>
                <c:pt idx="18">
                  <c:v>0.16900000000000001</c:v>
                </c:pt>
                <c:pt idx="19">
                  <c:v>0.33</c:v>
                </c:pt>
                <c:pt idx="20">
                  <c:v>0.14499999999999999</c:v>
                </c:pt>
                <c:pt idx="21">
                  <c:v>0</c:v>
                </c:pt>
                <c:pt idx="22">
                  <c:v>0</c:v>
                </c:pt>
                <c:pt idx="23">
                  <c:v>0</c:v>
                </c:pt>
                <c:pt idx="24">
                  <c:v>0</c:v>
                </c:pt>
                <c:pt idx="25">
                  <c:v>1.962</c:v>
                </c:pt>
                <c:pt idx="26">
                  <c:v>0</c:v>
                </c:pt>
                <c:pt idx="27">
                  <c:v>9.6000000000000002E-2</c:v>
                </c:pt>
                <c:pt idx="28">
                  <c:v>0.105</c:v>
                </c:pt>
                <c:pt idx="29">
                  <c:v>0.67900000000000005</c:v>
                </c:pt>
                <c:pt idx="30">
                  <c:v>0.13</c:v>
                </c:pt>
                <c:pt idx="31">
                  <c:v>0</c:v>
                </c:pt>
                <c:pt idx="32">
                  <c:v>0</c:v>
                </c:pt>
                <c:pt idx="33">
                  <c:v>0</c:v>
                </c:pt>
                <c:pt idx="34">
                  <c:v>0.22</c:v>
                </c:pt>
                <c:pt idx="35">
                  <c:v>0.84</c:v>
                </c:pt>
                <c:pt idx="36">
                  <c:v>0.129</c:v>
                </c:pt>
                <c:pt idx="37">
                  <c:v>0</c:v>
                </c:pt>
                <c:pt idx="38">
                  <c:v>0</c:v>
                </c:pt>
                <c:pt idx="39">
                  <c:v>0.73899999999999999</c:v>
                </c:pt>
                <c:pt idx="40">
                  <c:v>0</c:v>
                </c:pt>
                <c:pt idx="41">
                  <c:v>0</c:v>
                </c:pt>
                <c:pt idx="42">
                  <c:v>0.47399999999999998</c:v>
                </c:pt>
                <c:pt idx="43">
                  <c:v>0</c:v>
                </c:pt>
                <c:pt idx="44">
                  <c:v>0</c:v>
                </c:pt>
                <c:pt idx="45">
                  <c:v>0</c:v>
                </c:pt>
                <c:pt idx="46">
                  <c:v>0</c:v>
                </c:pt>
                <c:pt idx="47">
                  <c:v>0</c:v>
                </c:pt>
                <c:pt idx="48">
                  <c:v>7.87</c:v>
                </c:pt>
              </c:numCache>
            </c:numRef>
          </c:val>
        </c:ser>
        <c:ser>
          <c:idx val="6"/>
          <c:order val="6"/>
          <c:tx>
            <c:strRef>
              <c:f>'Value of Approvals'!$CG$7</c:f>
              <c:strCache>
                <c:ptCount val="1"/>
                <c:pt idx="0">
                  <c:v>Other non-residential </c:v>
                </c:pt>
              </c:strCache>
            </c:strRef>
          </c:tx>
          <c:spPr>
            <a:solidFill>
              <a:srgbClr val="00CCFF"/>
            </a:solidFill>
            <a:ln>
              <a:solidFill>
                <a:schemeClr val="tx1"/>
              </a:solidFill>
            </a:ln>
            <a:effectLst/>
          </c:spPr>
          <c:invertIfNegative val="0"/>
          <c:cat>
            <c:strRef>
              <c:f>'Value of Approvals'!$AR$50:$AR$98</c:f>
              <c:strCache>
                <c:ptCount val="49"/>
                <c:pt idx="0">
                  <c:v>Ballarat</c:v>
                </c:pt>
                <c:pt idx="1">
                  <c:v>Greater Bendigo</c:v>
                </c:pt>
                <c:pt idx="2">
                  <c:v>Greater Geelong</c:v>
                </c:pt>
                <c:pt idx="3">
                  <c:v>Greater Shepparton</c:v>
                </c:pt>
                <c:pt idx="4">
                  <c:v>Horsham</c:v>
                </c:pt>
                <c:pt idx="5">
                  <c:v>Latrobe</c:v>
                </c:pt>
                <c:pt idx="6">
                  <c:v>Mildura</c:v>
                </c:pt>
                <c:pt idx="7">
                  <c:v>Wangaratta</c:v>
                </c:pt>
                <c:pt idx="8">
                  <c:v>Warrnambool</c:v>
                </c:pt>
                <c:pt idx="9">
                  <c:v>Wodonga</c:v>
                </c:pt>
                <c:pt idx="11">
                  <c:v>Alpine</c:v>
                </c:pt>
                <c:pt idx="12">
                  <c:v>Ararat</c:v>
                </c:pt>
                <c:pt idx="13">
                  <c:v>Bass Coast</c:v>
                </c:pt>
                <c:pt idx="14">
                  <c:v>Baw Baw</c:v>
                </c:pt>
                <c:pt idx="15">
                  <c:v>Benalla</c:v>
                </c:pt>
                <c:pt idx="16">
                  <c:v>Buloke</c:v>
                </c:pt>
                <c:pt idx="17">
                  <c:v>Campaspe</c:v>
                </c:pt>
                <c:pt idx="18">
                  <c:v>Central Goldfields</c:v>
                </c:pt>
                <c:pt idx="19">
                  <c:v>Colac-Otway</c:v>
                </c:pt>
                <c:pt idx="20">
                  <c:v>Corangamite</c:v>
                </c:pt>
                <c:pt idx="21">
                  <c:v>East Gippsland</c:v>
                </c:pt>
                <c:pt idx="22">
                  <c:v>Gannawarra</c:v>
                </c:pt>
                <c:pt idx="23">
                  <c:v>Glenelg</c:v>
                </c:pt>
                <c:pt idx="24">
                  <c:v>Golden Plains</c:v>
                </c:pt>
                <c:pt idx="25">
                  <c:v>Hepburn</c:v>
                </c:pt>
                <c:pt idx="26">
                  <c:v>Hindmarsh</c:v>
                </c:pt>
                <c:pt idx="27">
                  <c:v>Indigo</c:v>
                </c:pt>
                <c:pt idx="28">
                  <c:v>Loddon</c:v>
                </c:pt>
                <c:pt idx="29">
                  <c:v>Macedon Ranges</c:v>
                </c:pt>
                <c:pt idx="30">
                  <c:v>Mansfield</c:v>
                </c:pt>
                <c:pt idx="31">
                  <c:v>Moira</c:v>
                </c:pt>
                <c:pt idx="32">
                  <c:v>Moorabool</c:v>
                </c:pt>
                <c:pt idx="33">
                  <c:v>Mount Alexander</c:v>
                </c:pt>
                <c:pt idx="34">
                  <c:v>Moyne</c:v>
                </c:pt>
                <c:pt idx="35">
                  <c:v>Murrindindi</c:v>
                </c:pt>
                <c:pt idx="36">
                  <c:v>Northern Grampians</c:v>
                </c:pt>
                <c:pt idx="37">
                  <c:v>Pyrenees</c:v>
                </c:pt>
                <c:pt idx="38">
                  <c:v>Queenscliffe</c:v>
                </c:pt>
                <c:pt idx="39">
                  <c:v>South Gippsland</c:v>
                </c:pt>
                <c:pt idx="40">
                  <c:v>Southern Grampians</c:v>
                </c:pt>
                <c:pt idx="41">
                  <c:v>Strathbogie</c:v>
                </c:pt>
                <c:pt idx="42">
                  <c:v>Surf Coast</c:v>
                </c:pt>
                <c:pt idx="43">
                  <c:v>Swan Hill</c:v>
                </c:pt>
                <c:pt idx="44">
                  <c:v>Towong</c:v>
                </c:pt>
                <c:pt idx="45">
                  <c:v>Wellington</c:v>
                </c:pt>
                <c:pt idx="46">
                  <c:v>West Wimmera</c:v>
                </c:pt>
                <c:pt idx="47">
                  <c:v>Yarriambiack</c:v>
                </c:pt>
                <c:pt idx="48">
                  <c:v>Unincorporated Vic</c:v>
                </c:pt>
              </c:strCache>
            </c:strRef>
          </c:cat>
          <c:val>
            <c:numRef>
              <c:f>'Value of Approvals'!$CG$50:$CG$98</c:f>
              <c:numCache>
                <c:formatCode>_-"$"* #,##0_-;\-"$"* #,##0_-;_-"$"* "-"??_-;_-@_-</c:formatCode>
                <c:ptCount val="49"/>
                <c:pt idx="0">
                  <c:v>2.0960000000000001</c:v>
                </c:pt>
                <c:pt idx="1">
                  <c:v>6.5709999999999997</c:v>
                </c:pt>
                <c:pt idx="2">
                  <c:v>30.867999999999999</c:v>
                </c:pt>
                <c:pt idx="3">
                  <c:v>2.988</c:v>
                </c:pt>
                <c:pt idx="4">
                  <c:v>0.17199999999999999</c:v>
                </c:pt>
                <c:pt idx="5">
                  <c:v>3.8679999999999999</c:v>
                </c:pt>
                <c:pt idx="6">
                  <c:v>1.8089999999999999</c:v>
                </c:pt>
                <c:pt idx="7">
                  <c:v>1.8660000000000001</c:v>
                </c:pt>
                <c:pt idx="8">
                  <c:v>4.8440000000000003</c:v>
                </c:pt>
                <c:pt idx="9">
                  <c:v>3.4649999999999999</c:v>
                </c:pt>
                <c:pt idx="11">
                  <c:v>6.4000000000000001E-2</c:v>
                </c:pt>
                <c:pt idx="12">
                  <c:v>0.40699999999999997</c:v>
                </c:pt>
                <c:pt idx="13">
                  <c:v>8.6999999999999994E-2</c:v>
                </c:pt>
                <c:pt idx="14">
                  <c:v>3.1789999999999998</c:v>
                </c:pt>
                <c:pt idx="15">
                  <c:v>0.83</c:v>
                </c:pt>
                <c:pt idx="16">
                  <c:v>1.1060000000000001</c:v>
                </c:pt>
                <c:pt idx="17">
                  <c:v>2.1040000000000001</c:v>
                </c:pt>
                <c:pt idx="18">
                  <c:v>0.92300000000000004</c:v>
                </c:pt>
                <c:pt idx="19">
                  <c:v>6.0999999999999999E-2</c:v>
                </c:pt>
                <c:pt idx="20">
                  <c:v>1.3</c:v>
                </c:pt>
                <c:pt idx="21">
                  <c:v>1.704</c:v>
                </c:pt>
                <c:pt idx="22">
                  <c:v>0.75</c:v>
                </c:pt>
                <c:pt idx="23">
                  <c:v>4.5229999999999997</c:v>
                </c:pt>
                <c:pt idx="24">
                  <c:v>0.16</c:v>
                </c:pt>
                <c:pt idx="25">
                  <c:v>0.78300000000000003</c:v>
                </c:pt>
                <c:pt idx="26">
                  <c:v>0.45</c:v>
                </c:pt>
                <c:pt idx="27">
                  <c:v>0.72</c:v>
                </c:pt>
                <c:pt idx="28">
                  <c:v>0.42399999999999999</c:v>
                </c:pt>
                <c:pt idx="29">
                  <c:v>0.73699999999999999</c:v>
                </c:pt>
                <c:pt idx="30">
                  <c:v>0.2</c:v>
                </c:pt>
                <c:pt idx="31">
                  <c:v>2.2850000000000001</c:v>
                </c:pt>
                <c:pt idx="32">
                  <c:v>1.9159999999999999</c:v>
                </c:pt>
                <c:pt idx="33">
                  <c:v>4.077</c:v>
                </c:pt>
                <c:pt idx="34">
                  <c:v>0.186</c:v>
                </c:pt>
                <c:pt idx="35">
                  <c:v>0</c:v>
                </c:pt>
                <c:pt idx="36">
                  <c:v>0.58599999999999997</c:v>
                </c:pt>
                <c:pt idx="37">
                  <c:v>0.42</c:v>
                </c:pt>
                <c:pt idx="38">
                  <c:v>0</c:v>
                </c:pt>
                <c:pt idx="39">
                  <c:v>0.68400000000000005</c:v>
                </c:pt>
                <c:pt idx="40">
                  <c:v>1.68</c:v>
                </c:pt>
                <c:pt idx="41">
                  <c:v>0.38900000000000001</c:v>
                </c:pt>
                <c:pt idx="42">
                  <c:v>1.4490000000000001</c:v>
                </c:pt>
                <c:pt idx="43">
                  <c:v>0.155</c:v>
                </c:pt>
                <c:pt idx="44">
                  <c:v>0</c:v>
                </c:pt>
                <c:pt idx="45">
                  <c:v>5.52</c:v>
                </c:pt>
                <c:pt idx="46">
                  <c:v>0</c:v>
                </c:pt>
                <c:pt idx="47">
                  <c:v>0.28899999999999998</c:v>
                </c:pt>
                <c:pt idx="48">
                  <c:v>0</c:v>
                </c:pt>
              </c:numCache>
            </c:numRef>
          </c:val>
        </c:ser>
        <c:dLbls>
          <c:showLegendKey val="0"/>
          <c:showVal val="0"/>
          <c:showCatName val="0"/>
          <c:showSerName val="0"/>
          <c:showPercent val="0"/>
          <c:showBubbleSize val="0"/>
        </c:dLbls>
        <c:gapWidth val="30"/>
        <c:overlap val="100"/>
        <c:axId val="764389792"/>
        <c:axId val="764390352"/>
      </c:barChart>
      <c:catAx>
        <c:axId val="7643897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390352"/>
        <c:crosses val="autoZero"/>
        <c:auto val="1"/>
        <c:lblAlgn val="ctr"/>
        <c:lblOffset val="100"/>
        <c:noMultiLvlLbl val="0"/>
      </c:catAx>
      <c:valAx>
        <c:axId val="764390352"/>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rPr>
                  <a:t>Value of Building Approvals (Millions)</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389792"/>
        <c:crosses val="autoZero"/>
        <c:crossBetween val="between"/>
      </c:valAx>
      <c:spPr>
        <a:noFill/>
        <a:ln>
          <a:noFill/>
        </a:ln>
        <a:effectLst/>
      </c:spPr>
    </c:plotArea>
    <c:legend>
      <c:legendPos val="b"/>
      <c:layout>
        <c:manualLayout>
          <c:xMode val="edge"/>
          <c:yMode val="edge"/>
          <c:x val="0.5967762029746283"/>
          <c:y val="7.7750170833061638E-4"/>
          <c:w val="0.40322372897832209"/>
          <c:h val="0.1178626700546893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200"/>
              <a:t>Population</a:t>
            </a:r>
            <a:r>
              <a:rPr lang="en-AU" sz="1200" baseline="0"/>
              <a:t> of LGAs at 30 June 2015 -</a:t>
            </a:r>
          </a:p>
          <a:p>
            <a:pPr algn="l">
              <a:defRPr/>
            </a:pPr>
            <a:r>
              <a:rPr lang="en-AU" sz="1200" baseline="0"/>
              <a:t>Metropolitan Melbourne</a:t>
            </a:r>
          </a:p>
          <a:p>
            <a:pPr algn="l">
              <a:defRPr/>
            </a:pPr>
            <a:r>
              <a:rPr lang="en-AU" sz="900" baseline="0"/>
              <a:t>Source: ABS 3218.0</a:t>
            </a:r>
            <a:endParaRPr lang="en-AU" sz="900"/>
          </a:p>
        </c:rich>
      </c:tx>
      <c:layout>
        <c:manualLayout>
          <c:xMode val="edge"/>
          <c:yMode val="edge"/>
          <c:x val="1.0010010010011574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1"/>
        <c:ser>
          <c:idx val="0"/>
          <c:order val="0"/>
          <c:spPr>
            <a:ln>
              <a:solidFill>
                <a:schemeClr val="tx1"/>
              </a:solidFill>
            </a:ln>
          </c:spPr>
          <c:invertIfNegative val="0"/>
          <c:dPt>
            <c:idx val="0"/>
            <c:invertIfNegative val="0"/>
            <c:bubble3D val="0"/>
            <c:spPr>
              <a:solidFill>
                <a:schemeClr val="accent1"/>
              </a:solidFill>
              <a:ln>
                <a:solidFill>
                  <a:schemeClr val="tx1"/>
                </a:solidFill>
              </a:ln>
              <a:effectLst/>
            </c:spPr>
          </c:dPt>
          <c:dPt>
            <c:idx val="1"/>
            <c:invertIfNegative val="0"/>
            <c:bubble3D val="0"/>
            <c:spPr>
              <a:solidFill>
                <a:schemeClr val="accent2"/>
              </a:solidFill>
              <a:ln>
                <a:solidFill>
                  <a:schemeClr val="tx1"/>
                </a:solidFill>
              </a:ln>
              <a:effectLst/>
            </c:spPr>
          </c:dPt>
          <c:dPt>
            <c:idx val="2"/>
            <c:invertIfNegative val="0"/>
            <c:bubble3D val="0"/>
            <c:spPr>
              <a:solidFill>
                <a:schemeClr val="accent3"/>
              </a:solidFill>
              <a:ln>
                <a:solidFill>
                  <a:schemeClr val="tx1"/>
                </a:solidFill>
              </a:ln>
              <a:effectLst/>
            </c:spPr>
          </c:dPt>
          <c:dPt>
            <c:idx val="3"/>
            <c:invertIfNegative val="0"/>
            <c:bubble3D val="0"/>
            <c:spPr>
              <a:solidFill>
                <a:schemeClr val="accent4"/>
              </a:solidFill>
              <a:ln>
                <a:solidFill>
                  <a:schemeClr val="tx1"/>
                </a:solidFill>
              </a:ln>
              <a:effectLst/>
            </c:spPr>
          </c:dPt>
          <c:dPt>
            <c:idx val="4"/>
            <c:invertIfNegative val="0"/>
            <c:bubble3D val="0"/>
            <c:spPr>
              <a:solidFill>
                <a:schemeClr val="accent5"/>
              </a:solidFill>
              <a:ln>
                <a:solidFill>
                  <a:schemeClr val="tx1"/>
                </a:solidFill>
              </a:ln>
              <a:effectLst/>
            </c:spPr>
          </c:dPt>
          <c:dPt>
            <c:idx val="5"/>
            <c:invertIfNegative val="0"/>
            <c:bubble3D val="0"/>
            <c:spPr>
              <a:solidFill>
                <a:schemeClr val="accent6"/>
              </a:solidFill>
              <a:ln>
                <a:solidFill>
                  <a:schemeClr val="tx1"/>
                </a:solidFill>
              </a:ln>
              <a:effectLst/>
            </c:spPr>
          </c:dPt>
          <c:dPt>
            <c:idx val="6"/>
            <c:invertIfNegative val="0"/>
            <c:bubble3D val="0"/>
            <c:spPr>
              <a:solidFill>
                <a:schemeClr val="accent1">
                  <a:lumMod val="60000"/>
                </a:schemeClr>
              </a:solidFill>
              <a:ln>
                <a:solidFill>
                  <a:schemeClr val="tx1"/>
                </a:solidFill>
              </a:ln>
              <a:effectLst/>
            </c:spPr>
          </c:dPt>
          <c:dPt>
            <c:idx val="7"/>
            <c:invertIfNegative val="0"/>
            <c:bubble3D val="0"/>
            <c:spPr>
              <a:solidFill>
                <a:schemeClr val="accent2">
                  <a:lumMod val="60000"/>
                </a:schemeClr>
              </a:solidFill>
              <a:ln>
                <a:solidFill>
                  <a:schemeClr val="tx1"/>
                </a:solidFill>
              </a:ln>
              <a:effectLst/>
            </c:spPr>
          </c:dPt>
          <c:dPt>
            <c:idx val="8"/>
            <c:invertIfNegative val="0"/>
            <c:bubble3D val="0"/>
            <c:spPr>
              <a:solidFill>
                <a:schemeClr val="accent3">
                  <a:lumMod val="60000"/>
                </a:schemeClr>
              </a:solidFill>
              <a:ln>
                <a:solidFill>
                  <a:schemeClr val="tx1"/>
                </a:solidFill>
              </a:ln>
              <a:effectLst/>
            </c:spPr>
          </c:dPt>
          <c:dPt>
            <c:idx val="9"/>
            <c:invertIfNegative val="0"/>
            <c:bubble3D val="0"/>
            <c:spPr>
              <a:solidFill>
                <a:schemeClr val="accent4">
                  <a:lumMod val="60000"/>
                </a:schemeClr>
              </a:solidFill>
              <a:ln>
                <a:solidFill>
                  <a:schemeClr val="tx1"/>
                </a:solidFill>
              </a:ln>
              <a:effectLst/>
            </c:spPr>
          </c:dPt>
          <c:dPt>
            <c:idx val="10"/>
            <c:invertIfNegative val="0"/>
            <c:bubble3D val="0"/>
            <c:spPr>
              <a:solidFill>
                <a:schemeClr val="accent5">
                  <a:lumMod val="60000"/>
                </a:schemeClr>
              </a:solidFill>
              <a:ln>
                <a:solidFill>
                  <a:schemeClr val="tx1"/>
                </a:solidFill>
              </a:ln>
              <a:effectLst/>
            </c:spPr>
          </c:dPt>
          <c:dPt>
            <c:idx val="11"/>
            <c:invertIfNegative val="0"/>
            <c:bubble3D val="0"/>
            <c:spPr>
              <a:solidFill>
                <a:schemeClr val="accent6">
                  <a:lumMod val="60000"/>
                </a:schemeClr>
              </a:solidFill>
              <a:ln>
                <a:solidFill>
                  <a:schemeClr val="tx1"/>
                </a:solidFill>
              </a:ln>
              <a:effectLst/>
            </c:spPr>
          </c:dPt>
          <c:dPt>
            <c:idx val="12"/>
            <c:invertIfNegative val="0"/>
            <c:bubble3D val="0"/>
            <c:spPr>
              <a:solidFill>
                <a:schemeClr val="accent1">
                  <a:lumMod val="80000"/>
                  <a:lumOff val="20000"/>
                </a:schemeClr>
              </a:solidFill>
              <a:ln>
                <a:solidFill>
                  <a:schemeClr val="tx1"/>
                </a:solidFill>
              </a:ln>
              <a:effectLst/>
            </c:spPr>
          </c:dPt>
          <c:dPt>
            <c:idx val="13"/>
            <c:invertIfNegative val="0"/>
            <c:bubble3D val="0"/>
            <c:spPr>
              <a:solidFill>
                <a:schemeClr val="accent2">
                  <a:lumMod val="80000"/>
                  <a:lumOff val="20000"/>
                </a:schemeClr>
              </a:solidFill>
              <a:ln>
                <a:solidFill>
                  <a:schemeClr val="tx1"/>
                </a:solidFill>
              </a:ln>
              <a:effectLst/>
            </c:spPr>
          </c:dPt>
          <c:dPt>
            <c:idx val="14"/>
            <c:invertIfNegative val="0"/>
            <c:bubble3D val="0"/>
            <c:spPr>
              <a:solidFill>
                <a:schemeClr val="accent3">
                  <a:lumMod val="80000"/>
                  <a:lumOff val="20000"/>
                </a:schemeClr>
              </a:solidFill>
              <a:ln>
                <a:solidFill>
                  <a:schemeClr val="tx1"/>
                </a:solidFill>
              </a:ln>
              <a:effectLst/>
            </c:spPr>
          </c:dPt>
          <c:dPt>
            <c:idx val="15"/>
            <c:invertIfNegative val="0"/>
            <c:bubble3D val="0"/>
            <c:spPr>
              <a:solidFill>
                <a:schemeClr val="accent4">
                  <a:lumMod val="80000"/>
                  <a:lumOff val="20000"/>
                </a:schemeClr>
              </a:solidFill>
              <a:ln>
                <a:solidFill>
                  <a:schemeClr val="tx1"/>
                </a:solidFill>
              </a:ln>
              <a:effectLst/>
            </c:spPr>
          </c:dPt>
          <c:dPt>
            <c:idx val="16"/>
            <c:invertIfNegative val="0"/>
            <c:bubble3D val="0"/>
            <c:spPr>
              <a:solidFill>
                <a:schemeClr val="accent5">
                  <a:lumMod val="80000"/>
                  <a:lumOff val="20000"/>
                </a:schemeClr>
              </a:solidFill>
              <a:ln>
                <a:solidFill>
                  <a:schemeClr val="tx1"/>
                </a:solidFill>
              </a:ln>
              <a:effectLst/>
            </c:spPr>
          </c:dPt>
          <c:dPt>
            <c:idx val="17"/>
            <c:invertIfNegative val="0"/>
            <c:bubble3D val="0"/>
            <c:spPr>
              <a:solidFill>
                <a:schemeClr val="accent6">
                  <a:lumMod val="80000"/>
                  <a:lumOff val="20000"/>
                </a:schemeClr>
              </a:solidFill>
              <a:ln>
                <a:solidFill>
                  <a:schemeClr val="tx1"/>
                </a:solidFill>
              </a:ln>
              <a:effectLst/>
            </c:spPr>
          </c:dPt>
          <c:dPt>
            <c:idx val="18"/>
            <c:invertIfNegative val="0"/>
            <c:bubble3D val="0"/>
            <c:spPr>
              <a:solidFill>
                <a:schemeClr val="accent1">
                  <a:lumMod val="80000"/>
                </a:schemeClr>
              </a:solidFill>
              <a:ln>
                <a:solidFill>
                  <a:schemeClr val="tx1"/>
                </a:solidFill>
              </a:ln>
              <a:effectLst/>
            </c:spPr>
          </c:dPt>
          <c:dPt>
            <c:idx val="19"/>
            <c:invertIfNegative val="0"/>
            <c:bubble3D val="0"/>
            <c:spPr>
              <a:solidFill>
                <a:schemeClr val="accent2">
                  <a:lumMod val="80000"/>
                </a:schemeClr>
              </a:solidFill>
              <a:ln>
                <a:solidFill>
                  <a:schemeClr val="tx1"/>
                </a:solidFill>
              </a:ln>
              <a:effectLst/>
            </c:spPr>
          </c:dPt>
          <c:dPt>
            <c:idx val="20"/>
            <c:invertIfNegative val="0"/>
            <c:bubble3D val="0"/>
            <c:spPr>
              <a:solidFill>
                <a:schemeClr val="accent3">
                  <a:lumMod val="80000"/>
                </a:schemeClr>
              </a:solidFill>
              <a:ln>
                <a:solidFill>
                  <a:schemeClr val="tx1"/>
                </a:solidFill>
              </a:ln>
              <a:effectLst/>
            </c:spPr>
          </c:dPt>
          <c:dPt>
            <c:idx val="21"/>
            <c:invertIfNegative val="0"/>
            <c:bubble3D val="0"/>
            <c:spPr>
              <a:solidFill>
                <a:schemeClr val="accent4">
                  <a:lumMod val="80000"/>
                </a:schemeClr>
              </a:solidFill>
              <a:ln>
                <a:solidFill>
                  <a:schemeClr val="tx1"/>
                </a:solidFill>
              </a:ln>
              <a:effectLst/>
            </c:spPr>
          </c:dPt>
          <c:dPt>
            <c:idx val="22"/>
            <c:invertIfNegative val="0"/>
            <c:bubble3D val="0"/>
            <c:spPr>
              <a:solidFill>
                <a:schemeClr val="accent5">
                  <a:lumMod val="80000"/>
                </a:schemeClr>
              </a:solidFill>
              <a:ln>
                <a:solidFill>
                  <a:schemeClr val="tx1"/>
                </a:solidFill>
              </a:ln>
              <a:effectLst/>
            </c:spPr>
          </c:dPt>
          <c:dPt>
            <c:idx val="23"/>
            <c:invertIfNegative val="0"/>
            <c:bubble3D val="0"/>
            <c:spPr>
              <a:solidFill>
                <a:schemeClr val="accent6">
                  <a:lumMod val="80000"/>
                </a:schemeClr>
              </a:solidFill>
              <a:ln>
                <a:solidFill>
                  <a:schemeClr val="tx1"/>
                </a:solidFill>
              </a:ln>
              <a:effectLst/>
            </c:spPr>
          </c:dPt>
          <c:dPt>
            <c:idx val="24"/>
            <c:invertIfNegative val="0"/>
            <c:bubble3D val="0"/>
            <c:spPr>
              <a:solidFill>
                <a:schemeClr val="accent1">
                  <a:lumMod val="60000"/>
                  <a:lumOff val="40000"/>
                </a:schemeClr>
              </a:solidFill>
              <a:ln>
                <a:solidFill>
                  <a:schemeClr val="tx1"/>
                </a:solidFill>
              </a:ln>
              <a:effectLst/>
            </c:spPr>
          </c:dPt>
          <c:dPt>
            <c:idx val="25"/>
            <c:invertIfNegative val="0"/>
            <c:bubble3D val="0"/>
            <c:spPr>
              <a:solidFill>
                <a:schemeClr val="accent2">
                  <a:lumMod val="60000"/>
                  <a:lumOff val="40000"/>
                </a:schemeClr>
              </a:solidFill>
              <a:ln>
                <a:solidFill>
                  <a:schemeClr val="tx1"/>
                </a:solidFill>
              </a:ln>
              <a:effectLst/>
            </c:spPr>
          </c:dPt>
          <c:dPt>
            <c:idx val="26"/>
            <c:invertIfNegative val="0"/>
            <c:bubble3D val="0"/>
            <c:spPr>
              <a:solidFill>
                <a:schemeClr val="accent3">
                  <a:lumMod val="60000"/>
                  <a:lumOff val="40000"/>
                </a:schemeClr>
              </a:solidFill>
              <a:ln>
                <a:solidFill>
                  <a:schemeClr val="tx1"/>
                </a:solidFill>
              </a:ln>
              <a:effectLst/>
            </c:spPr>
          </c:dPt>
          <c:dPt>
            <c:idx val="27"/>
            <c:invertIfNegative val="0"/>
            <c:bubble3D val="0"/>
            <c:spPr>
              <a:solidFill>
                <a:schemeClr val="accent4">
                  <a:lumMod val="60000"/>
                  <a:lumOff val="40000"/>
                </a:schemeClr>
              </a:solidFill>
              <a:ln>
                <a:solidFill>
                  <a:schemeClr val="tx1"/>
                </a:solidFill>
              </a:ln>
              <a:effectLst/>
            </c:spPr>
          </c:dPt>
          <c:dPt>
            <c:idx val="28"/>
            <c:invertIfNegative val="0"/>
            <c:bubble3D val="0"/>
            <c:spPr>
              <a:solidFill>
                <a:schemeClr val="accent5">
                  <a:lumMod val="60000"/>
                  <a:lumOff val="40000"/>
                </a:schemeClr>
              </a:solidFill>
              <a:ln>
                <a:solidFill>
                  <a:schemeClr val="tx1"/>
                </a:solidFill>
              </a:ln>
              <a:effectLst/>
            </c:spPr>
          </c:dPt>
          <c:dPt>
            <c:idx val="29"/>
            <c:invertIfNegative val="0"/>
            <c:bubble3D val="0"/>
            <c:spPr>
              <a:solidFill>
                <a:schemeClr val="accent6">
                  <a:lumMod val="60000"/>
                  <a:lumOff val="40000"/>
                </a:schemeClr>
              </a:solidFill>
              <a:ln>
                <a:solidFill>
                  <a:schemeClr val="tx1"/>
                </a:solidFill>
              </a:ln>
              <a:effectLst/>
            </c:spPr>
          </c:dPt>
          <c:dPt>
            <c:idx val="30"/>
            <c:invertIfNegative val="0"/>
            <c:bubble3D val="0"/>
            <c:spPr>
              <a:solidFill>
                <a:schemeClr val="accent1">
                  <a:lumMod val="50000"/>
                </a:schemeClr>
              </a:solidFill>
              <a:ln>
                <a:solidFill>
                  <a:schemeClr val="tx1"/>
                </a:solidFill>
              </a:ln>
              <a:effectLst/>
            </c:spPr>
          </c:dPt>
          <c:dPt>
            <c:idx val="31"/>
            <c:invertIfNegative val="0"/>
            <c:bubble3D val="0"/>
            <c:spPr>
              <a:solidFill>
                <a:schemeClr val="accent2">
                  <a:lumMod val="50000"/>
                </a:schemeClr>
              </a:solidFill>
              <a:ln>
                <a:solidFill>
                  <a:schemeClr val="tx1"/>
                </a:solidFill>
              </a:ln>
              <a:effectLst/>
            </c:spPr>
          </c:dPt>
          <c:dPt>
            <c:idx val="32"/>
            <c:invertIfNegative val="0"/>
            <c:bubble3D val="0"/>
            <c:spPr>
              <a:solidFill>
                <a:schemeClr val="accent3">
                  <a:lumMod val="50000"/>
                </a:schemeClr>
              </a:solidFill>
              <a:ln>
                <a:solidFill>
                  <a:schemeClr val="tx1"/>
                </a:solidFill>
              </a:ln>
              <a:effectLst/>
            </c:spPr>
          </c:dPt>
          <c:dPt>
            <c:idx val="33"/>
            <c:invertIfNegative val="0"/>
            <c:bubble3D val="0"/>
            <c:spPr>
              <a:solidFill>
                <a:schemeClr val="accent4">
                  <a:lumMod val="50000"/>
                </a:schemeClr>
              </a:solidFill>
              <a:ln>
                <a:solidFill>
                  <a:schemeClr val="tx1"/>
                </a:solidFill>
              </a:ln>
              <a:effectLst/>
            </c:spPr>
          </c:dPt>
          <c:dPt>
            <c:idx val="34"/>
            <c:invertIfNegative val="0"/>
            <c:bubble3D val="0"/>
            <c:spPr>
              <a:solidFill>
                <a:schemeClr val="accent5">
                  <a:lumMod val="50000"/>
                </a:schemeClr>
              </a:solidFill>
              <a:ln>
                <a:solidFill>
                  <a:schemeClr val="tx1"/>
                </a:solidFill>
              </a:ln>
              <a:effectLst/>
            </c:spPr>
          </c:dPt>
          <c:dPt>
            <c:idx val="35"/>
            <c:invertIfNegative val="0"/>
            <c:bubble3D val="0"/>
            <c:spPr>
              <a:solidFill>
                <a:schemeClr val="accent6">
                  <a:lumMod val="50000"/>
                </a:schemeClr>
              </a:solidFill>
              <a:ln>
                <a:solidFill>
                  <a:schemeClr val="tx1"/>
                </a:solidFill>
              </a:ln>
              <a:effectLst/>
            </c:spPr>
          </c:dPt>
          <c:dPt>
            <c:idx val="36"/>
            <c:invertIfNegative val="0"/>
            <c:bubble3D val="0"/>
            <c:spPr>
              <a:solidFill>
                <a:schemeClr val="accent1">
                  <a:lumMod val="70000"/>
                  <a:lumOff val="30000"/>
                </a:schemeClr>
              </a:solidFill>
              <a:ln>
                <a:solidFill>
                  <a:schemeClr val="tx1"/>
                </a:solidFill>
              </a:ln>
              <a:effectLst/>
            </c:spPr>
          </c:dPt>
          <c:dPt>
            <c:idx val="37"/>
            <c:invertIfNegative val="0"/>
            <c:bubble3D val="0"/>
            <c:spPr>
              <a:solidFill>
                <a:schemeClr val="accent2">
                  <a:lumMod val="70000"/>
                  <a:lumOff val="30000"/>
                </a:schemeClr>
              </a:solidFill>
              <a:ln>
                <a:solidFill>
                  <a:schemeClr val="tx1"/>
                </a:solidFill>
              </a:ln>
              <a:effectLst/>
            </c:spPr>
          </c:dPt>
          <c:dPt>
            <c:idx val="38"/>
            <c:invertIfNegative val="0"/>
            <c:bubble3D val="0"/>
            <c:spPr>
              <a:solidFill>
                <a:schemeClr val="accent3">
                  <a:lumMod val="70000"/>
                  <a:lumOff val="30000"/>
                </a:schemeClr>
              </a:solidFill>
              <a:ln>
                <a:solidFill>
                  <a:schemeClr val="tx1"/>
                </a:solidFill>
              </a:ln>
              <a:effectLst/>
            </c:spPr>
          </c:dPt>
          <c:dPt>
            <c:idx val="39"/>
            <c:invertIfNegative val="0"/>
            <c:bubble3D val="0"/>
            <c:spPr>
              <a:solidFill>
                <a:schemeClr val="accent4">
                  <a:lumMod val="70000"/>
                  <a:lumOff val="30000"/>
                </a:schemeClr>
              </a:solidFill>
              <a:ln>
                <a:solidFill>
                  <a:schemeClr val="tx1"/>
                </a:solidFill>
              </a:ln>
              <a:effectLst/>
            </c:spPr>
          </c:dPt>
          <c:dPt>
            <c:idx val="40"/>
            <c:invertIfNegative val="0"/>
            <c:bubble3D val="0"/>
            <c:spPr>
              <a:solidFill>
                <a:schemeClr val="accent5">
                  <a:lumMod val="70000"/>
                  <a:lumOff val="30000"/>
                </a:schemeClr>
              </a:solidFill>
              <a:ln>
                <a:solidFill>
                  <a:schemeClr val="tx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'Population 2015'!$A$2:$A$42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'Population 2015'!$B$2:$B$42</c:f>
              <c:numCache>
                <c:formatCode>_-* #,##0_-;\-* #,##0_-;_-* "-"??_-;_-@_-</c:formatCode>
                <c:ptCount val="41"/>
                <c:pt idx="1">
                  <c:v>83515</c:v>
                </c:pt>
                <c:pt idx="2">
                  <c:v>128980</c:v>
                </c:pt>
                <c:pt idx="3">
                  <c:v>107127</c:v>
                </c:pt>
                <c:pt idx="4">
                  <c:v>107941</c:v>
                </c:pt>
                <c:pt idx="5">
                  <c:v>89151</c:v>
                </c:pt>
                <c:pt idx="8">
                  <c:v>174787</c:v>
                </c:pt>
                <c:pt idx="9">
                  <c:v>155681</c:v>
                </c:pt>
                <c:pt idx="10">
                  <c:v>119442</c:v>
                </c:pt>
                <c:pt idx="11">
                  <c:v>112310</c:v>
                </c:pt>
                <c:pt idx="12">
                  <c:v>187286</c:v>
                </c:pt>
                <c:pt idx="13">
                  <c:v>165557</c:v>
                </c:pt>
                <c:pt idx="14">
                  <c:v>150661</c:v>
                </c:pt>
                <c:pt idx="17">
                  <c:v>126232</c:v>
                </c:pt>
                <c:pt idx="18">
                  <c:v>150881</c:v>
                </c:pt>
                <c:pt idx="19">
                  <c:v>194006</c:v>
                </c:pt>
                <c:pt idx="20">
                  <c:v>39143</c:v>
                </c:pt>
                <c:pt idx="21">
                  <c:v>166770</c:v>
                </c:pt>
                <c:pt idx="22">
                  <c:v>62602</c:v>
                </c:pt>
                <c:pt idx="23">
                  <c:v>195397</c:v>
                </c:pt>
                <c:pt idx="26">
                  <c:v>101321</c:v>
                </c:pt>
                <c:pt idx="27">
                  <c:v>90884</c:v>
                </c:pt>
                <c:pt idx="28">
                  <c:v>292211</c:v>
                </c:pt>
                <c:pt idx="29">
                  <c:v>135971</c:v>
                </c:pt>
                <c:pt idx="30">
                  <c:v>146303</c:v>
                </c:pt>
                <c:pt idx="31">
                  <c:v>152739</c:v>
                </c:pt>
                <c:pt idx="32">
                  <c:v>154477</c:v>
                </c:pt>
                <c:pt idx="33">
                  <c:v>155015</c:v>
                </c:pt>
                <c:pt idx="36">
                  <c:v>199432</c:v>
                </c:pt>
                <c:pt idx="37">
                  <c:v>92761</c:v>
                </c:pt>
                <c:pt idx="38">
                  <c:v>132752</c:v>
                </c:pt>
                <c:pt idx="39">
                  <c:v>119583</c:v>
                </c:pt>
                <c:pt idx="40">
                  <c:v>209847</c:v>
                </c:pt>
              </c:numCache>
            </c:numRef>
          </c:val>
        </c:ser>
        <c:dLbls>
          <c:showLegendKey val="0"/>
          <c:showVal val="0"/>
          <c:showCatName val="0"/>
          <c:showSerName val="0"/>
          <c:showPercent val="0"/>
          <c:showBubbleSize val="0"/>
        </c:dLbls>
        <c:gapWidth val="25"/>
        <c:axId val="764392592"/>
        <c:axId val="764393152"/>
      </c:barChart>
      <c:catAx>
        <c:axId val="7643925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64393152"/>
        <c:crosses val="autoZero"/>
        <c:auto val="1"/>
        <c:lblAlgn val="ctr"/>
        <c:lblOffset val="100"/>
        <c:noMultiLvlLbl val="0"/>
      </c:catAx>
      <c:valAx>
        <c:axId val="764393152"/>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3925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200"/>
              <a:t>Population</a:t>
            </a:r>
            <a:r>
              <a:rPr lang="en-AU" sz="1200" baseline="0"/>
              <a:t> of LGAs at 30 June 2015 -</a:t>
            </a:r>
          </a:p>
          <a:p>
            <a:pPr algn="l">
              <a:defRPr/>
            </a:pPr>
            <a:r>
              <a:rPr lang="en-AU" sz="1200" baseline="0"/>
              <a:t>Regional Victoria</a:t>
            </a:r>
          </a:p>
          <a:p>
            <a:pPr algn="l">
              <a:defRPr/>
            </a:pPr>
            <a:r>
              <a:rPr lang="en-AU" sz="900" baseline="0"/>
              <a:t>Source: ABS 3218.0</a:t>
            </a:r>
            <a:endParaRPr lang="en-AU" sz="900"/>
          </a:p>
        </c:rich>
      </c:tx>
      <c:layout>
        <c:manualLayout>
          <c:xMode val="edge"/>
          <c:yMode val="edge"/>
          <c:x val="1.0010010010011574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1"/>
        <c:ser>
          <c:idx val="0"/>
          <c:order val="0"/>
          <c:spPr>
            <a:ln>
              <a:solidFill>
                <a:schemeClr val="tx1"/>
              </a:solidFill>
            </a:ln>
          </c:spPr>
          <c:invertIfNegative val="0"/>
          <c:dPt>
            <c:idx val="0"/>
            <c:invertIfNegative val="0"/>
            <c:bubble3D val="0"/>
            <c:spPr>
              <a:solidFill>
                <a:schemeClr val="accent1"/>
              </a:solidFill>
              <a:ln>
                <a:solidFill>
                  <a:schemeClr val="tx1"/>
                </a:solidFill>
              </a:ln>
              <a:effectLst/>
            </c:spPr>
          </c:dPt>
          <c:dPt>
            <c:idx val="1"/>
            <c:invertIfNegative val="0"/>
            <c:bubble3D val="0"/>
            <c:spPr>
              <a:solidFill>
                <a:schemeClr val="accent2"/>
              </a:solidFill>
              <a:ln>
                <a:solidFill>
                  <a:schemeClr val="tx1"/>
                </a:solidFill>
              </a:ln>
              <a:effectLst/>
            </c:spPr>
          </c:dPt>
          <c:dPt>
            <c:idx val="2"/>
            <c:invertIfNegative val="0"/>
            <c:bubble3D val="0"/>
            <c:spPr>
              <a:solidFill>
                <a:schemeClr val="accent3"/>
              </a:solidFill>
              <a:ln>
                <a:solidFill>
                  <a:schemeClr val="tx1"/>
                </a:solidFill>
              </a:ln>
              <a:effectLst/>
            </c:spPr>
          </c:dPt>
          <c:dPt>
            <c:idx val="3"/>
            <c:invertIfNegative val="0"/>
            <c:bubble3D val="0"/>
            <c:spPr>
              <a:solidFill>
                <a:schemeClr val="accent4"/>
              </a:solidFill>
              <a:ln>
                <a:solidFill>
                  <a:schemeClr val="tx1"/>
                </a:solidFill>
              </a:ln>
              <a:effectLst/>
            </c:spPr>
          </c:dPt>
          <c:dPt>
            <c:idx val="4"/>
            <c:invertIfNegative val="0"/>
            <c:bubble3D val="0"/>
            <c:spPr>
              <a:solidFill>
                <a:schemeClr val="accent5"/>
              </a:solidFill>
              <a:ln>
                <a:solidFill>
                  <a:schemeClr val="tx1"/>
                </a:solidFill>
              </a:ln>
              <a:effectLst/>
            </c:spPr>
          </c:dPt>
          <c:dPt>
            <c:idx val="5"/>
            <c:invertIfNegative val="0"/>
            <c:bubble3D val="0"/>
            <c:spPr>
              <a:solidFill>
                <a:schemeClr val="accent6"/>
              </a:solidFill>
              <a:ln>
                <a:solidFill>
                  <a:schemeClr val="tx1"/>
                </a:solidFill>
              </a:ln>
              <a:effectLst/>
            </c:spPr>
          </c:dPt>
          <c:dPt>
            <c:idx val="6"/>
            <c:invertIfNegative val="0"/>
            <c:bubble3D val="0"/>
            <c:spPr>
              <a:solidFill>
                <a:schemeClr val="accent1">
                  <a:lumMod val="60000"/>
                </a:schemeClr>
              </a:solidFill>
              <a:ln>
                <a:solidFill>
                  <a:schemeClr val="tx1"/>
                </a:solidFill>
              </a:ln>
              <a:effectLst/>
            </c:spPr>
          </c:dPt>
          <c:dPt>
            <c:idx val="7"/>
            <c:invertIfNegative val="0"/>
            <c:bubble3D val="0"/>
            <c:spPr>
              <a:solidFill>
                <a:schemeClr val="accent2">
                  <a:lumMod val="60000"/>
                </a:schemeClr>
              </a:solidFill>
              <a:ln>
                <a:solidFill>
                  <a:schemeClr val="tx1"/>
                </a:solidFill>
              </a:ln>
              <a:effectLst/>
            </c:spPr>
          </c:dPt>
          <c:dPt>
            <c:idx val="8"/>
            <c:invertIfNegative val="0"/>
            <c:bubble3D val="0"/>
            <c:spPr>
              <a:solidFill>
                <a:schemeClr val="accent3">
                  <a:lumMod val="60000"/>
                </a:schemeClr>
              </a:solidFill>
              <a:ln>
                <a:solidFill>
                  <a:schemeClr val="tx1"/>
                </a:solidFill>
              </a:ln>
              <a:effectLst/>
            </c:spPr>
          </c:dPt>
          <c:dPt>
            <c:idx val="9"/>
            <c:invertIfNegative val="0"/>
            <c:bubble3D val="0"/>
            <c:spPr>
              <a:solidFill>
                <a:schemeClr val="accent4">
                  <a:lumMod val="60000"/>
                </a:schemeClr>
              </a:solidFill>
              <a:ln>
                <a:solidFill>
                  <a:schemeClr val="tx1"/>
                </a:solidFill>
              </a:ln>
              <a:effectLst/>
            </c:spPr>
          </c:dPt>
          <c:dPt>
            <c:idx val="10"/>
            <c:invertIfNegative val="0"/>
            <c:bubble3D val="0"/>
            <c:spPr>
              <a:solidFill>
                <a:schemeClr val="accent5">
                  <a:lumMod val="60000"/>
                </a:schemeClr>
              </a:solidFill>
              <a:ln>
                <a:solidFill>
                  <a:schemeClr val="tx1"/>
                </a:solidFill>
              </a:ln>
              <a:effectLst/>
            </c:spPr>
          </c:dPt>
          <c:dPt>
            <c:idx val="11"/>
            <c:invertIfNegative val="0"/>
            <c:bubble3D val="0"/>
            <c:spPr>
              <a:solidFill>
                <a:schemeClr val="accent6">
                  <a:lumMod val="60000"/>
                </a:schemeClr>
              </a:solidFill>
              <a:ln>
                <a:solidFill>
                  <a:schemeClr val="tx1"/>
                </a:solidFill>
              </a:ln>
              <a:effectLst/>
            </c:spPr>
          </c:dPt>
          <c:dPt>
            <c:idx val="12"/>
            <c:invertIfNegative val="0"/>
            <c:bubble3D val="0"/>
            <c:spPr>
              <a:solidFill>
                <a:schemeClr val="accent1">
                  <a:lumMod val="80000"/>
                  <a:lumOff val="20000"/>
                </a:schemeClr>
              </a:solidFill>
              <a:ln>
                <a:solidFill>
                  <a:schemeClr val="tx1"/>
                </a:solidFill>
              </a:ln>
              <a:effectLst/>
            </c:spPr>
          </c:dPt>
          <c:dPt>
            <c:idx val="13"/>
            <c:invertIfNegative val="0"/>
            <c:bubble3D val="0"/>
            <c:spPr>
              <a:solidFill>
                <a:schemeClr val="accent2">
                  <a:lumMod val="80000"/>
                  <a:lumOff val="20000"/>
                </a:schemeClr>
              </a:solidFill>
              <a:ln>
                <a:solidFill>
                  <a:schemeClr val="tx1"/>
                </a:solidFill>
              </a:ln>
              <a:effectLst/>
            </c:spPr>
          </c:dPt>
          <c:dPt>
            <c:idx val="14"/>
            <c:invertIfNegative val="0"/>
            <c:bubble3D val="0"/>
            <c:spPr>
              <a:solidFill>
                <a:schemeClr val="accent3">
                  <a:lumMod val="80000"/>
                  <a:lumOff val="20000"/>
                </a:schemeClr>
              </a:solidFill>
              <a:ln>
                <a:solidFill>
                  <a:schemeClr val="tx1"/>
                </a:solidFill>
              </a:ln>
              <a:effectLst/>
            </c:spPr>
          </c:dPt>
          <c:dPt>
            <c:idx val="15"/>
            <c:invertIfNegative val="0"/>
            <c:bubble3D val="0"/>
            <c:spPr>
              <a:solidFill>
                <a:schemeClr val="accent4">
                  <a:lumMod val="80000"/>
                  <a:lumOff val="20000"/>
                </a:schemeClr>
              </a:solidFill>
              <a:ln>
                <a:solidFill>
                  <a:schemeClr val="tx1"/>
                </a:solidFill>
              </a:ln>
              <a:effectLst/>
            </c:spPr>
          </c:dPt>
          <c:dPt>
            <c:idx val="16"/>
            <c:invertIfNegative val="0"/>
            <c:bubble3D val="0"/>
            <c:spPr>
              <a:solidFill>
                <a:schemeClr val="accent5">
                  <a:lumMod val="80000"/>
                  <a:lumOff val="20000"/>
                </a:schemeClr>
              </a:solidFill>
              <a:ln>
                <a:solidFill>
                  <a:schemeClr val="tx1"/>
                </a:solidFill>
              </a:ln>
              <a:effectLst/>
            </c:spPr>
          </c:dPt>
          <c:dPt>
            <c:idx val="17"/>
            <c:invertIfNegative val="0"/>
            <c:bubble3D val="0"/>
            <c:spPr>
              <a:solidFill>
                <a:schemeClr val="accent6">
                  <a:lumMod val="80000"/>
                  <a:lumOff val="20000"/>
                </a:schemeClr>
              </a:solidFill>
              <a:ln>
                <a:solidFill>
                  <a:schemeClr val="tx1"/>
                </a:solidFill>
              </a:ln>
              <a:effectLst/>
            </c:spPr>
          </c:dPt>
          <c:dPt>
            <c:idx val="18"/>
            <c:invertIfNegative val="0"/>
            <c:bubble3D val="0"/>
            <c:spPr>
              <a:solidFill>
                <a:schemeClr val="accent1">
                  <a:lumMod val="80000"/>
                </a:schemeClr>
              </a:solidFill>
              <a:ln>
                <a:solidFill>
                  <a:schemeClr val="tx1"/>
                </a:solidFill>
              </a:ln>
              <a:effectLst/>
            </c:spPr>
          </c:dPt>
          <c:dPt>
            <c:idx val="19"/>
            <c:invertIfNegative val="0"/>
            <c:bubble3D val="0"/>
            <c:spPr>
              <a:solidFill>
                <a:schemeClr val="accent2">
                  <a:lumMod val="80000"/>
                </a:schemeClr>
              </a:solidFill>
              <a:ln>
                <a:solidFill>
                  <a:schemeClr val="tx1"/>
                </a:solidFill>
              </a:ln>
              <a:effectLst/>
            </c:spPr>
          </c:dPt>
          <c:dPt>
            <c:idx val="20"/>
            <c:invertIfNegative val="0"/>
            <c:bubble3D val="0"/>
            <c:spPr>
              <a:solidFill>
                <a:schemeClr val="accent3">
                  <a:lumMod val="80000"/>
                </a:schemeClr>
              </a:solidFill>
              <a:ln>
                <a:solidFill>
                  <a:schemeClr val="tx1"/>
                </a:solidFill>
              </a:ln>
              <a:effectLst/>
            </c:spPr>
          </c:dPt>
          <c:dPt>
            <c:idx val="21"/>
            <c:invertIfNegative val="0"/>
            <c:bubble3D val="0"/>
            <c:spPr>
              <a:solidFill>
                <a:schemeClr val="accent4">
                  <a:lumMod val="80000"/>
                </a:schemeClr>
              </a:solidFill>
              <a:ln>
                <a:solidFill>
                  <a:schemeClr val="tx1"/>
                </a:solidFill>
              </a:ln>
              <a:effectLst/>
            </c:spPr>
          </c:dPt>
          <c:dPt>
            <c:idx val="22"/>
            <c:invertIfNegative val="0"/>
            <c:bubble3D val="0"/>
            <c:spPr>
              <a:solidFill>
                <a:schemeClr val="accent5">
                  <a:lumMod val="80000"/>
                </a:schemeClr>
              </a:solidFill>
              <a:ln>
                <a:solidFill>
                  <a:schemeClr val="tx1"/>
                </a:solidFill>
              </a:ln>
              <a:effectLst/>
            </c:spPr>
          </c:dPt>
          <c:dPt>
            <c:idx val="23"/>
            <c:invertIfNegative val="0"/>
            <c:bubble3D val="0"/>
            <c:spPr>
              <a:solidFill>
                <a:schemeClr val="accent6">
                  <a:lumMod val="80000"/>
                </a:schemeClr>
              </a:solidFill>
              <a:ln>
                <a:solidFill>
                  <a:schemeClr val="tx1"/>
                </a:solidFill>
              </a:ln>
              <a:effectLst/>
            </c:spPr>
          </c:dPt>
          <c:dPt>
            <c:idx val="24"/>
            <c:invertIfNegative val="0"/>
            <c:bubble3D val="0"/>
            <c:spPr>
              <a:solidFill>
                <a:schemeClr val="accent1">
                  <a:lumMod val="60000"/>
                  <a:lumOff val="40000"/>
                </a:schemeClr>
              </a:solidFill>
              <a:ln>
                <a:solidFill>
                  <a:schemeClr val="tx1"/>
                </a:solidFill>
              </a:ln>
              <a:effectLst/>
            </c:spPr>
          </c:dPt>
          <c:dPt>
            <c:idx val="25"/>
            <c:invertIfNegative val="0"/>
            <c:bubble3D val="0"/>
            <c:spPr>
              <a:solidFill>
                <a:schemeClr val="accent2">
                  <a:lumMod val="60000"/>
                  <a:lumOff val="40000"/>
                </a:schemeClr>
              </a:solidFill>
              <a:ln>
                <a:solidFill>
                  <a:schemeClr val="tx1"/>
                </a:solidFill>
              </a:ln>
              <a:effectLst/>
            </c:spPr>
          </c:dPt>
          <c:dPt>
            <c:idx val="26"/>
            <c:invertIfNegative val="0"/>
            <c:bubble3D val="0"/>
            <c:spPr>
              <a:solidFill>
                <a:schemeClr val="accent3">
                  <a:lumMod val="60000"/>
                  <a:lumOff val="40000"/>
                </a:schemeClr>
              </a:solidFill>
              <a:ln>
                <a:solidFill>
                  <a:schemeClr val="tx1"/>
                </a:solidFill>
              </a:ln>
              <a:effectLst/>
            </c:spPr>
          </c:dPt>
          <c:dPt>
            <c:idx val="27"/>
            <c:invertIfNegative val="0"/>
            <c:bubble3D val="0"/>
            <c:spPr>
              <a:solidFill>
                <a:schemeClr val="accent4">
                  <a:lumMod val="60000"/>
                  <a:lumOff val="40000"/>
                </a:schemeClr>
              </a:solidFill>
              <a:ln>
                <a:solidFill>
                  <a:schemeClr val="tx1"/>
                </a:solidFill>
              </a:ln>
              <a:effectLst/>
            </c:spPr>
          </c:dPt>
          <c:dPt>
            <c:idx val="28"/>
            <c:invertIfNegative val="0"/>
            <c:bubble3D val="0"/>
            <c:spPr>
              <a:solidFill>
                <a:schemeClr val="accent5">
                  <a:lumMod val="60000"/>
                  <a:lumOff val="40000"/>
                </a:schemeClr>
              </a:solidFill>
              <a:ln>
                <a:solidFill>
                  <a:schemeClr val="tx1"/>
                </a:solidFill>
              </a:ln>
              <a:effectLst/>
            </c:spPr>
          </c:dPt>
          <c:dPt>
            <c:idx val="29"/>
            <c:invertIfNegative val="0"/>
            <c:bubble3D val="0"/>
            <c:spPr>
              <a:solidFill>
                <a:schemeClr val="accent6">
                  <a:lumMod val="60000"/>
                  <a:lumOff val="40000"/>
                </a:schemeClr>
              </a:solidFill>
              <a:ln>
                <a:solidFill>
                  <a:schemeClr val="tx1"/>
                </a:solidFill>
              </a:ln>
              <a:effectLst/>
            </c:spPr>
          </c:dPt>
          <c:dPt>
            <c:idx val="30"/>
            <c:invertIfNegative val="0"/>
            <c:bubble3D val="0"/>
            <c:spPr>
              <a:solidFill>
                <a:schemeClr val="accent1">
                  <a:lumMod val="50000"/>
                </a:schemeClr>
              </a:solidFill>
              <a:ln>
                <a:solidFill>
                  <a:schemeClr val="tx1"/>
                </a:solidFill>
              </a:ln>
              <a:effectLst/>
            </c:spPr>
          </c:dPt>
          <c:dPt>
            <c:idx val="31"/>
            <c:invertIfNegative val="0"/>
            <c:bubble3D val="0"/>
            <c:spPr>
              <a:solidFill>
                <a:schemeClr val="accent2">
                  <a:lumMod val="50000"/>
                </a:schemeClr>
              </a:solidFill>
              <a:ln>
                <a:solidFill>
                  <a:schemeClr val="tx1"/>
                </a:solidFill>
              </a:ln>
              <a:effectLst/>
            </c:spPr>
          </c:dPt>
          <c:dPt>
            <c:idx val="32"/>
            <c:invertIfNegative val="0"/>
            <c:bubble3D val="0"/>
            <c:spPr>
              <a:solidFill>
                <a:schemeClr val="accent3">
                  <a:lumMod val="50000"/>
                </a:schemeClr>
              </a:solidFill>
              <a:ln>
                <a:solidFill>
                  <a:schemeClr val="tx1"/>
                </a:solidFill>
              </a:ln>
              <a:effectLst/>
            </c:spPr>
          </c:dPt>
          <c:dPt>
            <c:idx val="33"/>
            <c:invertIfNegative val="0"/>
            <c:bubble3D val="0"/>
            <c:spPr>
              <a:solidFill>
                <a:schemeClr val="accent4">
                  <a:lumMod val="50000"/>
                </a:schemeClr>
              </a:solidFill>
              <a:ln>
                <a:solidFill>
                  <a:schemeClr val="tx1"/>
                </a:solidFill>
              </a:ln>
              <a:effectLst/>
            </c:spPr>
          </c:dPt>
          <c:dPt>
            <c:idx val="34"/>
            <c:invertIfNegative val="0"/>
            <c:bubble3D val="0"/>
            <c:spPr>
              <a:solidFill>
                <a:schemeClr val="accent5">
                  <a:lumMod val="50000"/>
                </a:schemeClr>
              </a:solidFill>
              <a:ln>
                <a:solidFill>
                  <a:schemeClr val="tx1"/>
                </a:solidFill>
              </a:ln>
              <a:effectLst/>
            </c:spPr>
          </c:dPt>
          <c:dPt>
            <c:idx val="35"/>
            <c:invertIfNegative val="0"/>
            <c:bubble3D val="0"/>
            <c:spPr>
              <a:solidFill>
                <a:schemeClr val="accent6">
                  <a:lumMod val="50000"/>
                </a:schemeClr>
              </a:solidFill>
              <a:ln>
                <a:solidFill>
                  <a:schemeClr val="tx1"/>
                </a:solidFill>
              </a:ln>
              <a:effectLst/>
            </c:spPr>
          </c:dPt>
          <c:dPt>
            <c:idx val="36"/>
            <c:invertIfNegative val="0"/>
            <c:bubble3D val="0"/>
            <c:spPr>
              <a:solidFill>
                <a:schemeClr val="accent1">
                  <a:lumMod val="70000"/>
                  <a:lumOff val="30000"/>
                </a:schemeClr>
              </a:solidFill>
              <a:ln>
                <a:solidFill>
                  <a:schemeClr val="tx1"/>
                </a:solidFill>
              </a:ln>
              <a:effectLst/>
            </c:spPr>
          </c:dPt>
          <c:dPt>
            <c:idx val="37"/>
            <c:invertIfNegative val="0"/>
            <c:bubble3D val="0"/>
            <c:spPr>
              <a:solidFill>
                <a:schemeClr val="accent2">
                  <a:lumMod val="70000"/>
                  <a:lumOff val="30000"/>
                </a:schemeClr>
              </a:solidFill>
              <a:ln>
                <a:solidFill>
                  <a:schemeClr val="tx1"/>
                </a:solidFill>
              </a:ln>
              <a:effectLst/>
            </c:spPr>
          </c:dPt>
          <c:dPt>
            <c:idx val="38"/>
            <c:invertIfNegative val="0"/>
            <c:bubble3D val="0"/>
            <c:spPr>
              <a:solidFill>
                <a:schemeClr val="accent3">
                  <a:lumMod val="70000"/>
                  <a:lumOff val="30000"/>
                </a:schemeClr>
              </a:solidFill>
              <a:ln>
                <a:solidFill>
                  <a:schemeClr val="tx1"/>
                </a:solidFill>
              </a:ln>
              <a:effectLst/>
            </c:spPr>
          </c:dPt>
          <c:dPt>
            <c:idx val="39"/>
            <c:invertIfNegative val="0"/>
            <c:bubble3D val="0"/>
            <c:spPr>
              <a:solidFill>
                <a:schemeClr val="accent4">
                  <a:lumMod val="70000"/>
                  <a:lumOff val="30000"/>
                </a:schemeClr>
              </a:solidFill>
              <a:ln>
                <a:solidFill>
                  <a:schemeClr val="tx1"/>
                </a:solidFill>
              </a:ln>
              <a:effectLst/>
            </c:spPr>
          </c:dPt>
          <c:dPt>
            <c:idx val="40"/>
            <c:invertIfNegative val="0"/>
            <c:bubble3D val="0"/>
            <c:spPr>
              <a:solidFill>
                <a:schemeClr val="accent5">
                  <a:lumMod val="70000"/>
                  <a:lumOff val="30000"/>
                </a:schemeClr>
              </a:solidFill>
              <a:ln>
                <a:solidFill>
                  <a:schemeClr val="tx1"/>
                </a:solidFill>
              </a:ln>
              <a:effectLst/>
            </c:spPr>
          </c:dPt>
          <c:dPt>
            <c:idx val="41"/>
            <c:invertIfNegative val="0"/>
            <c:bubble3D val="0"/>
            <c:spPr>
              <a:solidFill>
                <a:schemeClr val="accent6">
                  <a:lumMod val="70000"/>
                  <a:lumOff val="30000"/>
                </a:schemeClr>
              </a:solidFill>
              <a:ln>
                <a:solidFill>
                  <a:schemeClr val="tx1"/>
                </a:solidFill>
              </a:ln>
              <a:effectLst/>
            </c:spPr>
          </c:dPt>
          <c:dPt>
            <c:idx val="42"/>
            <c:invertIfNegative val="0"/>
            <c:bubble3D val="0"/>
            <c:spPr>
              <a:solidFill>
                <a:schemeClr val="accent1">
                  <a:lumMod val="70000"/>
                </a:schemeClr>
              </a:solidFill>
              <a:ln>
                <a:solidFill>
                  <a:schemeClr val="tx1"/>
                </a:solidFill>
              </a:ln>
              <a:effectLst/>
            </c:spPr>
          </c:dPt>
          <c:dPt>
            <c:idx val="43"/>
            <c:invertIfNegative val="0"/>
            <c:bubble3D val="0"/>
            <c:spPr>
              <a:solidFill>
                <a:schemeClr val="accent2">
                  <a:lumMod val="70000"/>
                </a:schemeClr>
              </a:solidFill>
              <a:ln>
                <a:solidFill>
                  <a:schemeClr val="tx1"/>
                </a:solidFill>
              </a:ln>
              <a:effectLst/>
            </c:spPr>
          </c:dPt>
          <c:dPt>
            <c:idx val="44"/>
            <c:invertIfNegative val="0"/>
            <c:bubble3D val="0"/>
            <c:spPr>
              <a:solidFill>
                <a:schemeClr val="accent3">
                  <a:lumMod val="70000"/>
                </a:schemeClr>
              </a:solidFill>
              <a:ln>
                <a:solidFill>
                  <a:schemeClr val="tx1"/>
                </a:solidFill>
              </a:ln>
              <a:effectLst/>
            </c:spPr>
          </c:dPt>
          <c:dPt>
            <c:idx val="45"/>
            <c:invertIfNegative val="0"/>
            <c:bubble3D val="0"/>
            <c:spPr>
              <a:solidFill>
                <a:schemeClr val="accent4">
                  <a:lumMod val="70000"/>
                </a:schemeClr>
              </a:solidFill>
              <a:ln>
                <a:solidFill>
                  <a:schemeClr val="tx1"/>
                </a:solidFill>
              </a:ln>
              <a:effectLst/>
            </c:spPr>
          </c:dPt>
          <c:dPt>
            <c:idx val="46"/>
            <c:invertIfNegative val="0"/>
            <c:bubble3D val="0"/>
            <c:spPr>
              <a:solidFill>
                <a:schemeClr val="accent5">
                  <a:lumMod val="70000"/>
                </a:schemeClr>
              </a:solidFill>
              <a:ln>
                <a:solidFill>
                  <a:schemeClr val="tx1"/>
                </a:solidFill>
              </a:ln>
              <a:effectLst/>
            </c:spPr>
          </c:dPt>
          <c:dPt>
            <c:idx val="47"/>
            <c:invertIfNegative val="0"/>
            <c:bubble3D val="0"/>
            <c:spPr>
              <a:solidFill>
                <a:schemeClr val="accent6">
                  <a:lumMod val="70000"/>
                </a:schemeClr>
              </a:solidFill>
              <a:ln>
                <a:solidFill>
                  <a:schemeClr val="tx1"/>
                </a:solidFill>
              </a:ln>
              <a:effectLst/>
            </c:spPr>
          </c:dPt>
          <c:dPt>
            <c:idx val="48"/>
            <c:invertIfNegative val="0"/>
            <c:bubble3D val="0"/>
            <c:spPr>
              <a:solidFill>
                <a:schemeClr val="accent1">
                  <a:lumMod val="50000"/>
                  <a:lumOff val="50000"/>
                </a:schemeClr>
              </a:solidFill>
              <a:ln>
                <a:solidFill>
                  <a:schemeClr val="tx1"/>
                </a:solidFill>
              </a:ln>
              <a:effectLst/>
            </c:spPr>
          </c:dPt>
          <c:dPt>
            <c:idx val="49"/>
            <c:invertIfNegative val="0"/>
            <c:bubble3D val="0"/>
            <c:spPr>
              <a:solidFill>
                <a:schemeClr val="accent2">
                  <a:lumMod val="50000"/>
                  <a:lumOff val="50000"/>
                </a:schemeClr>
              </a:solidFill>
              <a:ln>
                <a:solidFill>
                  <a:schemeClr val="tx1"/>
                </a:solidFill>
              </a:ln>
              <a:effectLst/>
            </c:spPr>
          </c:dPt>
          <c:dPt>
            <c:idx val="50"/>
            <c:invertIfNegative val="0"/>
            <c:bubble3D val="0"/>
            <c:spPr>
              <a:solidFill>
                <a:schemeClr val="accent3">
                  <a:lumMod val="50000"/>
                  <a:lumOff val="50000"/>
                </a:schemeClr>
              </a:solidFill>
              <a:ln>
                <a:solidFill>
                  <a:schemeClr val="tx1"/>
                </a:solidFill>
              </a:ln>
              <a:effectLst/>
            </c:spPr>
          </c:dPt>
          <c:dPt>
            <c:idx val="51"/>
            <c:invertIfNegative val="0"/>
            <c:bubble3D val="0"/>
            <c:spPr>
              <a:solidFill>
                <a:schemeClr val="accent4">
                  <a:lumMod val="50000"/>
                  <a:lumOff val="50000"/>
                </a:schemeClr>
              </a:solidFill>
              <a:ln>
                <a:solidFill>
                  <a:schemeClr val="tx1"/>
                </a:solidFill>
              </a:ln>
              <a:effectLst/>
            </c:spPr>
          </c:dPt>
          <c:dPt>
            <c:idx val="52"/>
            <c:invertIfNegative val="0"/>
            <c:bubble3D val="0"/>
            <c:spPr>
              <a:solidFill>
                <a:schemeClr val="accent5">
                  <a:lumMod val="50000"/>
                  <a:lumOff val="50000"/>
                </a:schemeClr>
              </a:solidFill>
              <a:ln>
                <a:solidFill>
                  <a:schemeClr val="tx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'Population 2015'!$A$44:$A$96</c:f>
              <c:strCache>
                <c:ptCount val="53"/>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Regionial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pt idx="52">
                  <c:v>Unincorporated Vic</c:v>
                </c:pt>
              </c:strCache>
            </c:strRef>
          </c:cat>
          <c:val>
            <c:numRef>
              <c:f>'Population 2015'!$B$44:$B$96</c:f>
              <c:numCache>
                <c:formatCode>_-* #,##0_-;\-* #,##0_-;_-* "-"??_-;_-@_-</c:formatCode>
                <c:ptCount val="53"/>
                <c:pt idx="1">
                  <c:v>101578</c:v>
                </c:pt>
                <c:pt idx="2">
                  <c:v>108437</c:v>
                </c:pt>
                <c:pt idx="3">
                  <c:v>229420</c:v>
                </c:pt>
                <c:pt idx="4">
                  <c:v>63366</c:v>
                </c:pt>
                <c:pt idx="5">
                  <c:v>19774</c:v>
                </c:pt>
                <c:pt idx="6">
                  <c:v>73548</c:v>
                </c:pt>
                <c:pt idx="7">
                  <c:v>53015</c:v>
                </c:pt>
                <c:pt idx="8">
                  <c:v>27065</c:v>
                </c:pt>
                <c:pt idx="9">
                  <c:v>33644</c:v>
                </c:pt>
                <c:pt idx="10">
                  <c:v>38559</c:v>
                </c:pt>
                <c:pt idx="13">
                  <c:v>32033</c:v>
                </c:pt>
                <c:pt idx="14">
                  <c:v>46638</c:v>
                </c:pt>
                <c:pt idx="15">
                  <c:v>20809</c:v>
                </c:pt>
                <c:pt idx="16">
                  <c:v>45308</c:v>
                </c:pt>
                <c:pt idx="17">
                  <c:v>31496</c:v>
                </c:pt>
                <c:pt idx="18">
                  <c:v>13693</c:v>
                </c:pt>
                <c:pt idx="19">
                  <c:v>3017</c:v>
                </c:pt>
                <c:pt idx="20">
                  <c:v>27706</c:v>
                </c:pt>
                <c:pt idx="21">
                  <c:v>28941</c:v>
                </c:pt>
                <c:pt idx="24">
                  <c:v>11858</c:v>
                </c:pt>
                <c:pt idx="25">
                  <c:v>11028</c:v>
                </c:pt>
                <c:pt idx="26">
                  <c:v>13496</c:v>
                </c:pt>
                <c:pt idx="27">
                  <c:v>5952</c:v>
                </c:pt>
                <c:pt idx="28">
                  <c:v>36747</c:v>
                </c:pt>
                <c:pt idx="29">
                  <c:v>12575</c:v>
                </c:pt>
                <c:pt idx="30">
                  <c:v>20255</c:v>
                </c:pt>
                <c:pt idx="31">
                  <c:v>15671</c:v>
                </c:pt>
                <c:pt idx="32">
                  <c:v>43995</c:v>
                </c:pt>
                <c:pt idx="33">
                  <c:v>10019</c:v>
                </c:pt>
                <c:pt idx="34">
                  <c:v>19158</c:v>
                </c:pt>
                <c:pt idx="35">
                  <c:v>14794</c:v>
                </c:pt>
                <c:pt idx="36">
                  <c:v>5494</c:v>
                </c:pt>
                <c:pt idx="37">
                  <c:v>15431</c:v>
                </c:pt>
                <c:pt idx="38">
                  <c:v>7283</c:v>
                </c:pt>
                <c:pt idx="39">
                  <c:v>8300</c:v>
                </c:pt>
                <c:pt idx="40">
                  <c:v>28820</c:v>
                </c:pt>
                <c:pt idx="41">
                  <c:v>18130</c:v>
                </c:pt>
                <c:pt idx="42">
                  <c:v>16229</c:v>
                </c:pt>
                <c:pt idx="43">
                  <c:v>11509</c:v>
                </c:pt>
                <c:pt idx="44">
                  <c:v>6822</c:v>
                </c:pt>
                <c:pt idx="45">
                  <c:v>15751</c:v>
                </c:pt>
                <c:pt idx="46">
                  <c:v>9826</c:v>
                </c:pt>
                <c:pt idx="47">
                  <c:v>20409</c:v>
                </c:pt>
                <c:pt idx="48">
                  <c:v>5762</c:v>
                </c:pt>
                <c:pt idx="49">
                  <c:v>41965</c:v>
                </c:pt>
                <c:pt idx="50">
                  <c:v>3879</c:v>
                </c:pt>
                <c:pt idx="51">
                  <c:v>6759</c:v>
                </c:pt>
                <c:pt idx="52">
                  <c:v>752</c:v>
                </c:pt>
              </c:numCache>
            </c:numRef>
          </c:val>
        </c:ser>
        <c:dLbls>
          <c:showLegendKey val="0"/>
          <c:showVal val="0"/>
          <c:showCatName val="0"/>
          <c:showSerName val="0"/>
          <c:showPercent val="0"/>
          <c:showBubbleSize val="0"/>
        </c:dLbls>
        <c:gapWidth val="25"/>
        <c:axId val="764395392"/>
        <c:axId val="764395952"/>
      </c:barChart>
      <c:catAx>
        <c:axId val="76439539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64395952"/>
        <c:crosses val="autoZero"/>
        <c:auto val="1"/>
        <c:lblAlgn val="ctr"/>
        <c:lblOffset val="100"/>
        <c:noMultiLvlLbl val="0"/>
      </c:catAx>
      <c:valAx>
        <c:axId val="764395952"/>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3953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400" b="0" i="0" baseline="0">
                <a:effectLst/>
              </a:rPr>
              <a:t>Number of Cordell Connect Projects By Stage</a:t>
            </a:r>
            <a:endParaRPr lang="en-AU" sz="1400">
              <a:effectLst/>
            </a:endParaRPr>
          </a:p>
          <a:p>
            <a:pPr algn="l">
              <a:defRPr/>
            </a:pPr>
            <a:r>
              <a:rPr lang="en-AU" sz="1400" b="0" i="0" baseline="0">
                <a:effectLst/>
              </a:rPr>
              <a:t>Metro Melbourne - June 2016</a:t>
            </a:r>
            <a:endParaRPr lang="en-AU" sz="1400">
              <a:effectLst/>
            </a:endParaRPr>
          </a:p>
          <a:p>
            <a:pPr algn="l">
              <a:defRPr/>
            </a:pPr>
            <a:r>
              <a:rPr lang="en-AU" sz="800" b="0" i="0" baseline="0">
                <a:effectLst/>
              </a:rPr>
              <a:t>Source: MPA analysis of Cordell Connect June 2016</a:t>
            </a:r>
            <a:endParaRPr lang="en-AU" sz="800">
              <a:effectLst/>
            </a:endParaRPr>
          </a:p>
        </c:rich>
      </c:tx>
      <c:layout>
        <c:manualLayout>
          <c:xMode val="edge"/>
          <c:yMode val="edge"/>
          <c:x val="1.5166888168017107E-3"/>
          <c:y val="9.1360175308825647E-4"/>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357630205480214"/>
          <c:y val="0.14108450451475665"/>
          <c:w val="0.77044870298653689"/>
          <c:h val="0.81429271730138775"/>
        </c:manualLayout>
      </c:layout>
      <c:barChart>
        <c:barDir val="bar"/>
        <c:grouping val="stacked"/>
        <c:varyColors val="0"/>
        <c:ser>
          <c:idx val="0"/>
          <c:order val="0"/>
          <c:tx>
            <c:strRef>
              <c:f>Sheet2!$K$1</c:f>
              <c:strCache>
                <c:ptCount val="1"/>
                <c:pt idx="0">
                  <c:v>Commenced</c:v>
                </c:pt>
              </c:strCache>
            </c:strRef>
          </c:tx>
          <c:spPr>
            <a:solidFill>
              <a:schemeClr val="accent1"/>
            </a:solidFill>
            <a:ln>
              <a:solidFill>
                <a:schemeClr val="tx1"/>
              </a:solidFill>
            </a:ln>
            <a:effectLst/>
          </c:spPr>
          <c:invertIfNegative val="0"/>
          <c:cat>
            <c:strRef>
              <c:f>Sheet2!$J$2:$J$42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Sheet2!$K$2:$K$42</c:f>
              <c:numCache>
                <c:formatCode>General</c:formatCode>
                <c:ptCount val="41"/>
                <c:pt idx="1">
                  <c:v>65</c:v>
                </c:pt>
                <c:pt idx="2">
                  <c:v>153</c:v>
                </c:pt>
                <c:pt idx="3">
                  <c:v>63</c:v>
                </c:pt>
                <c:pt idx="4">
                  <c:v>83</c:v>
                </c:pt>
                <c:pt idx="5">
                  <c:v>72</c:v>
                </c:pt>
                <c:pt idx="8">
                  <c:v>110</c:v>
                </c:pt>
                <c:pt idx="9">
                  <c:v>65</c:v>
                </c:pt>
                <c:pt idx="10">
                  <c:v>51</c:v>
                </c:pt>
                <c:pt idx="11">
                  <c:v>59</c:v>
                </c:pt>
                <c:pt idx="12">
                  <c:v>100</c:v>
                </c:pt>
                <c:pt idx="13">
                  <c:v>99</c:v>
                </c:pt>
                <c:pt idx="14">
                  <c:v>42</c:v>
                </c:pt>
                <c:pt idx="17">
                  <c:v>62</c:v>
                </c:pt>
                <c:pt idx="18">
                  <c:v>151</c:v>
                </c:pt>
                <c:pt idx="19">
                  <c:v>141</c:v>
                </c:pt>
                <c:pt idx="20">
                  <c:v>9</c:v>
                </c:pt>
                <c:pt idx="21">
                  <c:v>179</c:v>
                </c:pt>
                <c:pt idx="22">
                  <c:v>13</c:v>
                </c:pt>
                <c:pt idx="23">
                  <c:v>115</c:v>
                </c:pt>
                <c:pt idx="26">
                  <c:v>53</c:v>
                </c:pt>
                <c:pt idx="27">
                  <c:v>81</c:v>
                </c:pt>
                <c:pt idx="28">
                  <c:v>138</c:v>
                </c:pt>
                <c:pt idx="29">
                  <c:v>59</c:v>
                </c:pt>
                <c:pt idx="30">
                  <c:v>88</c:v>
                </c:pt>
                <c:pt idx="31">
                  <c:v>117</c:v>
                </c:pt>
                <c:pt idx="32">
                  <c:v>104</c:v>
                </c:pt>
                <c:pt idx="33">
                  <c:v>86</c:v>
                </c:pt>
                <c:pt idx="36">
                  <c:v>66</c:v>
                </c:pt>
                <c:pt idx="37">
                  <c:v>11</c:v>
                </c:pt>
                <c:pt idx="38">
                  <c:v>100</c:v>
                </c:pt>
                <c:pt idx="39">
                  <c:v>85</c:v>
                </c:pt>
                <c:pt idx="40">
                  <c:v>194</c:v>
                </c:pt>
              </c:numCache>
            </c:numRef>
          </c:val>
        </c:ser>
        <c:ser>
          <c:idx val="1"/>
          <c:order val="1"/>
          <c:tx>
            <c:strRef>
              <c:f>Sheet2!$L$1</c:f>
              <c:strCache>
                <c:ptCount val="1"/>
                <c:pt idx="0">
                  <c:v>Firm</c:v>
                </c:pt>
              </c:strCache>
            </c:strRef>
          </c:tx>
          <c:spPr>
            <a:solidFill>
              <a:schemeClr val="accent2"/>
            </a:solidFill>
            <a:ln>
              <a:solidFill>
                <a:schemeClr val="tx1"/>
              </a:solidFill>
            </a:ln>
            <a:effectLst/>
          </c:spPr>
          <c:invertIfNegative val="0"/>
          <c:cat>
            <c:strRef>
              <c:f>Sheet2!$J$2:$J$42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Sheet2!$L$2:$L$42</c:f>
              <c:numCache>
                <c:formatCode>General</c:formatCode>
                <c:ptCount val="41"/>
                <c:pt idx="1">
                  <c:v>65</c:v>
                </c:pt>
                <c:pt idx="2">
                  <c:v>150</c:v>
                </c:pt>
                <c:pt idx="3">
                  <c:v>72</c:v>
                </c:pt>
                <c:pt idx="4">
                  <c:v>50</c:v>
                </c:pt>
                <c:pt idx="5">
                  <c:v>52</c:v>
                </c:pt>
                <c:pt idx="8">
                  <c:v>64</c:v>
                </c:pt>
                <c:pt idx="9">
                  <c:v>42</c:v>
                </c:pt>
                <c:pt idx="10">
                  <c:v>53</c:v>
                </c:pt>
                <c:pt idx="11">
                  <c:v>31</c:v>
                </c:pt>
                <c:pt idx="12">
                  <c:v>88</c:v>
                </c:pt>
                <c:pt idx="13">
                  <c:v>59</c:v>
                </c:pt>
                <c:pt idx="14">
                  <c:v>37</c:v>
                </c:pt>
                <c:pt idx="17">
                  <c:v>33</c:v>
                </c:pt>
                <c:pt idx="18">
                  <c:v>76</c:v>
                </c:pt>
                <c:pt idx="19">
                  <c:v>134</c:v>
                </c:pt>
                <c:pt idx="20">
                  <c:v>24</c:v>
                </c:pt>
                <c:pt idx="21">
                  <c:v>90</c:v>
                </c:pt>
                <c:pt idx="22">
                  <c:v>20</c:v>
                </c:pt>
                <c:pt idx="23">
                  <c:v>79</c:v>
                </c:pt>
                <c:pt idx="26">
                  <c:v>48</c:v>
                </c:pt>
                <c:pt idx="27">
                  <c:v>62</c:v>
                </c:pt>
                <c:pt idx="28">
                  <c:v>111</c:v>
                </c:pt>
                <c:pt idx="29">
                  <c:v>54</c:v>
                </c:pt>
                <c:pt idx="30">
                  <c:v>69</c:v>
                </c:pt>
                <c:pt idx="31">
                  <c:v>102</c:v>
                </c:pt>
                <c:pt idx="32">
                  <c:v>66</c:v>
                </c:pt>
                <c:pt idx="33">
                  <c:v>95</c:v>
                </c:pt>
                <c:pt idx="36">
                  <c:v>131</c:v>
                </c:pt>
                <c:pt idx="37">
                  <c:v>15</c:v>
                </c:pt>
                <c:pt idx="38">
                  <c:v>53</c:v>
                </c:pt>
                <c:pt idx="39">
                  <c:v>38</c:v>
                </c:pt>
                <c:pt idx="40">
                  <c:v>158</c:v>
                </c:pt>
              </c:numCache>
            </c:numRef>
          </c:val>
        </c:ser>
        <c:ser>
          <c:idx val="2"/>
          <c:order val="2"/>
          <c:tx>
            <c:strRef>
              <c:f>Sheet2!$M$1</c:f>
              <c:strCache>
                <c:ptCount val="1"/>
                <c:pt idx="0">
                  <c:v>Registrations</c:v>
                </c:pt>
              </c:strCache>
            </c:strRef>
          </c:tx>
          <c:spPr>
            <a:solidFill>
              <a:schemeClr val="accent3"/>
            </a:solidFill>
            <a:ln>
              <a:solidFill>
                <a:schemeClr val="tx1"/>
              </a:solidFill>
            </a:ln>
            <a:effectLst/>
          </c:spPr>
          <c:invertIfNegative val="0"/>
          <c:cat>
            <c:strRef>
              <c:f>Sheet2!$J$2:$J$42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Sheet2!$M$2:$M$42</c:f>
              <c:numCache>
                <c:formatCode>General</c:formatCode>
                <c:ptCount val="41"/>
                <c:pt idx="2">
                  <c:v>5</c:v>
                </c:pt>
                <c:pt idx="3">
                  <c:v>4</c:v>
                </c:pt>
                <c:pt idx="4">
                  <c:v>1</c:v>
                </c:pt>
                <c:pt idx="5">
                  <c:v>1</c:v>
                </c:pt>
                <c:pt idx="8">
                  <c:v>2</c:v>
                </c:pt>
                <c:pt idx="10">
                  <c:v>1</c:v>
                </c:pt>
                <c:pt idx="11">
                  <c:v>1</c:v>
                </c:pt>
                <c:pt idx="13">
                  <c:v>3</c:v>
                </c:pt>
                <c:pt idx="14">
                  <c:v>1</c:v>
                </c:pt>
                <c:pt idx="17">
                  <c:v>2</c:v>
                </c:pt>
                <c:pt idx="18">
                  <c:v>2</c:v>
                </c:pt>
                <c:pt idx="19">
                  <c:v>6</c:v>
                </c:pt>
                <c:pt idx="21">
                  <c:v>1</c:v>
                </c:pt>
                <c:pt idx="22">
                  <c:v>1</c:v>
                </c:pt>
                <c:pt idx="26">
                  <c:v>1</c:v>
                </c:pt>
                <c:pt idx="28">
                  <c:v>1</c:v>
                </c:pt>
                <c:pt idx="29">
                  <c:v>3</c:v>
                </c:pt>
                <c:pt idx="31">
                  <c:v>1</c:v>
                </c:pt>
                <c:pt idx="32">
                  <c:v>2</c:v>
                </c:pt>
                <c:pt idx="36">
                  <c:v>1</c:v>
                </c:pt>
                <c:pt idx="38">
                  <c:v>3</c:v>
                </c:pt>
              </c:numCache>
            </c:numRef>
          </c:val>
        </c:ser>
        <c:ser>
          <c:idx val="3"/>
          <c:order val="3"/>
          <c:tx>
            <c:strRef>
              <c:f>Sheet2!$N$1</c:f>
              <c:strCache>
                <c:ptCount val="1"/>
                <c:pt idx="0">
                  <c:v>Possible</c:v>
                </c:pt>
              </c:strCache>
            </c:strRef>
          </c:tx>
          <c:spPr>
            <a:solidFill>
              <a:schemeClr val="accent4"/>
            </a:solidFill>
            <a:ln>
              <a:solidFill>
                <a:schemeClr val="tx1"/>
              </a:solidFill>
            </a:ln>
            <a:effectLst/>
          </c:spPr>
          <c:invertIfNegative val="0"/>
          <c:cat>
            <c:strRef>
              <c:f>Sheet2!$J$2:$J$42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Sheet2!$N$2:$N$42</c:f>
              <c:numCache>
                <c:formatCode>General</c:formatCode>
                <c:ptCount val="41"/>
                <c:pt idx="1">
                  <c:v>171</c:v>
                </c:pt>
                <c:pt idx="2">
                  <c:v>264</c:v>
                </c:pt>
                <c:pt idx="3">
                  <c:v>186</c:v>
                </c:pt>
                <c:pt idx="4">
                  <c:v>219</c:v>
                </c:pt>
                <c:pt idx="5">
                  <c:v>205</c:v>
                </c:pt>
                <c:pt idx="8">
                  <c:v>246</c:v>
                </c:pt>
                <c:pt idx="9">
                  <c:v>175</c:v>
                </c:pt>
                <c:pt idx="10">
                  <c:v>139</c:v>
                </c:pt>
                <c:pt idx="11">
                  <c:v>124</c:v>
                </c:pt>
                <c:pt idx="12">
                  <c:v>216</c:v>
                </c:pt>
                <c:pt idx="13">
                  <c:v>226</c:v>
                </c:pt>
                <c:pt idx="14">
                  <c:v>85</c:v>
                </c:pt>
                <c:pt idx="17">
                  <c:v>196</c:v>
                </c:pt>
                <c:pt idx="18">
                  <c:v>379</c:v>
                </c:pt>
                <c:pt idx="19">
                  <c:v>266</c:v>
                </c:pt>
                <c:pt idx="20">
                  <c:v>8</c:v>
                </c:pt>
                <c:pt idx="21">
                  <c:v>439</c:v>
                </c:pt>
                <c:pt idx="22">
                  <c:v>42</c:v>
                </c:pt>
                <c:pt idx="23">
                  <c:v>245</c:v>
                </c:pt>
                <c:pt idx="26">
                  <c:v>145</c:v>
                </c:pt>
                <c:pt idx="27">
                  <c:v>139</c:v>
                </c:pt>
                <c:pt idx="28">
                  <c:v>275</c:v>
                </c:pt>
                <c:pt idx="29">
                  <c:v>165</c:v>
                </c:pt>
                <c:pt idx="30">
                  <c:v>237</c:v>
                </c:pt>
                <c:pt idx="31">
                  <c:v>313</c:v>
                </c:pt>
                <c:pt idx="32">
                  <c:v>234</c:v>
                </c:pt>
                <c:pt idx="33">
                  <c:v>164</c:v>
                </c:pt>
                <c:pt idx="36">
                  <c:v>221</c:v>
                </c:pt>
                <c:pt idx="37">
                  <c:v>48</c:v>
                </c:pt>
                <c:pt idx="38">
                  <c:v>137</c:v>
                </c:pt>
                <c:pt idx="39">
                  <c:v>200</c:v>
                </c:pt>
                <c:pt idx="40">
                  <c:v>376</c:v>
                </c:pt>
              </c:numCache>
            </c:numRef>
          </c:val>
        </c:ser>
        <c:ser>
          <c:idx val="4"/>
          <c:order val="4"/>
          <c:tx>
            <c:strRef>
              <c:f>Sheet2!$O$1</c:f>
              <c:strCache>
                <c:ptCount val="1"/>
                <c:pt idx="0">
                  <c:v>Early</c:v>
                </c:pt>
              </c:strCache>
            </c:strRef>
          </c:tx>
          <c:spPr>
            <a:solidFill>
              <a:schemeClr val="accent5"/>
            </a:solidFill>
            <a:ln>
              <a:solidFill>
                <a:schemeClr val="tx1"/>
              </a:solidFill>
            </a:ln>
            <a:effectLst/>
          </c:spPr>
          <c:invertIfNegative val="0"/>
          <c:cat>
            <c:strRef>
              <c:f>Sheet2!$J$2:$J$42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Sheet2!$O$2:$O$42</c:f>
              <c:numCache>
                <c:formatCode>General</c:formatCode>
                <c:ptCount val="41"/>
                <c:pt idx="1">
                  <c:v>7</c:v>
                </c:pt>
                <c:pt idx="2">
                  <c:v>35</c:v>
                </c:pt>
                <c:pt idx="3">
                  <c:v>4</c:v>
                </c:pt>
                <c:pt idx="4">
                  <c:v>7</c:v>
                </c:pt>
                <c:pt idx="5">
                  <c:v>6</c:v>
                </c:pt>
                <c:pt idx="8">
                  <c:v>7</c:v>
                </c:pt>
                <c:pt idx="9">
                  <c:v>3</c:v>
                </c:pt>
                <c:pt idx="10">
                  <c:v>4</c:v>
                </c:pt>
                <c:pt idx="11">
                  <c:v>7</c:v>
                </c:pt>
                <c:pt idx="12">
                  <c:v>9</c:v>
                </c:pt>
                <c:pt idx="13">
                  <c:v>5</c:v>
                </c:pt>
                <c:pt idx="14">
                  <c:v>8</c:v>
                </c:pt>
                <c:pt idx="17">
                  <c:v>9</c:v>
                </c:pt>
                <c:pt idx="18">
                  <c:v>8</c:v>
                </c:pt>
                <c:pt idx="19">
                  <c:v>20</c:v>
                </c:pt>
                <c:pt idx="20">
                  <c:v>7</c:v>
                </c:pt>
                <c:pt idx="21">
                  <c:v>4</c:v>
                </c:pt>
                <c:pt idx="22">
                  <c:v>7</c:v>
                </c:pt>
                <c:pt idx="23">
                  <c:v>10</c:v>
                </c:pt>
                <c:pt idx="26">
                  <c:v>6</c:v>
                </c:pt>
                <c:pt idx="27">
                  <c:v>6</c:v>
                </c:pt>
                <c:pt idx="28">
                  <c:v>17</c:v>
                </c:pt>
                <c:pt idx="29">
                  <c:v>11</c:v>
                </c:pt>
                <c:pt idx="30">
                  <c:v>9</c:v>
                </c:pt>
                <c:pt idx="31">
                  <c:v>12</c:v>
                </c:pt>
                <c:pt idx="32">
                  <c:v>11</c:v>
                </c:pt>
                <c:pt idx="33">
                  <c:v>11</c:v>
                </c:pt>
                <c:pt idx="36">
                  <c:v>8</c:v>
                </c:pt>
                <c:pt idx="37">
                  <c:v>2</c:v>
                </c:pt>
                <c:pt idx="38">
                  <c:v>24</c:v>
                </c:pt>
                <c:pt idx="39">
                  <c:v>11</c:v>
                </c:pt>
                <c:pt idx="40">
                  <c:v>21</c:v>
                </c:pt>
              </c:numCache>
            </c:numRef>
          </c:val>
        </c:ser>
        <c:dLbls>
          <c:showLegendKey val="0"/>
          <c:showVal val="0"/>
          <c:showCatName val="0"/>
          <c:showSerName val="0"/>
          <c:showPercent val="0"/>
          <c:showBubbleSize val="0"/>
        </c:dLbls>
        <c:gapWidth val="50"/>
        <c:overlap val="100"/>
        <c:axId val="764400432"/>
        <c:axId val="764400992"/>
      </c:barChart>
      <c:catAx>
        <c:axId val="7644004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400992"/>
        <c:crosses val="autoZero"/>
        <c:auto val="1"/>
        <c:lblAlgn val="ctr"/>
        <c:lblOffset val="100"/>
        <c:noMultiLvlLbl val="0"/>
      </c:catAx>
      <c:valAx>
        <c:axId val="764400992"/>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400432"/>
        <c:crosses val="autoZero"/>
        <c:crossBetween val="between"/>
      </c:valAx>
      <c:spPr>
        <a:noFill/>
        <a:ln>
          <a:noFill/>
        </a:ln>
        <a:effectLst/>
      </c:spPr>
    </c:plotArea>
    <c:legend>
      <c:legendPos val="b"/>
      <c:layout>
        <c:manualLayout>
          <c:xMode val="edge"/>
          <c:yMode val="edge"/>
          <c:x val="0.57550115672927449"/>
          <c:y val="1.5284081707685371E-3"/>
          <c:w val="0.41766072344405225"/>
          <c:h val="9.241267020610750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400" b="0" i="0" baseline="0">
                <a:effectLst/>
              </a:rPr>
              <a:t>Number of Cordell Connect Projects By Stage</a:t>
            </a:r>
            <a:endParaRPr lang="en-AU" sz="1400">
              <a:effectLst/>
            </a:endParaRPr>
          </a:p>
          <a:p>
            <a:pPr algn="l">
              <a:defRPr/>
            </a:pPr>
            <a:r>
              <a:rPr lang="en-AU" sz="1400" b="0" i="0" baseline="0">
                <a:effectLst/>
              </a:rPr>
              <a:t>Regional Victoria - June 2016</a:t>
            </a:r>
            <a:endParaRPr lang="en-AU" sz="1400">
              <a:effectLst/>
            </a:endParaRPr>
          </a:p>
          <a:p>
            <a:pPr algn="l">
              <a:defRPr/>
            </a:pPr>
            <a:r>
              <a:rPr lang="en-AU" sz="800" b="0" i="0" baseline="0">
                <a:effectLst/>
              </a:rPr>
              <a:t>Source: MPA analysis of Cordell Connect June 2016</a:t>
            </a:r>
            <a:endParaRPr lang="en-AU" sz="800">
              <a:effectLst/>
            </a:endParaRPr>
          </a:p>
        </c:rich>
      </c:tx>
      <c:layout>
        <c:manualLayout>
          <c:xMode val="edge"/>
          <c:yMode val="edge"/>
          <c:x val="1.5166888168017107E-3"/>
          <c:y val="9.1360175308825647E-4"/>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3189047830001286"/>
          <c:y val="0.14108450451475665"/>
          <c:w val="0.73213452674132606"/>
          <c:h val="0.81429271730138775"/>
        </c:manualLayout>
      </c:layout>
      <c:barChart>
        <c:barDir val="bar"/>
        <c:grouping val="stacked"/>
        <c:varyColors val="0"/>
        <c:ser>
          <c:idx val="0"/>
          <c:order val="0"/>
          <c:tx>
            <c:strRef>
              <c:f>Sheet2!$K$1</c:f>
              <c:strCache>
                <c:ptCount val="1"/>
                <c:pt idx="0">
                  <c:v>Commenced</c:v>
                </c:pt>
              </c:strCache>
            </c:strRef>
          </c:tx>
          <c:spPr>
            <a:solidFill>
              <a:schemeClr val="accent1"/>
            </a:solidFill>
            <a:ln>
              <a:solidFill>
                <a:schemeClr val="tx1"/>
              </a:solidFill>
            </a:ln>
            <a:effectLst/>
          </c:spPr>
          <c:invertIfNegative val="0"/>
          <c:cat>
            <c:strRef>
              <c:f>Sheet2!$J$44:$J$96</c:f>
              <c:strCache>
                <c:ptCount val="53"/>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pt idx="52">
                  <c:v>Unincorporated Vic</c:v>
                </c:pt>
              </c:strCache>
            </c:strRef>
          </c:cat>
          <c:val>
            <c:numRef>
              <c:f>Sheet2!$K$44:$K$96</c:f>
              <c:numCache>
                <c:formatCode>General</c:formatCode>
                <c:ptCount val="53"/>
                <c:pt idx="1">
                  <c:v>95</c:v>
                </c:pt>
                <c:pt idx="2">
                  <c:v>40</c:v>
                </c:pt>
                <c:pt idx="3">
                  <c:v>150</c:v>
                </c:pt>
                <c:pt idx="4">
                  <c:v>24</c:v>
                </c:pt>
                <c:pt idx="5">
                  <c:v>3</c:v>
                </c:pt>
                <c:pt idx="6">
                  <c:v>16</c:v>
                </c:pt>
                <c:pt idx="7">
                  <c:v>12</c:v>
                </c:pt>
                <c:pt idx="8">
                  <c:v>14</c:v>
                </c:pt>
                <c:pt idx="9">
                  <c:v>10</c:v>
                </c:pt>
                <c:pt idx="10">
                  <c:v>18</c:v>
                </c:pt>
                <c:pt idx="13">
                  <c:v>20</c:v>
                </c:pt>
                <c:pt idx="14">
                  <c:v>14</c:v>
                </c:pt>
                <c:pt idx="15">
                  <c:v>6</c:v>
                </c:pt>
                <c:pt idx="16">
                  <c:v>11</c:v>
                </c:pt>
                <c:pt idx="17">
                  <c:v>23</c:v>
                </c:pt>
                <c:pt idx="18">
                  <c:v>2</c:v>
                </c:pt>
                <c:pt idx="19">
                  <c:v>2</c:v>
                </c:pt>
                <c:pt idx="20">
                  <c:v>5</c:v>
                </c:pt>
                <c:pt idx="21">
                  <c:v>19</c:v>
                </c:pt>
                <c:pt idx="24">
                  <c:v>11</c:v>
                </c:pt>
                <c:pt idx="25">
                  <c:v>3</c:v>
                </c:pt>
                <c:pt idx="27">
                  <c:v>3</c:v>
                </c:pt>
                <c:pt idx="28">
                  <c:v>4</c:v>
                </c:pt>
                <c:pt idx="29">
                  <c:v>5</c:v>
                </c:pt>
                <c:pt idx="30">
                  <c:v>3</c:v>
                </c:pt>
                <c:pt idx="31">
                  <c:v>5</c:v>
                </c:pt>
                <c:pt idx="32">
                  <c:v>7</c:v>
                </c:pt>
                <c:pt idx="33">
                  <c:v>2</c:v>
                </c:pt>
                <c:pt idx="34">
                  <c:v>7</c:v>
                </c:pt>
                <c:pt idx="35">
                  <c:v>1</c:v>
                </c:pt>
                <c:pt idx="36">
                  <c:v>4</c:v>
                </c:pt>
                <c:pt idx="37">
                  <c:v>6</c:v>
                </c:pt>
                <c:pt idx="38">
                  <c:v>3</c:v>
                </c:pt>
                <c:pt idx="39">
                  <c:v>10</c:v>
                </c:pt>
                <c:pt idx="40">
                  <c:v>6</c:v>
                </c:pt>
                <c:pt idx="41">
                  <c:v>6</c:v>
                </c:pt>
                <c:pt idx="42">
                  <c:v>8</c:v>
                </c:pt>
                <c:pt idx="43">
                  <c:v>7</c:v>
                </c:pt>
                <c:pt idx="44">
                  <c:v>3</c:v>
                </c:pt>
                <c:pt idx="45">
                  <c:v>5</c:v>
                </c:pt>
                <c:pt idx="46">
                  <c:v>5</c:v>
                </c:pt>
                <c:pt idx="47">
                  <c:v>8</c:v>
                </c:pt>
                <c:pt idx="48">
                  <c:v>1</c:v>
                </c:pt>
                <c:pt idx="49">
                  <c:v>40</c:v>
                </c:pt>
                <c:pt idx="51">
                  <c:v>4</c:v>
                </c:pt>
              </c:numCache>
            </c:numRef>
          </c:val>
        </c:ser>
        <c:ser>
          <c:idx val="1"/>
          <c:order val="1"/>
          <c:tx>
            <c:strRef>
              <c:f>Sheet2!$L$1</c:f>
              <c:strCache>
                <c:ptCount val="1"/>
                <c:pt idx="0">
                  <c:v>Firm</c:v>
                </c:pt>
              </c:strCache>
            </c:strRef>
          </c:tx>
          <c:spPr>
            <a:solidFill>
              <a:schemeClr val="accent2"/>
            </a:solidFill>
            <a:ln>
              <a:solidFill>
                <a:schemeClr val="tx1"/>
              </a:solidFill>
            </a:ln>
            <a:effectLst/>
          </c:spPr>
          <c:invertIfNegative val="0"/>
          <c:cat>
            <c:strRef>
              <c:f>Sheet2!$J$44:$J$96</c:f>
              <c:strCache>
                <c:ptCount val="53"/>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pt idx="52">
                  <c:v>Unincorporated Vic</c:v>
                </c:pt>
              </c:strCache>
            </c:strRef>
          </c:cat>
          <c:val>
            <c:numRef>
              <c:f>Sheet2!$L$44:$L$96</c:f>
              <c:numCache>
                <c:formatCode>General</c:formatCode>
                <c:ptCount val="53"/>
                <c:pt idx="1">
                  <c:v>73</c:v>
                </c:pt>
                <c:pt idx="2">
                  <c:v>58</c:v>
                </c:pt>
                <c:pt idx="3">
                  <c:v>100</c:v>
                </c:pt>
                <c:pt idx="4">
                  <c:v>45</c:v>
                </c:pt>
                <c:pt idx="5">
                  <c:v>14</c:v>
                </c:pt>
                <c:pt idx="6">
                  <c:v>33</c:v>
                </c:pt>
                <c:pt idx="7">
                  <c:v>22</c:v>
                </c:pt>
                <c:pt idx="8">
                  <c:v>16</c:v>
                </c:pt>
                <c:pt idx="9">
                  <c:v>16</c:v>
                </c:pt>
                <c:pt idx="10">
                  <c:v>10</c:v>
                </c:pt>
                <c:pt idx="13">
                  <c:v>18</c:v>
                </c:pt>
                <c:pt idx="14">
                  <c:v>30</c:v>
                </c:pt>
                <c:pt idx="15">
                  <c:v>2</c:v>
                </c:pt>
                <c:pt idx="16">
                  <c:v>26</c:v>
                </c:pt>
                <c:pt idx="17">
                  <c:v>13</c:v>
                </c:pt>
                <c:pt idx="18">
                  <c:v>17</c:v>
                </c:pt>
                <c:pt idx="19">
                  <c:v>1</c:v>
                </c:pt>
                <c:pt idx="20">
                  <c:v>9</c:v>
                </c:pt>
                <c:pt idx="21">
                  <c:v>26</c:v>
                </c:pt>
                <c:pt idx="24">
                  <c:v>20</c:v>
                </c:pt>
                <c:pt idx="25">
                  <c:v>15</c:v>
                </c:pt>
                <c:pt idx="26">
                  <c:v>5</c:v>
                </c:pt>
                <c:pt idx="27">
                  <c:v>8</c:v>
                </c:pt>
                <c:pt idx="28">
                  <c:v>20</c:v>
                </c:pt>
                <c:pt idx="29">
                  <c:v>10</c:v>
                </c:pt>
                <c:pt idx="30">
                  <c:v>27</c:v>
                </c:pt>
                <c:pt idx="31">
                  <c:v>4</c:v>
                </c:pt>
                <c:pt idx="32">
                  <c:v>36</c:v>
                </c:pt>
                <c:pt idx="33">
                  <c:v>4</c:v>
                </c:pt>
                <c:pt idx="34">
                  <c:v>15</c:v>
                </c:pt>
                <c:pt idx="35">
                  <c:v>8</c:v>
                </c:pt>
                <c:pt idx="36">
                  <c:v>4</c:v>
                </c:pt>
                <c:pt idx="37">
                  <c:v>4</c:v>
                </c:pt>
                <c:pt idx="38">
                  <c:v>8</c:v>
                </c:pt>
                <c:pt idx="40">
                  <c:v>7</c:v>
                </c:pt>
                <c:pt idx="41">
                  <c:v>13</c:v>
                </c:pt>
                <c:pt idx="42">
                  <c:v>5</c:v>
                </c:pt>
                <c:pt idx="43">
                  <c:v>2</c:v>
                </c:pt>
                <c:pt idx="44">
                  <c:v>12</c:v>
                </c:pt>
                <c:pt idx="45">
                  <c:v>11</c:v>
                </c:pt>
                <c:pt idx="46">
                  <c:v>14</c:v>
                </c:pt>
                <c:pt idx="47">
                  <c:v>8</c:v>
                </c:pt>
                <c:pt idx="48">
                  <c:v>5</c:v>
                </c:pt>
                <c:pt idx="49">
                  <c:v>24</c:v>
                </c:pt>
                <c:pt idx="51">
                  <c:v>1</c:v>
                </c:pt>
              </c:numCache>
            </c:numRef>
          </c:val>
        </c:ser>
        <c:ser>
          <c:idx val="2"/>
          <c:order val="2"/>
          <c:tx>
            <c:strRef>
              <c:f>Sheet2!$M$1</c:f>
              <c:strCache>
                <c:ptCount val="1"/>
                <c:pt idx="0">
                  <c:v>Registrations</c:v>
                </c:pt>
              </c:strCache>
            </c:strRef>
          </c:tx>
          <c:spPr>
            <a:solidFill>
              <a:schemeClr val="accent3"/>
            </a:solidFill>
            <a:ln>
              <a:solidFill>
                <a:schemeClr val="tx1"/>
              </a:solidFill>
            </a:ln>
            <a:effectLst/>
          </c:spPr>
          <c:invertIfNegative val="0"/>
          <c:cat>
            <c:strRef>
              <c:f>Sheet2!$J$44:$J$96</c:f>
              <c:strCache>
                <c:ptCount val="53"/>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pt idx="52">
                  <c:v>Unincorporated Vic</c:v>
                </c:pt>
              </c:strCache>
            </c:strRef>
          </c:cat>
          <c:val>
            <c:numRef>
              <c:f>Sheet2!$M$44:$M$96</c:f>
              <c:numCache>
                <c:formatCode>General</c:formatCode>
                <c:ptCount val="53"/>
                <c:pt idx="1">
                  <c:v>1</c:v>
                </c:pt>
                <c:pt idx="3">
                  <c:v>5</c:v>
                </c:pt>
                <c:pt idx="6">
                  <c:v>1</c:v>
                </c:pt>
                <c:pt idx="7">
                  <c:v>1</c:v>
                </c:pt>
                <c:pt idx="18">
                  <c:v>1</c:v>
                </c:pt>
                <c:pt idx="19">
                  <c:v>1</c:v>
                </c:pt>
                <c:pt idx="21">
                  <c:v>1</c:v>
                </c:pt>
                <c:pt idx="24">
                  <c:v>1</c:v>
                </c:pt>
                <c:pt idx="25">
                  <c:v>1</c:v>
                </c:pt>
                <c:pt idx="28">
                  <c:v>1</c:v>
                </c:pt>
                <c:pt idx="30">
                  <c:v>1</c:v>
                </c:pt>
                <c:pt idx="32">
                  <c:v>3</c:v>
                </c:pt>
                <c:pt idx="34">
                  <c:v>1</c:v>
                </c:pt>
                <c:pt idx="37">
                  <c:v>1</c:v>
                </c:pt>
                <c:pt idx="39">
                  <c:v>1</c:v>
                </c:pt>
                <c:pt idx="40">
                  <c:v>1</c:v>
                </c:pt>
                <c:pt idx="41">
                  <c:v>1</c:v>
                </c:pt>
                <c:pt idx="45">
                  <c:v>1</c:v>
                </c:pt>
              </c:numCache>
            </c:numRef>
          </c:val>
        </c:ser>
        <c:ser>
          <c:idx val="3"/>
          <c:order val="3"/>
          <c:tx>
            <c:strRef>
              <c:f>Sheet2!$N$1</c:f>
              <c:strCache>
                <c:ptCount val="1"/>
                <c:pt idx="0">
                  <c:v>Possible</c:v>
                </c:pt>
              </c:strCache>
            </c:strRef>
          </c:tx>
          <c:spPr>
            <a:solidFill>
              <a:schemeClr val="accent4"/>
            </a:solidFill>
            <a:ln>
              <a:solidFill>
                <a:schemeClr val="tx1"/>
              </a:solidFill>
            </a:ln>
            <a:effectLst/>
          </c:spPr>
          <c:invertIfNegative val="0"/>
          <c:cat>
            <c:strRef>
              <c:f>Sheet2!$J$44:$J$96</c:f>
              <c:strCache>
                <c:ptCount val="53"/>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pt idx="52">
                  <c:v>Unincorporated Vic</c:v>
                </c:pt>
              </c:strCache>
            </c:strRef>
          </c:cat>
          <c:val>
            <c:numRef>
              <c:f>Sheet2!$N$44:$N$96</c:f>
              <c:numCache>
                <c:formatCode>General</c:formatCode>
                <c:ptCount val="53"/>
                <c:pt idx="1">
                  <c:v>154</c:v>
                </c:pt>
                <c:pt idx="2">
                  <c:v>127</c:v>
                </c:pt>
                <c:pt idx="3">
                  <c:v>266</c:v>
                </c:pt>
                <c:pt idx="4">
                  <c:v>36</c:v>
                </c:pt>
                <c:pt idx="5">
                  <c:v>3</c:v>
                </c:pt>
                <c:pt idx="6">
                  <c:v>18</c:v>
                </c:pt>
                <c:pt idx="7">
                  <c:v>5</c:v>
                </c:pt>
                <c:pt idx="8">
                  <c:v>4</c:v>
                </c:pt>
                <c:pt idx="9">
                  <c:v>7</c:v>
                </c:pt>
                <c:pt idx="10">
                  <c:v>8</c:v>
                </c:pt>
                <c:pt idx="13">
                  <c:v>14</c:v>
                </c:pt>
                <c:pt idx="14">
                  <c:v>24</c:v>
                </c:pt>
                <c:pt idx="15">
                  <c:v>4</c:v>
                </c:pt>
                <c:pt idx="16">
                  <c:v>30</c:v>
                </c:pt>
                <c:pt idx="17">
                  <c:v>39</c:v>
                </c:pt>
                <c:pt idx="18">
                  <c:v>4</c:v>
                </c:pt>
                <c:pt idx="20">
                  <c:v>3</c:v>
                </c:pt>
                <c:pt idx="21">
                  <c:v>29</c:v>
                </c:pt>
                <c:pt idx="24">
                  <c:v>3</c:v>
                </c:pt>
                <c:pt idx="25">
                  <c:v>4</c:v>
                </c:pt>
                <c:pt idx="26">
                  <c:v>1</c:v>
                </c:pt>
                <c:pt idx="27">
                  <c:v>3</c:v>
                </c:pt>
                <c:pt idx="28">
                  <c:v>6</c:v>
                </c:pt>
                <c:pt idx="30">
                  <c:v>4</c:v>
                </c:pt>
                <c:pt idx="31">
                  <c:v>8</c:v>
                </c:pt>
                <c:pt idx="32">
                  <c:v>5</c:v>
                </c:pt>
                <c:pt idx="33">
                  <c:v>4</c:v>
                </c:pt>
                <c:pt idx="34">
                  <c:v>5</c:v>
                </c:pt>
                <c:pt idx="35">
                  <c:v>3</c:v>
                </c:pt>
                <c:pt idx="36">
                  <c:v>2</c:v>
                </c:pt>
                <c:pt idx="37">
                  <c:v>2</c:v>
                </c:pt>
                <c:pt idx="38">
                  <c:v>2</c:v>
                </c:pt>
                <c:pt idx="40">
                  <c:v>4</c:v>
                </c:pt>
                <c:pt idx="41">
                  <c:v>9</c:v>
                </c:pt>
                <c:pt idx="42">
                  <c:v>12</c:v>
                </c:pt>
                <c:pt idx="43">
                  <c:v>6</c:v>
                </c:pt>
                <c:pt idx="44">
                  <c:v>5</c:v>
                </c:pt>
                <c:pt idx="45">
                  <c:v>3</c:v>
                </c:pt>
                <c:pt idx="46">
                  <c:v>2</c:v>
                </c:pt>
                <c:pt idx="47">
                  <c:v>5</c:v>
                </c:pt>
                <c:pt idx="49">
                  <c:v>7</c:v>
                </c:pt>
                <c:pt idx="51">
                  <c:v>1</c:v>
                </c:pt>
              </c:numCache>
            </c:numRef>
          </c:val>
        </c:ser>
        <c:ser>
          <c:idx val="4"/>
          <c:order val="4"/>
          <c:tx>
            <c:strRef>
              <c:f>Sheet2!$O$1</c:f>
              <c:strCache>
                <c:ptCount val="1"/>
                <c:pt idx="0">
                  <c:v>Early</c:v>
                </c:pt>
              </c:strCache>
            </c:strRef>
          </c:tx>
          <c:spPr>
            <a:solidFill>
              <a:schemeClr val="accent5"/>
            </a:solidFill>
            <a:ln>
              <a:solidFill>
                <a:schemeClr val="tx1"/>
              </a:solidFill>
            </a:ln>
            <a:effectLst/>
          </c:spPr>
          <c:invertIfNegative val="0"/>
          <c:cat>
            <c:strRef>
              <c:f>Sheet2!$J$44:$J$96</c:f>
              <c:strCache>
                <c:ptCount val="53"/>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pt idx="52">
                  <c:v>Unincorporated Vic</c:v>
                </c:pt>
              </c:strCache>
            </c:strRef>
          </c:cat>
          <c:val>
            <c:numRef>
              <c:f>Sheet2!$O$44:$O$96</c:f>
              <c:numCache>
                <c:formatCode>General</c:formatCode>
                <c:ptCount val="53"/>
                <c:pt idx="1">
                  <c:v>26</c:v>
                </c:pt>
                <c:pt idx="2">
                  <c:v>16</c:v>
                </c:pt>
                <c:pt idx="3">
                  <c:v>42</c:v>
                </c:pt>
                <c:pt idx="4">
                  <c:v>4</c:v>
                </c:pt>
                <c:pt idx="5">
                  <c:v>6</c:v>
                </c:pt>
                <c:pt idx="6">
                  <c:v>23</c:v>
                </c:pt>
                <c:pt idx="7">
                  <c:v>11</c:v>
                </c:pt>
                <c:pt idx="8">
                  <c:v>2</c:v>
                </c:pt>
                <c:pt idx="9">
                  <c:v>10</c:v>
                </c:pt>
                <c:pt idx="13">
                  <c:v>6</c:v>
                </c:pt>
                <c:pt idx="14">
                  <c:v>8</c:v>
                </c:pt>
                <c:pt idx="15">
                  <c:v>2</c:v>
                </c:pt>
                <c:pt idx="16">
                  <c:v>4</c:v>
                </c:pt>
                <c:pt idx="17">
                  <c:v>12</c:v>
                </c:pt>
                <c:pt idx="18">
                  <c:v>1</c:v>
                </c:pt>
                <c:pt idx="19">
                  <c:v>2</c:v>
                </c:pt>
                <c:pt idx="20">
                  <c:v>2</c:v>
                </c:pt>
                <c:pt idx="21">
                  <c:v>2</c:v>
                </c:pt>
                <c:pt idx="24">
                  <c:v>5</c:v>
                </c:pt>
                <c:pt idx="25">
                  <c:v>3</c:v>
                </c:pt>
                <c:pt idx="26">
                  <c:v>3</c:v>
                </c:pt>
                <c:pt idx="27">
                  <c:v>2</c:v>
                </c:pt>
                <c:pt idx="28">
                  <c:v>10</c:v>
                </c:pt>
                <c:pt idx="29">
                  <c:v>1</c:v>
                </c:pt>
                <c:pt idx="30">
                  <c:v>4</c:v>
                </c:pt>
                <c:pt idx="31">
                  <c:v>6</c:v>
                </c:pt>
                <c:pt idx="32">
                  <c:v>6</c:v>
                </c:pt>
                <c:pt idx="33">
                  <c:v>4</c:v>
                </c:pt>
                <c:pt idx="34">
                  <c:v>5</c:v>
                </c:pt>
                <c:pt idx="35">
                  <c:v>3</c:v>
                </c:pt>
                <c:pt idx="37">
                  <c:v>3</c:v>
                </c:pt>
                <c:pt idx="38">
                  <c:v>1</c:v>
                </c:pt>
                <c:pt idx="39">
                  <c:v>4</c:v>
                </c:pt>
                <c:pt idx="40">
                  <c:v>4</c:v>
                </c:pt>
                <c:pt idx="41">
                  <c:v>7</c:v>
                </c:pt>
                <c:pt idx="42">
                  <c:v>3</c:v>
                </c:pt>
                <c:pt idx="43">
                  <c:v>1</c:v>
                </c:pt>
                <c:pt idx="44">
                  <c:v>2</c:v>
                </c:pt>
                <c:pt idx="45">
                  <c:v>1</c:v>
                </c:pt>
                <c:pt idx="47">
                  <c:v>2</c:v>
                </c:pt>
                <c:pt idx="48">
                  <c:v>1</c:v>
                </c:pt>
                <c:pt idx="49">
                  <c:v>4</c:v>
                </c:pt>
                <c:pt idx="50">
                  <c:v>1</c:v>
                </c:pt>
                <c:pt idx="51">
                  <c:v>4</c:v>
                </c:pt>
              </c:numCache>
            </c:numRef>
          </c:val>
        </c:ser>
        <c:dLbls>
          <c:showLegendKey val="0"/>
          <c:showVal val="0"/>
          <c:showCatName val="0"/>
          <c:showSerName val="0"/>
          <c:showPercent val="0"/>
          <c:showBubbleSize val="0"/>
        </c:dLbls>
        <c:gapWidth val="50"/>
        <c:overlap val="100"/>
        <c:axId val="764405472"/>
        <c:axId val="764406032"/>
      </c:barChart>
      <c:catAx>
        <c:axId val="7644054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406032"/>
        <c:crosses val="autoZero"/>
        <c:auto val="1"/>
        <c:lblAlgn val="ctr"/>
        <c:lblOffset val="100"/>
        <c:noMultiLvlLbl val="0"/>
      </c:catAx>
      <c:valAx>
        <c:axId val="764406032"/>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405472"/>
        <c:crosses val="autoZero"/>
        <c:crossBetween val="between"/>
      </c:valAx>
      <c:spPr>
        <a:noFill/>
        <a:ln>
          <a:noFill/>
        </a:ln>
        <a:effectLst/>
      </c:spPr>
    </c:plotArea>
    <c:legend>
      <c:legendPos val="b"/>
      <c:layout>
        <c:manualLayout>
          <c:xMode val="edge"/>
          <c:yMode val="edge"/>
          <c:x val="0.57550115672927449"/>
          <c:y val="1.5284081707685371E-3"/>
          <c:w val="0.41766072344405225"/>
          <c:h val="9.241267020610750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400" b="0" i="0" baseline="0">
                <a:effectLst/>
              </a:rPr>
              <a:t>Value of Cordell Connect Projects by Stage</a:t>
            </a:r>
            <a:endParaRPr lang="en-AU" sz="1400">
              <a:effectLst/>
            </a:endParaRPr>
          </a:p>
          <a:p>
            <a:pPr algn="l">
              <a:defRPr/>
            </a:pPr>
            <a:r>
              <a:rPr lang="en-AU" sz="1400" b="0" i="0" baseline="0">
                <a:effectLst/>
              </a:rPr>
              <a:t>Metro Melbourne - June 2016 - $Millions</a:t>
            </a:r>
            <a:endParaRPr lang="en-AU" sz="1400">
              <a:effectLst/>
            </a:endParaRPr>
          </a:p>
          <a:p>
            <a:pPr algn="l">
              <a:defRPr/>
            </a:pPr>
            <a:r>
              <a:rPr lang="en-AU" sz="800" b="0" i="0" baseline="0">
                <a:effectLst/>
              </a:rPr>
              <a:t>Source: MPA analysis of Cordell Connect June 2016</a:t>
            </a:r>
            <a:endParaRPr lang="en-AU" sz="800">
              <a:effectLst/>
            </a:endParaRPr>
          </a:p>
        </c:rich>
      </c:tx>
      <c:layout>
        <c:manualLayout>
          <c:xMode val="edge"/>
          <c:yMode val="edge"/>
          <c:x val="1.5166888168017107E-3"/>
          <c:y val="9.1360175308825647E-4"/>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760227566835452"/>
          <c:y val="0.13552586082381726"/>
          <c:w val="0.77044870298653689"/>
          <c:h val="0.81429271730138775"/>
        </c:manualLayout>
      </c:layout>
      <c:barChart>
        <c:barDir val="bar"/>
        <c:grouping val="stacked"/>
        <c:varyColors val="0"/>
        <c:ser>
          <c:idx val="0"/>
          <c:order val="0"/>
          <c:tx>
            <c:strRef>
              <c:f>Sheet2!$AE$1</c:f>
              <c:strCache>
                <c:ptCount val="1"/>
                <c:pt idx="0">
                  <c:v>Early</c:v>
                </c:pt>
              </c:strCache>
            </c:strRef>
          </c:tx>
          <c:spPr>
            <a:solidFill>
              <a:schemeClr val="accent1"/>
            </a:solidFill>
            <a:ln>
              <a:solidFill>
                <a:schemeClr val="tx1"/>
              </a:solidFill>
            </a:ln>
            <a:effectLst/>
          </c:spPr>
          <c:invertIfNegative val="0"/>
          <c:cat>
            <c:strRef>
              <c:f>Sheet2!$J$2:$J$42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Sheet2!$AE$2:$AE$42</c:f>
              <c:numCache>
                <c:formatCode>General</c:formatCode>
                <c:ptCount val="41"/>
                <c:pt idx="1">
                  <c:v>188.92</c:v>
                </c:pt>
                <c:pt idx="2">
                  <c:v>3552.5709999999999</c:v>
                </c:pt>
                <c:pt idx="3">
                  <c:v>414.911</c:v>
                </c:pt>
                <c:pt idx="4">
                  <c:v>631.827</c:v>
                </c:pt>
                <c:pt idx="5">
                  <c:v>403.13600000000002</c:v>
                </c:pt>
                <c:pt idx="8">
                  <c:v>365.69400000000002</c:v>
                </c:pt>
                <c:pt idx="9">
                  <c:v>98.811999999999998</c:v>
                </c:pt>
                <c:pt idx="10">
                  <c:v>293.25599999999997</c:v>
                </c:pt>
                <c:pt idx="11">
                  <c:v>413.42599999999999</c:v>
                </c:pt>
                <c:pt idx="12">
                  <c:v>560.95399999999995</c:v>
                </c:pt>
                <c:pt idx="13">
                  <c:v>611.65099999999995</c:v>
                </c:pt>
                <c:pt idx="14">
                  <c:v>61.881</c:v>
                </c:pt>
                <c:pt idx="17">
                  <c:v>218.08099999999999</c:v>
                </c:pt>
                <c:pt idx="18">
                  <c:v>409.43099999999998</c:v>
                </c:pt>
                <c:pt idx="19">
                  <c:v>306.88600000000002</c:v>
                </c:pt>
                <c:pt idx="20">
                  <c:v>22.41</c:v>
                </c:pt>
                <c:pt idx="21">
                  <c:v>543.52800000000002</c:v>
                </c:pt>
                <c:pt idx="22">
                  <c:v>30.75</c:v>
                </c:pt>
                <c:pt idx="23">
                  <c:v>511.86500000000001</c:v>
                </c:pt>
                <c:pt idx="26">
                  <c:v>145.36000000000001</c:v>
                </c:pt>
                <c:pt idx="27">
                  <c:v>134.13399999999999</c:v>
                </c:pt>
                <c:pt idx="28">
                  <c:v>441.084</c:v>
                </c:pt>
                <c:pt idx="29">
                  <c:v>105.188</c:v>
                </c:pt>
                <c:pt idx="30">
                  <c:v>319.697</c:v>
                </c:pt>
                <c:pt idx="31">
                  <c:v>323.142</c:v>
                </c:pt>
                <c:pt idx="32">
                  <c:v>198.886</c:v>
                </c:pt>
                <c:pt idx="33">
                  <c:v>138.61500000000001</c:v>
                </c:pt>
                <c:pt idx="36">
                  <c:v>650.89700000000005</c:v>
                </c:pt>
                <c:pt idx="37">
                  <c:v>10.46</c:v>
                </c:pt>
                <c:pt idx="38">
                  <c:v>939.15700000000004</c:v>
                </c:pt>
                <c:pt idx="39">
                  <c:v>389.31200000000001</c:v>
                </c:pt>
                <c:pt idx="40">
                  <c:v>609.55799999999999</c:v>
                </c:pt>
              </c:numCache>
            </c:numRef>
          </c:val>
        </c:ser>
        <c:ser>
          <c:idx val="1"/>
          <c:order val="1"/>
          <c:tx>
            <c:strRef>
              <c:f>Sheet2!$AF$1</c:f>
              <c:strCache>
                <c:ptCount val="1"/>
                <c:pt idx="0">
                  <c:v>Registrations</c:v>
                </c:pt>
              </c:strCache>
            </c:strRef>
          </c:tx>
          <c:spPr>
            <a:solidFill>
              <a:schemeClr val="accent2"/>
            </a:solidFill>
            <a:ln>
              <a:solidFill>
                <a:schemeClr val="tx1"/>
              </a:solidFill>
            </a:ln>
            <a:effectLst/>
          </c:spPr>
          <c:invertIfNegative val="0"/>
          <c:cat>
            <c:strRef>
              <c:f>Sheet2!$J$2:$J$42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Sheet2!$AF$2:$AF$42</c:f>
              <c:numCache>
                <c:formatCode>General</c:formatCode>
                <c:ptCount val="41"/>
                <c:pt idx="1">
                  <c:v>501.86399999999998</c:v>
                </c:pt>
                <c:pt idx="2">
                  <c:v>3943.502</c:v>
                </c:pt>
                <c:pt idx="3">
                  <c:v>561.66899999999998</c:v>
                </c:pt>
                <c:pt idx="4">
                  <c:v>847.79</c:v>
                </c:pt>
                <c:pt idx="5">
                  <c:v>331.10199999999998</c:v>
                </c:pt>
                <c:pt idx="8">
                  <c:v>349.608</c:v>
                </c:pt>
                <c:pt idx="9">
                  <c:v>135.51900000000001</c:v>
                </c:pt>
                <c:pt idx="10">
                  <c:v>358.36900000000003</c:v>
                </c:pt>
                <c:pt idx="11">
                  <c:v>64.003</c:v>
                </c:pt>
                <c:pt idx="12">
                  <c:v>1769.6559999999999</c:v>
                </c:pt>
                <c:pt idx="13">
                  <c:v>441.005</c:v>
                </c:pt>
                <c:pt idx="14">
                  <c:v>44.996000000000002</c:v>
                </c:pt>
                <c:pt idx="17">
                  <c:v>137.93700000000001</c:v>
                </c:pt>
                <c:pt idx="18">
                  <c:v>212.55</c:v>
                </c:pt>
                <c:pt idx="19">
                  <c:v>394.291</c:v>
                </c:pt>
                <c:pt idx="20">
                  <c:v>25.099</c:v>
                </c:pt>
                <c:pt idx="21">
                  <c:v>256.97800000000001</c:v>
                </c:pt>
                <c:pt idx="22">
                  <c:v>36.51</c:v>
                </c:pt>
                <c:pt idx="23">
                  <c:v>213.64400000000001</c:v>
                </c:pt>
                <c:pt idx="26">
                  <c:v>130.035</c:v>
                </c:pt>
                <c:pt idx="27">
                  <c:v>208.703</c:v>
                </c:pt>
                <c:pt idx="28">
                  <c:v>218.113</c:v>
                </c:pt>
                <c:pt idx="29">
                  <c:v>57.055</c:v>
                </c:pt>
                <c:pt idx="30">
                  <c:v>1464.24</c:v>
                </c:pt>
                <c:pt idx="31">
                  <c:v>1210.0340000000001</c:v>
                </c:pt>
                <c:pt idx="32">
                  <c:v>199.422</c:v>
                </c:pt>
                <c:pt idx="33">
                  <c:v>304.19200000000001</c:v>
                </c:pt>
                <c:pt idx="36">
                  <c:v>841.95799999999997</c:v>
                </c:pt>
                <c:pt idx="37">
                  <c:v>10.7</c:v>
                </c:pt>
                <c:pt idx="38">
                  <c:v>62.109000000000002</c:v>
                </c:pt>
                <c:pt idx="39">
                  <c:v>412.09500000000003</c:v>
                </c:pt>
                <c:pt idx="40">
                  <c:v>362.01</c:v>
                </c:pt>
              </c:numCache>
            </c:numRef>
          </c:val>
        </c:ser>
        <c:ser>
          <c:idx val="2"/>
          <c:order val="2"/>
          <c:tx>
            <c:strRef>
              <c:f>Sheet2!$AG$1</c:f>
              <c:strCache>
                <c:ptCount val="1"/>
                <c:pt idx="0">
                  <c:v>Firm</c:v>
                </c:pt>
              </c:strCache>
            </c:strRef>
          </c:tx>
          <c:spPr>
            <a:solidFill>
              <a:schemeClr val="accent3"/>
            </a:solidFill>
            <a:ln>
              <a:solidFill>
                <a:schemeClr val="tx1"/>
              </a:solidFill>
            </a:ln>
            <a:effectLst/>
          </c:spPr>
          <c:invertIfNegative val="0"/>
          <c:cat>
            <c:strRef>
              <c:f>Sheet2!$J$2:$J$42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Sheet2!$AG$2:$AG$42</c:f>
              <c:numCache>
                <c:formatCode>General</c:formatCode>
                <c:ptCount val="41"/>
                <c:pt idx="1">
                  <c:v>0</c:v>
                </c:pt>
                <c:pt idx="2">
                  <c:v>15220</c:v>
                </c:pt>
                <c:pt idx="3">
                  <c:v>5003.5</c:v>
                </c:pt>
                <c:pt idx="4">
                  <c:v>3.9</c:v>
                </c:pt>
                <c:pt idx="5">
                  <c:v>56</c:v>
                </c:pt>
                <c:pt idx="8">
                  <c:v>25.3</c:v>
                </c:pt>
                <c:pt idx="9">
                  <c:v>0</c:v>
                </c:pt>
                <c:pt idx="10">
                  <c:v>1.8</c:v>
                </c:pt>
                <c:pt idx="11">
                  <c:v>2.5</c:v>
                </c:pt>
                <c:pt idx="12">
                  <c:v>0</c:v>
                </c:pt>
                <c:pt idx="13">
                  <c:v>31.7</c:v>
                </c:pt>
                <c:pt idx="14">
                  <c:v>5</c:v>
                </c:pt>
                <c:pt idx="17">
                  <c:v>1.9930000000000001</c:v>
                </c:pt>
                <c:pt idx="18">
                  <c:v>51</c:v>
                </c:pt>
                <c:pt idx="19">
                  <c:v>14.05</c:v>
                </c:pt>
                <c:pt idx="20">
                  <c:v>0</c:v>
                </c:pt>
                <c:pt idx="21">
                  <c:v>5</c:v>
                </c:pt>
                <c:pt idx="22">
                  <c:v>0.7</c:v>
                </c:pt>
                <c:pt idx="23">
                  <c:v>0</c:v>
                </c:pt>
                <c:pt idx="26">
                  <c:v>21</c:v>
                </c:pt>
                <c:pt idx="27">
                  <c:v>0</c:v>
                </c:pt>
                <c:pt idx="28">
                  <c:v>400</c:v>
                </c:pt>
                <c:pt idx="29">
                  <c:v>2.95</c:v>
                </c:pt>
                <c:pt idx="30">
                  <c:v>0</c:v>
                </c:pt>
                <c:pt idx="31">
                  <c:v>2</c:v>
                </c:pt>
                <c:pt idx="32">
                  <c:v>29.5</c:v>
                </c:pt>
                <c:pt idx="33">
                  <c:v>0</c:v>
                </c:pt>
                <c:pt idx="36">
                  <c:v>300</c:v>
                </c:pt>
                <c:pt idx="37">
                  <c:v>0</c:v>
                </c:pt>
                <c:pt idx="38">
                  <c:v>998.2</c:v>
                </c:pt>
                <c:pt idx="39">
                  <c:v>0</c:v>
                </c:pt>
                <c:pt idx="40">
                  <c:v>0</c:v>
                </c:pt>
              </c:numCache>
            </c:numRef>
          </c:val>
        </c:ser>
        <c:ser>
          <c:idx val="3"/>
          <c:order val="3"/>
          <c:tx>
            <c:strRef>
              <c:f>Sheet2!$AH$1</c:f>
              <c:strCache>
                <c:ptCount val="1"/>
                <c:pt idx="0">
                  <c:v>Possible</c:v>
                </c:pt>
              </c:strCache>
            </c:strRef>
          </c:tx>
          <c:spPr>
            <a:solidFill>
              <a:schemeClr val="accent4"/>
            </a:solidFill>
            <a:ln>
              <a:solidFill>
                <a:schemeClr val="tx1"/>
              </a:solidFill>
            </a:ln>
            <a:effectLst/>
          </c:spPr>
          <c:invertIfNegative val="0"/>
          <c:cat>
            <c:strRef>
              <c:f>Sheet2!$J$2:$J$42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Sheet2!$AH$2:$AH$42</c:f>
              <c:numCache>
                <c:formatCode>General</c:formatCode>
                <c:ptCount val="41"/>
                <c:pt idx="1">
                  <c:v>1405.857</c:v>
                </c:pt>
                <c:pt idx="2">
                  <c:v>18868.642</c:v>
                </c:pt>
                <c:pt idx="3">
                  <c:v>3902.2249999999999</c:v>
                </c:pt>
                <c:pt idx="4">
                  <c:v>2145.9499999999998</c:v>
                </c:pt>
                <c:pt idx="5">
                  <c:v>2379.2190000000001</c:v>
                </c:pt>
                <c:pt idx="8">
                  <c:v>1264.373</c:v>
                </c:pt>
                <c:pt idx="9">
                  <c:v>661.48</c:v>
                </c:pt>
                <c:pt idx="10">
                  <c:v>858.92</c:v>
                </c:pt>
                <c:pt idx="11">
                  <c:v>511.92200000000003</c:v>
                </c:pt>
                <c:pt idx="12">
                  <c:v>1239.027</c:v>
                </c:pt>
                <c:pt idx="13">
                  <c:v>1497.9090000000001</c:v>
                </c:pt>
                <c:pt idx="14">
                  <c:v>202.16800000000001</c:v>
                </c:pt>
                <c:pt idx="17">
                  <c:v>779.71100000000001</c:v>
                </c:pt>
                <c:pt idx="18">
                  <c:v>926.154</c:v>
                </c:pt>
                <c:pt idx="19">
                  <c:v>1420.2339999999999</c:v>
                </c:pt>
                <c:pt idx="20">
                  <c:v>47.85</c:v>
                </c:pt>
                <c:pt idx="21">
                  <c:v>1327.15</c:v>
                </c:pt>
                <c:pt idx="22">
                  <c:v>41.05</c:v>
                </c:pt>
                <c:pt idx="23">
                  <c:v>1888.91</c:v>
                </c:pt>
                <c:pt idx="26">
                  <c:v>677.93799999999999</c:v>
                </c:pt>
                <c:pt idx="27">
                  <c:v>300.44799999999998</c:v>
                </c:pt>
                <c:pt idx="28">
                  <c:v>954.50599999999997</c:v>
                </c:pt>
                <c:pt idx="29">
                  <c:v>427.822</c:v>
                </c:pt>
                <c:pt idx="30">
                  <c:v>987.97500000000002</c:v>
                </c:pt>
                <c:pt idx="31">
                  <c:v>848.68899999999996</c:v>
                </c:pt>
                <c:pt idx="32">
                  <c:v>743.96400000000006</c:v>
                </c:pt>
                <c:pt idx="33">
                  <c:v>398.16800000000001</c:v>
                </c:pt>
                <c:pt idx="36">
                  <c:v>544.95100000000002</c:v>
                </c:pt>
                <c:pt idx="37">
                  <c:v>179.173</c:v>
                </c:pt>
                <c:pt idx="38">
                  <c:v>543.86599999999999</c:v>
                </c:pt>
                <c:pt idx="39">
                  <c:v>819.19399999999996</c:v>
                </c:pt>
                <c:pt idx="40">
                  <c:v>1395.2059999999999</c:v>
                </c:pt>
              </c:numCache>
            </c:numRef>
          </c:val>
        </c:ser>
        <c:ser>
          <c:idx val="4"/>
          <c:order val="4"/>
          <c:tx>
            <c:strRef>
              <c:f>Sheet2!$AI$1</c:f>
              <c:strCache>
                <c:ptCount val="1"/>
                <c:pt idx="0">
                  <c:v>Commenced</c:v>
                </c:pt>
              </c:strCache>
            </c:strRef>
          </c:tx>
          <c:spPr>
            <a:solidFill>
              <a:schemeClr val="accent5"/>
            </a:solidFill>
            <a:ln>
              <a:solidFill>
                <a:schemeClr val="tx1"/>
              </a:solidFill>
            </a:ln>
            <a:effectLst/>
          </c:spPr>
          <c:invertIfNegative val="0"/>
          <c:cat>
            <c:strRef>
              <c:f>Sheet2!$J$2:$J$42</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Sheet2!$AI$2:$AI$42</c:f>
              <c:numCache>
                <c:formatCode>General</c:formatCode>
                <c:ptCount val="41"/>
                <c:pt idx="1">
                  <c:v>917</c:v>
                </c:pt>
                <c:pt idx="2">
                  <c:v>6135.1</c:v>
                </c:pt>
                <c:pt idx="3">
                  <c:v>393.4</c:v>
                </c:pt>
                <c:pt idx="4">
                  <c:v>287.60000000000002</c:v>
                </c:pt>
                <c:pt idx="5">
                  <c:v>200.25</c:v>
                </c:pt>
                <c:pt idx="8">
                  <c:v>333.96</c:v>
                </c:pt>
                <c:pt idx="9">
                  <c:v>24.2</c:v>
                </c:pt>
                <c:pt idx="10">
                  <c:v>30</c:v>
                </c:pt>
                <c:pt idx="11">
                  <c:v>61.9</c:v>
                </c:pt>
                <c:pt idx="12">
                  <c:v>47.677</c:v>
                </c:pt>
                <c:pt idx="13">
                  <c:v>203.4</c:v>
                </c:pt>
                <c:pt idx="14">
                  <c:v>29.5</c:v>
                </c:pt>
                <c:pt idx="17">
                  <c:v>54.78</c:v>
                </c:pt>
                <c:pt idx="18">
                  <c:v>228.6</c:v>
                </c:pt>
                <c:pt idx="19">
                  <c:v>2122.4929999999999</c:v>
                </c:pt>
                <c:pt idx="20">
                  <c:v>166.76499999999999</c:v>
                </c:pt>
                <c:pt idx="21">
                  <c:v>32.5</c:v>
                </c:pt>
                <c:pt idx="22">
                  <c:v>130.65</c:v>
                </c:pt>
                <c:pt idx="23">
                  <c:v>207.834</c:v>
                </c:pt>
                <c:pt idx="26">
                  <c:v>38</c:v>
                </c:pt>
                <c:pt idx="27">
                  <c:v>70.739999999999995</c:v>
                </c:pt>
                <c:pt idx="28">
                  <c:v>310.92</c:v>
                </c:pt>
                <c:pt idx="29">
                  <c:v>307.12</c:v>
                </c:pt>
                <c:pt idx="30">
                  <c:v>920.65</c:v>
                </c:pt>
                <c:pt idx="31">
                  <c:v>263.98</c:v>
                </c:pt>
                <c:pt idx="32">
                  <c:v>964.5</c:v>
                </c:pt>
                <c:pt idx="33">
                  <c:v>353.85599999999999</c:v>
                </c:pt>
                <c:pt idx="36">
                  <c:v>175.5</c:v>
                </c:pt>
                <c:pt idx="37">
                  <c:v>9.5</c:v>
                </c:pt>
                <c:pt idx="38">
                  <c:v>1270.4169999999999</c:v>
                </c:pt>
                <c:pt idx="39">
                  <c:v>318.60000000000002</c:v>
                </c:pt>
                <c:pt idx="40">
                  <c:v>4606.8</c:v>
                </c:pt>
              </c:numCache>
            </c:numRef>
          </c:val>
        </c:ser>
        <c:dLbls>
          <c:showLegendKey val="0"/>
          <c:showVal val="0"/>
          <c:showCatName val="0"/>
          <c:showSerName val="0"/>
          <c:showPercent val="0"/>
          <c:showBubbleSize val="0"/>
        </c:dLbls>
        <c:gapWidth val="50"/>
        <c:overlap val="100"/>
        <c:axId val="797787200"/>
        <c:axId val="797787760"/>
      </c:barChart>
      <c:catAx>
        <c:axId val="7977872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787760"/>
        <c:crosses val="autoZero"/>
        <c:auto val="1"/>
        <c:lblAlgn val="ctr"/>
        <c:lblOffset val="100"/>
        <c:noMultiLvlLbl val="0"/>
      </c:catAx>
      <c:valAx>
        <c:axId val="797787760"/>
        <c:scaling>
          <c:orientation val="minMax"/>
        </c:scaling>
        <c:delete val="0"/>
        <c:axPos val="t"/>
        <c:majorGridlines>
          <c:spPr>
            <a:ln w="9525" cap="flat" cmpd="sng" algn="ctr">
              <a:solidFill>
                <a:schemeClr val="tx1">
                  <a:lumMod val="15000"/>
                  <a:lumOff val="85000"/>
                </a:schemeClr>
              </a:solidFill>
              <a:round/>
            </a:ln>
            <a:effectLst/>
          </c:spPr>
        </c:maj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787200"/>
        <c:crosses val="autoZero"/>
        <c:crossBetween val="between"/>
      </c:valAx>
      <c:spPr>
        <a:noFill/>
        <a:ln>
          <a:noFill/>
        </a:ln>
        <a:effectLst/>
      </c:spPr>
    </c:plotArea>
    <c:legend>
      <c:legendPos val="b"/>
      <c:layout>
        <c:manualLayout>
          <c:xMode val="edge"/>
          <c:yMode val="edge"/>
          <c:x val="0.57550115672927449"/>
          <c:y val="1.5284081707685371E-3"/>
          <c:w val="0.41766072344405225"/>
          <c:h val="9.241267020610750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400" b="0" i="0" baseline="0">
                <a:effectLst/>
              </a:rPr>
              <a:t>Value of Cordell Connect Projects by Stage</a:t>
            </a:r>
            <a:endParaRPr lang="en-AU" sz="1400">
              <a:effectLst/>
            </a:endParaRPr>
          </a:p>
          <a:p>
            <a:pPr algn="l">
              <a:defRPr/>
            </a:pPr>
            <a:r>
              <a:rPr lang="en-AU" sz="1400" b="0" i="0" baseline="0">
                <a:effectLst/>
              </a:rPr>
              <a:t>Regional Victoria - June 2016 - $Millions</a:t>
            </a:r>
            <a:endParaRPr lang="en-AU" sz="1400">
              <a:effectLst/>
            </a:endParaRPr>
          </a:p>
          <a:p>
            <a:pPr algn="l">
              <a:defRPr/>
            </a:pPr>
            <a:r>
              <a:rPr lang="en-AU" sz="800" b="0" i="0" baseline="0">
                <a:effectLst/>
              </a:rPr>
              <a:t>Source: MPA analysis of Cordell Connect June 2016</a:t>
            </a:r>
            <a:endParaRPr lang="en-AU" sz="800">
              <a:effectLst/>
            </a:endParaRPr>
          </a:p>
        </c:rich>
      </c:tx>
      <c:layout>
        <c:manualLayout>
          <c:xMode val="edge"/>
          <c:yMode val="edge"/>
          <c:x val="1.5166888168017107E-3"/>
          <c:y val="9.1360175308825647E-4"/>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357630205480214"/>
          <c:y val="0.14108450451475665"/>
          <c:w val="0.77044870298653689"/>
          <c:h val="0.81429271730138775"/>
        </c:manualLayout>
      </c:layout>
      <c:barChart>
        <c:barDir val="bar"/>
        <c:grouping val="stacked"/>
        <c:varyColors val="0"/>
        <c:ser>
          <c:idx val="0"/>
          <c:order val="0"/>
          <c:tx>
            <c:strRef>
              <c:f>Sheet2!$AE$1</c:f>
              <c:strCache>
                <c:ptCount val="1"/>
                <c:pt idx="0">
                  <c:v>Early</c:v>
                </c:pt>
              </c:strCache>
            </c:strRef>
          </c:tx>
          <c:spPr>
            <a:solidFill>
              <a:schemeClr val="accent1"/>
            </a:solidFill>
            <a:ln>
              <a:solidFill>
                <a:schemeClr val="tx1"/>
              </a:solidFill>
            </a:ln>
            <a:effectLst/>
          </c:spPr>
          <c:invertIfNegative val="0"/>
          <c:cat>
            <c:strRef>
              <c:f>Sheet2!$J$44:$J$95</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Sheet2!$AE$44:$AE$95</c:f>
              <c:numCache>
                <c:formatCode>General</c:formatCode>
                <c:ptCount val="52"/>
                <c:pt idx="1">
                  <c:v>158.864</c:v>
                </c:pt>
                <c:pt idx="2">
                  <c:v>133.87899999999999</c:v>
                </c:pt>
                <c:pt idx="3">
                  <c:v>686.66399999999999</c:v>
                </c:pt>
                <c:pt idx="4">
                  <c:v>25.393999999999998</c:v>
                </c:pt>
                <c:pt idx="5">
                  <c:v>0.96699999999999997</c:v>
                </c:pt>
                <c:pt idx="6">
                  <c:v>105.242</c:v>
                </c:pt>
                <c:pt idx="7">
                  <c:v>21.51</c:v>
                </c:pt>
                <c:pt idx="8">
                  <c:v>9.1010000000000009</c:v>
                </c:pt>
                <c:pt idx="9">
                  <c:v>16.225000000000001</c:v>
                </c:pt>
                <c:pt idx="10">
                  <c:v>79.174999999999997</c:v>
                </c:pt>
                <c:pt idx="13">
                  <c:v>18.100000000000001</c:v>
                </c:pt>
                <c:pt idx="14">
                  <c:v>17.846</c:v>
                </c:pt>
                <c:pt idx="15">
                  <c:v>20.866</c:v>
                </c:pt>
                <c:pt idx="16">
                  <c:v>5.6180000000000003</c:v>
                </c:pt>
                <c:pt idx="17">
                  <c:v>30.331</c:v>
                </c:pt>
                <c:pt idx="18">
                  <c:v>4.25</c:v>
                </c:pt>
                <c:pt idx="19">
                  <c:v>1.1859999999999999</c:v>
                </c:pt>
                <c:pt idx="20">
                  <c:v>8.5389999999999997</c:v>
                </c:pt>
                <c:pt idx="21">
                  <c:v>63.344999999999999</c:v>
                </c:pt>
                <c:pt idx="24">
                  <c:v>9.0280000000000005</c:v>
                </c:pt>
                <c:pt idx="25">
                  <c:v>125.45</c:v>
                </c:pt>
                <c:pt idx="26">
                  <c:v>0</c:v>
                </c:pt>
                <c:pt idx="27">
                  <c:v>4.1500000000000004</c:v>
                </c:pt>
                <c:pt idx="28">
                  <c:v>3.23</c:v>
                </c:pt>
                <c:pt idx="29">
                  <c:v>42.457999999999998</c:v>
                </c:pt>
                <c:pt idx="30">
                  <c:v>4.3550000000000004</c:v>
                </c:pt>
                <c:pt idx="31">
                  <c:v>4.67</c:v>
                </c:pt>
                <c:pt idx="32">
                  <c:v>3.629</c:v>
                </c:pt>
                <c:pt idx="33">
                  <c:v>1.7</c:v>
                </c:pt>
                <c:pt idx="34">
                  <c:v>9.7639999999999993</c:v>
                </c:pt>
                <c:pt idx="35">
                  <c:v>0.2</c:v>
                </c:pt>
                <c:pt idx="36">
                  <c:v>41.45</c:v>
                </c:pt>
                <c:pt idx="37">
                  <c:v>2.2160000000000002</c:v>
                </c:pt>
                <c:pt idx="38">
                  <c:v>14.699</c:v>
                </c:pt>
                <c:pt idx="39">
                  <c:v>3.4769999999999999</c:v>
                </c:pt>
                <c:pt idx="40">
                  <c:v>145.03</c:v>
                </c:pt>
                <c:pt idx="41">
                  <c:v>12.835000000000001</c:v>
                </c:pt>
                <c:pt idx="42">
                  <c:v>11.65</c:v>
                </c:pt>
                <c:pt idx="43">
                  <c:v>29.25</c:v>
                </c:pt>
                <c:pt idx="44">
                  <c:v>1.1200000000000001</c:v>
                </c:pt>
                <c:pt idx="45">
                  <c:v>19.152999999999999</c:v>
                </c:pt>
                <c:pt idx="46">
                  <c:v>18.158000000000001</c:v>
                </c:pt>
                <c:pt idx="47">
                  <c:v>6.51</c:v>
                </c:pt>
                <c:pt idx="48">
                  <c:v>1</c:v>
                </c:pt>
                <c:pt idx="49">
                  <c:v>39.606999999999999</c:v>
                </c:pt>
                <c:pt idx="50">
                  <c:v>0</c:v>
                </c:pt>
                <c:pt idx="51">
                  <c:v>0.90600000000000003</c:v>
                </c:pt>
              </c:numCache>
            </c:numRef>
          </c:val>
        </c:ser>
        <c:ser>
          <c:idx val="1"/>
          <c:order val="1"/>
          <c:tx>
            <c:strRef>
              <c:f>Sheet2!$AF$1</c:f>
              <c:strCache>
                <c:ptCount val="1"/>
                <c:pt idx="0">
                  <c:v>Registrations</c:v>
                </c:pt>
              </c:strCache>
            </c:strRef>
          </c:tx>
          <c:spPr>
            <a:solidFill>
              <a:schemeClr val="accent2"/>
            </a:solidFill>
            <a:ln>
              <a:solidFill>
                <a:schemeClr val="tx1"/>
              </a:solidFill>
            </a:ln>
            <a:effectLst/>
          </c:spPr>
          <c:invertIfNegative val="0"/>
          <c:cat>
            <c:strRef>
              <c:f>Sheet2!$J$44:$J$95</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Sheet2!$AF$44:$AF$95</c:f>
              <c:numCache>
                <c:formatCode>General</c:formatCode>
                <c:ptCount val="52"/>
                <c:pt idx="1">
                  <c:v>89.355999999999995</c:v>
                </c:pt>
                <c:pt idx="2">
                  <c:v>790.94500000000005</c:v>
                </c:pt>
                <c:pt idx="3">
                  <c:v>312.52</c:v>
                </c:pt>
                <c:pt idx="4">
                  <c:v>133.21799999999999</c:v>
                </c:pt>
                <c:pt idx="5">
                  <c:v>16.544</c:v>
                </c:pt>
                <c:pt idx="6">
                  <c:v>27.303000000000001</c:v>
                </c:pt>
                <c:pt idx="7">
                  <c:v>15.635999999999999</c:v>
                </c:pt>
                <c:pt idx="8">
                  <c:v>17.138000000000002</c:v>
                </c:pt>
                <c:pt idx="9">
                  <c:v>23.018999999999998</c:v>
                </c:pt>
                <c:pt idx="10">
                  <c:v>62.673999999999999</c:v>
                </c:pt>
                <c:pt idx="13">
                  <c:v>12.308999999999999</c:v>
                </c:pt>
                <c:pt idx="14">
                  <c:v>46.94</c:v>
                </c:pt>
                <c:pt idx="15">
                  <c:v>1.1579999999999999</c:v>
                </c:pt>
                <c:pt idx="16">
                  <c:v>14.305999999999999</c:v>
                </c:pt>
                <c:pt idx="17">
                  <c:v>15.978999999999999</c:v>
                </c:pt>
                <c:pt idx="18">
                  <c:v>14.13</c:v>
                </c:pt>
                <c:pt idx="19">
                  <c:v>0.20499999999999999</c:v>
                </c:pt>
                <c:pt idx="20">
                  <c:v>13.837</c:v>
                </c:pt>
                <c:pt idx="21">
                  <c:v>79.665000000000006</c:v>
                </c:pt>
                <c:pt idx="24">
                  <c:v>45.149000000000001</c:v>
                </c:pt>
                <c:pt idx="25">
                  <c:v>17.824999999999999</c:v>
                </c:pt>
                <c:pt idx="26">
                  <c:v>1.4</c:v>
                </c:pt>
                <c:pt idx="27">
                  <c:v>16.440999999999999</c:v>
                </c:pt>
                <c:pt idx="28">
                  <c:v>20.349</c:v>
                </c:pt>
                <c:pt idx="29">
                  <c:v>5.9690000000000003</c:v>
                </c:pt>
                <c:pt idx="30">
                  <c:v>135.27799999999999</c:v>
                </c:pt>
                <c:pt idx="31">
                  <c:v>3.14</c:v>
                </c:pt>
                <c:pt idx="32">
                  <c:v>27.844999999999999</c:v>
                </c:pt>
                <c:pt idx="33">
                  <c:v>4.5419999999999998</c:v>
                </c:pt>
                <c:pt idx="34">
                  <c:v>12.28</c:v>
                </c:pt>
                <c:pt idx="35">
                  <c:v>5.734</c:v>
                </c:pt>
                <c:pt idx="36">
                  <c:v>2.6949999999999998</c:v>
                </c:pt>
                <c:pt idx="37">
                  <c:v>1.2</c:v>
                </c:pt>
                <c:pt idx="38">
                  <c:v>11.824999999999999</c:v>
                </c:pt>
                <c:pt idx="39">
                  <c:v>0</c:v>
                </c:pt>
                <c:pt idx="40">
                  <c:v>7.88</c:v>
                </c:pt>
                <c:pt idx="41">
                  <c:v>7.4039999999999999</c:v>
                </c:pt>
                <c:pt idx="42">
                  <c:v>3.3079999999999998</c:v>
                </c:pt>
                <c:pt idx="43">
                  <c:v>1.1499999999999999</c:v>
                </c:pt>
                <c:pt idx="44">
                  <c:v>4.7210000000000001</c:v>
                </c:pt>
                <c:pt idx="45">
                  <c:v>13.321999999999999</c:v>
                </c:pt>
                <c:pt idx="46">
                  <c:v>12.196999999999999</c:v>
                </c:pt>
                <c:pt idx="47">
                  <c:v>89.15</c:v>
                </c:pt>
                <c:pt idx="48">
                  <c:v>1.4910000000000001</c:v>
                </c:pt>
                <c:pt idx="49">
                  <c:v>44.128</c:v>
                </c:pt>
                <c:pt idx="50">
                  <c:v>0</c:v>
                </c:pt>
                <c:pt idx="51">
                  <c:v>0.3</c:v>
                </c:pt>
              </c:numCache>
            </c:numRef>
          </c:val>
        </c:ser>
        <c:ser>
          <c:idx val="2"/>
          <c:order val="2"/>
          <c:tx>
            <c:strRef>
              <c:f>Sheet2!$AG$1</c:f>
              <c:strCache>
                <c:ptCount val="1"/>
                <c:pt idx="0">
                  <c:v>Firm</c:v>
                </c:pt>
              </c:strCache>
            </c:strRef>
          </c:tx>
          <c:spPr>
            <a:solidFill>
              <a:schemeClr val="accent3"/>
            </a:solidFill>
            <a:ln>
              <a:solidFill>
                <a:schemeClr val="tx1"/>
              </a:solidFill>
            </a:ln>
            <a:effectLst/>
          </c:spPr>
          <c:invertIfNegative val="0"/>
          <c:cat>
            <c:strRef>
              <c:f>Sheet2!$J$44:$J$95</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Sheet2!$AG$44:$AG$95</c:f>
              <c:numCache>
                <c:formatCode>General</c:formatCode>
                <c:ptCount val="52"/>
                <c:pt idx="1">
                  <c:v>0.75</c:v>
                </c:pt>
                <c:pt idx="2">
                  <c:v>0</c:v>
                </c:pt>
                <c:pt idx="3">
                  <c:v>3.75</c:v>
                </c:pt>
                <c:pt idx="4">
                  <c:v>0</c:v>
                </c:pt>
                <c:pt idx="5">
                  <c:v>0</c:v>
                </c:pt>
                <c:pt idx="6">
                  <c:v>0.15</c:v>
                </c:pt>
                <c:pt idx="7">
                  <c:v>0.3</c:v>
                </c:pt>
                <c:pt idx="8">
                  <c:v>0</c:v>
                </c:pt>
                <c:pt idx="9">
                  <c:v>0</c:v>
                </c:pt>
                <c:pt idx="10">
                  <c:v>0</c:v>
                </c:pt>
                <c:pt idx="13">
                  <c:v>0</c:v>
                </c:pt>
                <c:pt idx="14">
                  <c:v>0</c:v>
                </c:pt>
                <c:pt idx="15">
                  <c:v>0</c:v>
                </c:pt>
                <c:pt idx="16">
                  <c:v>0</c:v>
                </c:pt>
                <c:pt idx="17">
                  <c:v>0</c:v>
                </c:pt>
                <c:pt idx="18">
                  <c:v>1.4</c:v>
                </c:pt>
                <c:pt idx="19">
                  <c:v>3.5</c:v>
                </c:pt>
                <c:pt idx="20">
                  <c:v>0</c:v>
                </c:pt>
                <c:pt idx="21">
                  <c:v>8</c:v>
                </c:pt>
                <c:pt idx="24">
                  <c:v>2.5</c:v>
                </c:pt>
                <c:pt idx="25">
                  <c:v>125</c:v>
                </c:pt>
                <c:pt idx="26">
                  <c:v>0</c:v>
                </c:pt>
                <c:pt idx="27">
                  <c:v>0</c:v>
                </c:pt>
                <c:pt idx="28">
                  <c:v>0.25</c:v>
                </c:pt>
                <c:pt idx="29">
                  <c:v>0</c:v>
                </c:pt>
                <c:pt idx="30">
                  <c:v>160</c:v>
                </c:pt>
                <c:pt idx="31">
                  <c:v>0</c:v>
                </c:pt>
                <c:pt idx="32">
                  <c:v>1.7</c:v>
                </c:pt>
                <c:pt idx="33">
                  <c:v>0</c:v>
                </c:pt>
                <c:pt idx="34">
                  <c:v>2.2999999999999998</c:v>
                </c:pt>
                <c:pt idx="35">
                  <c:v>0</c:v>
                </c:pt>
                <c:pt idx="36">
                  <c:v>0</c:v>
                </c:pt>
                <c:pt idx="37">
                  <c:v>0.06</c:v>
                </c:pt>
                <c:pt idx="38">
                  <c:v>0</c:v>
                </c:pt>
                <c:pt idx="39">
                  <c:v>1</c:v>
                </c:pt>
                <c:pt idx="40">
                  <c:v>7.6</c:v>
                </c:pt>
                <c:pt idx="41">
                  <c:v>1.1000000000000001</c:v>
                </c:pt>
                <c:pt idx="42">
                  <c:v>0</c:v>
                </c:pt>
                <c:pt idx="43">
                  <c:v>0</c:v>
                </c:pt>
                <c:pt idx="44">
                  <c:v>0</c:v>
                </c:pt>
                <c:pt idx="45">
                  <c:v>0.25</c:v>
                </c:pt>
                <c:pt idx="46">
                  <c:v>0</c:v>
                </c:pt>
                <c:pt idx="47">
                  <c:v>0</c:v>
                </c:pt>
                <c:pt idx="48">
                  <c:v>0</c:v>
                </c:pt>
                <c:pt idx="49">
                  <c:v>0</c:v>
                </c:pt>
                <c:pt idx="50">
                  <c:v>0</c:v>
                </c:pt>
                <c:pt idx="51">
                  <c:v>0</c:v>
                </c:pt>
              </c:numCache>
            </c:numRef>
          </c:val>
        </c:ser>
        <c:ser>
          <c:idx val="3"/>
          <c:order val="3"/>
          <c:tx>
            <c:strRef>
              <c:f>Sheet2!$AH$1</c:f>
              <c:strCache>
                <c:ptCount val="1"/>
                <c:pt idx="0">
                  <c:v>Possible</c:v>
                </c:pt>
              </c:strCache>
            </c:strRef>
          </c:tx>
          <c:spPr>
            <a:solidFill>
              <a:schemeClr val="accent4"/>
            </a:solidFill>
            <a:ln>
              <a:solidFill>
                <a:schemeClr val="tx1"/>
              </a:solidFill>
            </a:ln>
            <a:effectLst/>
          </c:spPr>
          <c:invertIfNegative val="0"/>
          <c:cat>
            <c:strRef>
              <c:f>Sheet2!$J$44:$J$95</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Sheet2!$AH$44:$AH$95</c:f>
              <c:numCache>
                <c:formatCode>General</c:formatCode>
                <c:ptCount val="52"/>
                <c:pt idx="1">
                  <c:v>504.11700000000002</c:v>
                </c:pt>
                <c:pt idx="2">
                  <c:v>266.31599999999997</c:v>
                </c:pt>
                <c:pt idx="3">
                  <c:v>1285.1679999999999</c:v>
                </c:pt>
                <c:pt idx="4">
                  <c:v>51.6</c:v>
                </c:pt>
                <c:pt idx="5">
                  <c:v>2.04</c:v>
                </c:pt>
                <c:pt idx="6">
                  <c:v>628.45000000000005</c:v>
                </c:pt>
                <c:pt idx="7">
                  <c:v>108.05</c:v>
                </c:pt>
                <c:pt idx="8">
                  <c:v>68.099999999999994</c:v>
                </c:pt>
                <c:pt idx="9">
                  <c:v>44</c:v>
                </c:pt>
                <c:pt idx="10">
                  <c:v>34.18</c:v>
                </c:pt>
                <c:pt idx="13">
                  <c:v>31.93</c:v>
                </c:pt>
                <c:pt idx="14">
                  <c:v>133.755</c:v>
                </c:pt>
                <c:pt idx="15">
                  <c:v>6.35</c:v>
                </c:pt>
                <c:pt idx="16">
                  <c:v>75.081000000000003</c:v>
                </c:pt>
                <c:pt idx="17">
                  <c:v>273.51</c:v>
                </c:pt>
                <c:pt idx="18">
                  <c:v>5.9189999999999996</c:v>
                </c:pt>
                <c:pt idx="19">
                  <c:v>0</c:v>
                </c:pt>
                <c:pt idx="20">
                  <c:v>7.2</c:v>
                </c:pt>
                <c:pt idx="21">
                  <c:v>96.55</c:v>
                </c:pt>
                <c:pt idx="24">
                  <c:v>4.1379999999999999</c:v>
                </c:pt>
                <c:pt idx="25">
                  <c:v>11.8</c:v>
                </c:pt>
                <c:pt idx="26">
                  <c:v>0.25</c:v>
                </c:pt>
                <c:pt idx="27">
                  <c:v>1.6850000000000001</c:v>
                </c:pt>
                <c:pt idx="28">
                  <c:v>12.27</c:v>
                </c:pt>
                <c:pt idx="29">
                  <c:v>0</c:v>
                </c:pt>
                <c:pt idx="30">
                  <c:v>15.9</c:v>
                </c:pt>
                <c:pt idx="31">
                  <c:v>184.6</c:v>
                </c:pt>
                <c:pt idx="32">
                  <c:v>4.7809999999999997</c:v>
                </c:pt>
                <c:pt idx="33">
                  <c:v>23.53</c:v>
                </c:pt>
                <c:pt idx="34">
                  <c:v>4.0709999999999997</c:v>
                </c:pt>
                <c:pt idx="35">
                  <c:v>21</c:v>
                </c:pt>
                <c:pt idx="36">
                  <c:v>14.3</c:v>
                </c:pt>
                <c:pt idx="37">
                  <c:v>6.35</c:v>
                </c:pt>
                <c:pt idx="38">
                  <c:v>38.700000000000003</c:v>
                </c:pt>
                <c:pt idx="39">
                  <c:v>0</c:v>
                </c:pt>
                <c:pt idx="40">
                  <c:v>17.3</c:v>
                </c:pt>
                <c:pt idx="41">
                  <c:v>24.465</c:v>
                </c:pt>
                <c:pt idx="42">
                  <c:v>333.65</c:v>
                </c:pt>
                <c:pt idx="43">
                  <c:v>167.65</c:v>
                </c:pt>
                <c:pt idx="44">
                  <c:v>251</c:v>
                </c:pt>
                <c:pt idx="45">
                  <c:v>202.15</c:v>
                </c:pt>
                <c:pt idx="46">
                  <c:v>6.06</c:v>
                </c:pt>
                <c:pt idx="47">
                  <c:v>10.369</c:v>
                </c:pt>
                <c:pt idx="48">
                  <c:v>0</c:v>
                </c:pt>
                <c:pt idx="49">
                  <c:v>99.95</c:v>
                </c:pt>
                <c:pt idx="50">
                  <c:v>0</c:v>
                </c:pt>
                <c:pt idx="51">
                  <c:v>0.18</c:v>
                </c:pt>
              </c:numCache>
            </c:numRef>
          </c:val>
        </c:ser>
        <c:ser>
          <c:idx val="4"/>
          <c:order val="4"/>
          <c:tx>
            <c:strRef>
              <c:f>Sheet2!$AI$1</c:f>
              <c:strCache>
                <c:ptCount val="1"/>
                <c:pt idx="0">
                  <c:v>Commenced</c:v>
                </c:pt>
              </c:strCache>
            </c:strRef>
          </c:tx>
          <c:spPr>
            <a:solidFill>
              <a:schemeClr val="accent5"/>
            </a:solidFill>
            <a:ln>
              <a:solidFill>
                <a:schemeClr val="tx1"/>
              </a:solidFill>
            </a:ln>
            <a:effectLst/>
          </c:spPr>
          <c:invertIfNegative val="0"/>
          <c:cat>
            <c:strRef>
              <c:f>Sheet2!$J$44:$J$95</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Coastal &amp; Peri-Urban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Sheet2!$AI$44:$AI$95</c:f>
              <c:numCache>
                <c:formatCode>General</c:formatCode>
                <c:ptCount val="52"/>
                <c:pt idx="1">
                  <c:v>291.41300000000001</c:v>
                </c:pt>
                <c:pt idx="2">
                  <c:v>80.820999999999998</c:v>
                </c:pt>
                <c:pt idx="3">
                  <c:v>6812.7250000000004</c:v>
                </c:pt>
                <c:pt idx="4">
                  <c:v>203.7</c:v>
                </c:pt>
                <c:pt idx="5">
                  <c:v>87.527000000000001</c:v>
                </c:pt>
                <c:pt idx="6">
                  <c:v>145.012</c:v>
                </c:pt>
                <c:pt idx="7">
                  <c:v>284.52499999999998</c:v>
                </c:pt>
                <c:pt idx="8">
                  <c:v>45.4</c:v>
                </c:pt>
                <c:pt idx="9">
                  <c:v>46.207000000000001</c:v>
                </c:pt>
                <c:pt idx="10">
                  <c:v>0</c:v>
                </c:pt>
                <c:pt idx="13">
                  <c:v>87</c:v>
                </c:pt>
                <c:pt idx="14">
                  <c:v>15.119</c:v>
                </c:pt>
                <c:pt idx="15">
                  <c:v>300.7</c:v>
                </c:pt>
                <c:pt idx="16">
                  <c:v>7.9</c:v>
                </c:pt>
                <c:pt idx="17">
                  <c:v>335.9</c:v>
                </c:pt>
                <c:pt idx="18">
                  <c:v>193</c:v>
                </c:pt>
                <c:pt idx="19">
                  <c:v>7.95</c:v>
                </c:pt>
                <c:pt idx="20">
                  <c:v>105.17</c:v>
                </c:pt>
                <c:pt idx="21">
                  <c:v>205</c:v>
                </c:pt>
                <c:pt idx="24">
                  <c:v>22.530999999999999</c:v>
                </c:pt>
                <c:pt idx="25">
                  <c:v>22.4</c:v>
                </c:pt>
                <c:pt idx="26">
                  <c:v>5.7</c:v>
                </c:pt>
                <c:pt idx="27">
                  <c:v>6.4</c:v>
                </c:pt>
                <c:pt idx="28">
                  <c:v>219.75399999999999</c:v>
                </c:pt>
                <c:pt idx="29">
                  <c:v>1</c:v>
                </c:pt>
                <c:pt idx="30">
                  <c:v>85.3</c:v>
                </c:pt>
                <c:pt idx="31">
                  <c:v>40.353999999999999</c:v>
                </c:pt>
                <c:pt idx="32">
                  <c:v>10.305</c:v>
                </c:pt>
                <c:pt idx="33">
                  <c:v>14.176</c:v>
                </c:pt>
                <c:pt idx="34">
                  <c:v>13.85</c:v>
                </c:pt>
                <c:pt idx="35">
                  <c:v>1.542</c:v>
                </c:pt>
                <c:pt idx="36">
                  <c:v>0</c:v>
                </c:pt>
                <c:pt idx="37">
                  <c:v>9.9</c:v>
                </c:pt>
                <c:pt idx="38">
                  <c:v>80</c:v>
                </c:pt>
                <c:pt idx="39">
                  <c:v>4.45</c:v>
                </c:pt>
                <c:pt idx="40">
                  <c:v>78.260000000000005</c:v>
                </c:pt>
                <c:pt idx="41">
                  <c:v>48.838000000000001</c:v>
                </c:pt>
                <c:pt idx="42">
                  <c:v>105.95</c:v>
                </c:pt>
                <c:pt idx="43">
                  <c:v>0.15</c:v>
                </c:pt>
                <c:pt idx="44">
                  <c:v>25</c:v>
                </c:pt>
                <c:pt idx="45">
                  <c:v>3.5230000000000001</c:v>
                </c:pt>
                <c:pt idx="46">
                  <c:v>0</c:v>
                </c:pt>
                <c:pt idx="47">
                  <c:v>31.8</c:v>
                </c:pt>
                <c:pt idx="48">
                  <c:v>4</c:v>
                </c:pt>
                <c:pt idx="49">
                  <c:v>85.2</c:v>
                </c:pt>
                <c:pt idx="50">
                  <c:v>1.5</c:v>
                </c:pt>
                <c:pt idx="51">
                  <c:v>186.5</c:v>
                </c:pt>
              </c:numCache>
            </c:numRef>
          </c:val>
        </c:ser>
        <c:dLbls>
          <c:showLegendKey val="0"/>
          <c:showVal val="0"/>
          <c:showCatName val="0"/>
          <c:showSerName val="0"/>
          <c:showPercent val="0"/>
          <c:showBubbleSize val="0"/>
        </c:dLbls>
        <c:gapWidth val="50"/>
        <c:overlap val="100"/>
        <c:axId val="797792240"/>
        <c:axId val="797792800"/>
      </c:barChart>
      <c:catAx>
        <c:axId val="7977922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792800"/>
        <c:crosses val="autoZero"/>
        <c:auto val="1"/>
        <c:lblAlgn val="ctr"/>
        <c:lblOffset val="100"/>
        <c:noMultiLvlLbl val="0"/>
      </c:catAx>
      <c:valAx>
        <c:axId val="797792800"/>
        <c:scaling>
          <c:orientation val="minMax"/>
        </c:scaling>
        <c:delete val="0"/>
        <c:axPos val="t"/>
        <c:majorGridlines>
          <c:spPr>
            <a:ln w="9525" cap="flat" cmpd="sng" algn="ctr">
              <a:solidFill>
                <a:schemeClr val="tx1">
                  <a:lumMod val="15000"/>
                  <a:lumOff val="85000"/>
                </a:schemeClr>
              </a:solidFill>
              <a:round/>
            </a:ln>
            <a:effectLst/>
          </c:spPr>
        </c:maj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792240"/>
        <c:crosses val="autoZero"/>
        <c:crossBetween val="between"/>
      </c:valAx>
      <c:spPr>
        <a:noFill/>
        <a:ln>
          <a:noFill/>
        </a:ln>
        <a:effectLst/>
      </c:spPr>
    </c:plotArea>
    <c:legend>
      <c:legendPos val="b"/>
      <c:layout>
        <c:manualLayout>
          <c:xMode val="edge"/>
          <c:yMode val="edge"/>
          <c:x val="0.57550115672927449"/>
          <c:y val="1.5284081707685371E-3"/>
          <c:w val="0.41766072344405225"/>
          <c:h val="9.2412670206107508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Residential Property Sales Rates </a:t>
            </a:r>
            <a:r>
              <a:rPr lang="en-AU" baseline="0"/>
              <a:t> -  2015</a:t>
            </a:r>
          </a:p>
          <a:p>
            <a:pPr algn="l">
              <a:defRPr/>
            </a:pPr>
            <a:r>
              <a:rPr lang="en-AU" baseline="0"/>
              <a:t>Metropolitan Melbourne</a:t>
            </a:r>
          </a:p>
          <a:p>
            <a:pPr algn="l">
              <a:defRPr/>
            </a:pPr>
            <a:r>
              <a:rPr lang="en-AU" sz="1000" baseline="0"/>
              <a:t>Source: MPA analysis of Landata </a:t>
            </a:r>
            <a:endParaRPr lang="en-AU" sz="1000"/>
          </a:p>
        </c:rich>
      </c:tx>
      <c:layout>
        <c:manualLayout>
          <c:xMode val="edge"/>
          <c:yMode val="edge"/>
          <c:x val="4.9167767072594195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200860761969971"/>
          <c:y val="0.11943012881547195"/>
          <c:w val="0.76617321509053793"/>
          <c:h val="0.84702727376469245"/>
        </c:manualLayout>
      </c:layout>
      <c:barChart>
        <c:barDir val="bar"/>
        <c:grouping val="stacked"/>
        <c:varyColors val="0"/>
        <c:ser>
          <c:idx val="0"/>
          <c:order val="0"/>
          <c:tx>
            <c:strRef>
              <c:f>Summary!$D$3</c:f>
              <c:strCache>
                <c:ptCount val="1"/>
                <c:pt idx="0">
                  <c:v>Detached House Sales</c:v>
                </c:pt>
              </c:strCache>
            </c:strRef>
          </c:tx>
          <c:spPr>
            <a:solidFill>
              <a:schemeClr val="accent1"/>
            </a:solidFill>
            <a:ln>
              <a:solidFill>
                <a:schemeClr val="tx1"/>
              </a:solidFill>
            </a:ln>
            <a:effectLst/>
          </c:spPr>
          <c:invertIfNegative val="0"/>
          <c:cat>
            <c:strRef>
              <c:f>Summary!$C$4:$C$44</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Summary!$D$4:$D$44</c:f>
              <c:numCache>
                <c:formatCode>General</c:formatCode>
                <c:ptCount val="41"/>
                <c:pt idx="1">
                  <c:v>912</c:v>
                </c:pt>
                <c:pt idx="2">
                  <c:v>287</c:v>
                </c:pt>
                <c:pt idx="3">
                  <c:v>689</c:v>
                </c:pt>
                <c:pt idx="4">
                  <c:v>973</c:v>
                </c:pt>
                <c:pt idx="5">
                  <c:v>728</c:v>
                </c:pt>
                <c:pt idx="8">
                  <c:v>2088</c:v>
                </c:pt>
                <c:pt idx="9">
                  <c:v>2091</c:v>
                </c:pt>
                <c:pt idx="10">
                  <c:v>1387</c:v>
                </c:pt>
                <c:pt idx="11">
                  <c:v>1472</c:v>
                </c:pt>
                <c:pt idx="12">
                  <c:v>2279</c:v>
                </c:pt>
                <c:pt idx="13">
                  <c:v>2062</c:v>
                </c:pt>
                <c:pt idx="14">
                  <c:v>2326</c:v>
                </c:pt>
                <c:pt idx="17">
                  <c:v>1420</c:v>
                </c:pt>
                <c:pt idx="18">
                  <c:v>1402</c:v>
                </c:pt>
                <c:pt idx="19">
                  <c:v>3022</c:v>
                </c:pt>
                <c:pt idx="20">
                  <c:v>487</c:v>
                </c:pt>
                <c:pt idx="21">
                  <c:v>1724</c:v>
                </c:pt>
                <c:pt idx="22">
                  <c:v>676</c:v>
                </c:pt>
                <c:pt idx="23">
                  <c:v>2876</c:v>
                </c:pt>
                <c:pt idx="26">
                  <c:v>1244</c:v>
                </c:pt>
                <c:pt idx="27">
                  <c:v>1680</c:v>
                </c:pt>
                <c:pt idx="28">
                  <c:v>5186</c:v>
                </c:pt>
                <c:pt idx="29">
                  <c:v>2429</c:v>
                </c:pt>
                <c:pt idx="30">
                  <c:v>1352</c:v>
                </c:pt>
                <c:pt idx="31">
                  <c:v>1534</c:v>
                </c:pt>
                <c:pt idx="32">
                  <c:v>1677</c:v>
                </c:pt>
                <c:pt idx="33">
                  <c:v>4126</c:v>
                </c:pt>
                <c:pt idx="36">
                  <c:v>2487</c:v>
                </c:pt>
                <c:pt idx="37">
                  <c:v>1291</c:v>
                </c:pt>
                <c:pt idx="38">
                  <c:v>2172</c:v>
                </c:pt>
                <c:pt idx="39">
                  <c:v>1408</c:v>
                </c:pt>
                <c:pt idx="40">
                  <c:v>4146</c:v>
                </c:pt>
              </c:numCache>
            </c:numRef>
          </c:val>
        </c:ser>
        <c:ser>
          <c:idx val="1"/>
          <c:order val="1"/>
          <c:tx>
            <c:strRef>
              <c:f>Summary!$E$3</c:f>
              <c:strCache>
                <c:ptCount val="1"/>
                <c:pt idx="0">
                  <c:v>Semi-Detached House Sales</c:v>
                </c:pt>
              </c:strCache>
            </c:strRef>
          </c:tx>
          <c:spPr>
            <a:solidFill>
              <a:srgbClr val="C00000"/>
            </a:solidFill>
            <a:ln>
              <a:solidFill>
                <a:schemeClr val="tx1"/>
              </a:solidFill>
            </a:ln>
            <a:effectLst/>
          </c:spPr>
          <c:invertIfNegative val="0"/>
          <c:cat>
            <c:strRef>
              <c:f>Summary!$C$4:$C$44</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Summary!$E$4:$E$44</c:f>
              <c:numCache>
                <c:formatCode>General</c:formatCode>
                <c:ptCount val="41"/>
                <c:pt idx="1">
                  <c:v>131</c:v>
                </c:pt>
                <c:pt idx="2">
                  <c:v>143</c:v>
                </c:pt>
                <c:pt idx="3">
                  <c:v>192</c:v>
                </c:pt>
                <c:pt idx="4">
                  <c:v>219</c:v>
                </c:pt>
                <c:pt idx="5">
                  <c:v>172</c:v>
                </c:pt>
                <c:pt idx="8">
                  <c:v>261</c:v>
                </c:pt>
                <c:pt idx="9">
                  <c:v>177</c:v>
                </c:pt>
                <c:pt idx="10">
                  <c:v>117</c:v>
                </c:pt>
                <c:pt idx="11">
                  <c:v>240</c:v>
                </c:pt>
                <c:pt idx="12">
                  <c:v>186</c:v>
                </c:pt>
                <c:pt idx="13">
                  <c:v>205</c:v>
                </c:pt>
                <c:pt idx="14">
                  <c:v>110</c:v>
                </c:pt>
                <c:pt idx="17">
                  <c:v>208</c:v>
                </c:pt>
                <c:pt idx="18">
                  <c:v>463</c:v>
                </c:pt>
                <c:pt idx="19">
                  <c:v>133</c:v>
                </c:pt>
                <c:pt idx="20">
                  <c:v>27</c:v>
                </c:pt>
                <c:pt idx="21">
                  <c:v>336</c:v>
                </c:pt>
                <c:pt idx="22">
                  <c:v>33</c:v>
                </c:pt>
                <c:pt idx="23">
                  <c:v>134</c:v>
                </c:pt>
                <c:pt idx="26">
                  <c:v>166</c:v>
                </c:pt>
                <c:pt idx="27">
                  <c:v>58</c:v>
                </c:pt>
                <c:pt idx="28">
                  <c:v>154</c:v>
                </c:pt>
                <c:pt idx="29">
                  <c:v>194</c:v>
                </c:pt>
                <c:pt idx="30">
                  <c:v>317</c:v>
                </c:pt>
                <c:pt idx="31">
                  <c:v>231</c:v>
                </c:pt>
                <c:pt idx="32">
                  <c:v>322</c:v>
                </c:pt>
                <c:pt idx="33">
                  <c:v>199</c:v>
                </c:pt>
                <c:pt idx="36">
                  <c:v>134</c:v>
                </c:pt>
                <c:pt idx="37">
                  <c:v>123</c:v>
                </c:pt>
                <c:pt idx="38">
                  <c:v>49</c:v>
                </c:pt>
                <c:pt idx="39">
                  <c:v>148</c:v>
                </c:pt>
                <c:pt idx="40">
                  <c:v>93</c:v>
                </c:pt>
              </c:numCache>
            </c:numRef>
          </c:val>
        </c:ser>
        <c:ser>
          <c:idx val="2"/>
          <c:order val="2"/>
          <c:tx>
            <c:strRef>
              <c:f>Summary!$F$3</c:f>
              <c:strCache>
                <c:ptCount val="1"/>
                <c:pt idx="0">
                  <c:v>Strata Dwelling Sales</c:v>
                </c:pt>
              </c:strCache>
            </c:strRef>
          </c:tx>
          <c:spPr>
            <a:solidFill>
              <a:schemeClr val="accent6">
                <a:lumMod val="50000"/>
              </a:schemeClr>
            </a:solidFill>
            <a:ln>
              <a:solidFill>
                <a:schemeClr val="tx1"/>
              </a:solidFill>
            </a:ln>
            <a:effectLst/>
          </c:spPr>
          <c:invertIfNegative val="0"/>
          <c:cat>
            <c:strRef>
              <c:f>Summary!$C$4:$C$44</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Summary!$F$4:$F$44</c:f>
              <c:numCache>
                <c:formatCode>General</c:formatCode>
                <c:ptCount val="41"/>
                <c:pt idx="1">
                  <c:v>619</c:v>
                </c:pt>
                <c:pt idx="2">
                  <c:v>3610</c:v>
                </c:pt>
                <c:pt idx="3">
                  <c:v>1675</c:v>
                </c:pt>
                <c:pt idx="4">
                  <c:v>1586</c:v>
                </c:pt>
                <c:pt idx="5">
                  <c:v>1036</c:v>
                </c:pt>
                <c:pt idx="8">
                  <c:v>1203</c:v>
                </c:pt>
                <c:pt idx="9">
                  <c:v>597</c:v>
                </c:pt>
                <c:pt idx="10">
                  <c:v>522</c:v>
                </c:pt>
                <c:pt idx="11">
                  <c:v>706</c:v>
                </c:pt>
                <c:pt idx="12">
                  <c:v>1073</c:v>
                </c:pt>
                <c:pt idx="13">
                  <c:v>890</c:v>
                </c:pt>
                <c:pt idx="14">
                  <c:v>282</c:v>
                </c:pt>
                <c:pt idx="17">
                  <c:v>560</c:v>
                </c:pt>
                <c:pt idx="18">
                  <c:v>802</c:v>
                </c:pt>
                <c:pt idx="19">
                  <c:v>377</c:v>
                </c:pt>
                <c:pt idx="20">
                  <c:v>40</c:v>
                </c:pt>
                <c:pt idx="21">
                  <c:v>1080</c:v>
                </c:pt>
                <c:pt idx="22">
                  <c:v>112</c:v>
                </c:pt>
                <c:pt idx="23">
                  <c:v>324</c:v>
                </c:pt>
                <c:pt idx="26">
                  <c:v>656</c:v>
                </c:pt>
                <c:pt idx="27">
                  <c:v>152</c:v>
                </c:pt>
                <c:pt idx="28">
                  <c:v>414</c:v>
                </c:pt>
                <c:pt idx="29">
                  <c:v>697</c:v>
                </c:pt>
                <c:pt idx="30">
                  <c:v>1258</c:v>
                </c:pt>
                <c:pt idx="31">
                  <c:v>527</c:v>
                </c:pt>
                <c:pt idx="32">
                  <c:v>1184</c:v>
                </c:pt>
                <c:pt idx="33">
                  <c:v>666</c:v>
                </c:pt>
                <c:pt idx="36">
                  <c:v>491</c:v>
                </c:pt>
                <c:pt idx="37">
                  <c:v>417</c:v>
                </c:pt>
                <c:pt idx="38">
                  <c:v>273</c:v>
                </c:pt>
                <c:pt idx="39">
                  <c:v>756</c:v>
                </c:pt>
                <c:pt idx="40">
                  <c:v>365</c:v>
                </c:pt>
              </c:numCache>
            </c:numRef>
          </c:val>
        </c:ser>
        <c:dLbls>
          <c:showLegendKey val="0"/>
          <c:showVal val="0"/>
          <c:showCatName val="0"/>
          <c:showSerName val="0"/>
          <c:showPercent val="0"/>
          <c:showBubbleSize val="0"/>
        </c:dLbls>
        <c:gapWidth val="30"/>
        <c:overlap val="100"/>
        <c:axId val="797796160"/>
        <c:axId val="797796720"/>
      </c:barChart>
      <c:catAx>
        <c:axId val="797796160"/>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796720"/>
        <c:crosses val="autoZero"/>
        <c:auto val="1"/>
        <c:lblAlgn val="ctr"/>
        <c:lblOffset val="100"/>
        <c:noMultiLvlLbl val="0"/>
      </c:catAx>
      <c:valAx>
        <c:axId val="797796720"/>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796160"/>
        <c:crosses val="autoZero"/>
        <c:crossBetween val="between"/>
      </c:valAx>
      <c:spPr>
        <a:noFill/>
        <a:ln>
          <a:solidFill>
            <a:schemeClr val="tx1"/>
          </a:solidFill>
        </a:ln>
        <a:effectLst/>
      </c:spPr>
    </c:plotArea>
    <c:legend>
      <c:legendPos val="b"/>
      <c:layout>
        <c:manualLayout>
          <c:xMode val="edge"/>
          <c:yMode val="edge"/>
          <c:x val="0.69154984888252602"/>
          <c:y val="0"/>
          <c:w val="0.3084501393847508"/>
          <c:h val="8.585627906573085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Residential Property Sales Rates </a:t>
            </a:r>
            <a:r>
              <a:rPr lang="en-AU" baseline="0"/>
              <a:t>- 2015</a:t>
            </a:r>
          </a:p>
          <a:p>
            <a:pPr algn="l">
              <a:defRPr/>
            </a:pPr>
            <a:r>
              <a:rPr lang="en-AU" baseline="0"/>
              <a:t>Regional Victoria</a:t>
            </a:r>
          </a:p>
          <a:p>
            <a:pPr algn="l">
              <a:defRPr/>
            </a:pPr>
            <a:r>
              <a:rPr lang="en-AU" sz="1000" baseline="0"/>
              <a:t>Source: MPA analysis of Landata </a:t>
            </a:r>
            <a:endParaRPr lang="en-AU" sz="1000"/>
          </a:p>
        </c:rich>
      </c:tx>
      <c:layout>
        <c:manualLayout>
          <c:xMode val="edge"/>
          <c:yMode val="edge"/>
          <c:x val="4.9167767072594195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200860309128027"/>
          <c:y val="0.12422853665031003"/>
          <c:w val="0.76617321509053793"/>
          <c:h val="0.84702727376469245"/>
        </c:manualLayout>
      </c:layout>
      <c:barChart>
        <c:barDir val="bar"/>
        <c:grouping val="stacked"/>
        <c:varyColors val="0"/>
        <c:ser>
          <c:idx val="0"/>
          <c:order val="0"/>
          <c:tx>
            <c:strRef>
              <c:f>Summary!$D$3</c:f>
              <c:strCache>
                <c:ptCount val="1"/>
                <c:pt idx="0">
                  <c:v>Detached House Sales</c:v>
                </c:pt>
              </c:strCache>
            </c:strRef>
          </c:tx>
          <c:spPr>
            <a:solidFill>
              <a:schemeClr val="accent1"/>
            </a:solidFill>
            <a:ln>
              <a:solidFill>
                <a:schemeClr val="tx1"/>
              </a:solidFill>
            </a:ln>
            <a:effectLst/>
          </c:spPr>
          <c:invertIfNegative val="0"/>
          <c:cat>
            <c:strRef>
              <c:f>Summary!$C$45:$C$96</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Summary!$D$45:$D$96</c:f>
              <c:numCache>
                <c:formatCode>General</c:formatCode>
                <c:ptCount val="52"/>
                <c:pt idx="1">
                  <c:v>2007</c:v>
                </c:pt>
                <c:pt idx="2">
                  <c:v>1582</c:v>
                </c:pt>
                <c:pt idx="3">
                  <c:v>4188</c:v>
                </c:pt>
                <c:pt idx="4">
                  <c:v>877</c:v>
                </c:pt>
                <c:pt idx="5">
                  <c:v>317</c:v>
                </c:pt>
                <c:pt idx="6">
                  <c:v>1164</c:v>
                </c:pt>
                <c:pt idx="7">
                  <c:v>926</c:v>
                </c:pt>
                <c:pt idx="8">
                  <c:v>397</c:v>
                </c:pt>
                <c:pt idx="9">
                  <c:v>534</c:v>
                </c:pt>
                <c:pt idx="10">
                  <c:v>664</c:v>
                </c:pt>
                <c:pt idx="13">
                  <c:v>1127</c:v>
                </c:pt>
                <c:pt idx="14">
                  <c:v>897</c:v>
                </c:pt>
                <c:pt idx="15">
                  <c:v>119</c:v>
                </c:pt>
                <c:pt idx="16">
                  <c:v>594</c:v>
                </c:pt>
                <c:pt idx="17">
                  <c:v>404</c:v>
                </c:pt>
                <c:pt idx="18">
                  <c:v>163</c:v>
                </c:pt>
                <c:pt idx="19">
                  <c:v>97</c:v>
                </c:pt>
                <c:pt idx="20">
                  <c:v>437</c:v>
                </c:pt>
                <c:pt idx="21">
                  <c:v>668</c:v>
                </c:pt>
                <c:pt idx="24">
                  <c:v>203</c:v>
                </c:pt>
                <c:pt idx="25">
                  <c:v>121</c:v>
                </c:pt>
                <c:pt idx="26">
                  <c:v>187</c:v>
                </c:pt>
                <c:pt idx="27">
                  <c:v>93</c:v>
                </c:pt>
                <c:pt idx="28">
                  <c:v>410</c:v>
                </c:pt>
                <c:pt idx="29">
                  <c:v>204</c:v>
                </c:pt>
                <c:pt idx="30">
                  <c:v>324</c:v>
                </c:pt>
                <c:pt idx="31">
                  <c:v>166</c:v>
                </c:pt>
                <c:pt idx="32">
                  <c:v>714</c:v>
                </c:pt>
                <c:pt idx="33">
                  <c:v>132</c:v>
                </c:pt>
                <c:pt idx="34">
                  <c:v>229</c:v>
                </c:pt>
                <c:pt idx="35">
                  <c:v>240</c:v>
                </c:pt>
                <c:pt idx="36">
                  <c:v>116</c:v>
                </c:pt>
                <c:pt idx="37">
                  <c:v>159</c:v>
                </c:pt>
                <c:pt idx="38">
                  <c:v>52</c:v>
                </c:pt>
                <c:pt idx="39">
                  <c:v>135</c:v>
                </c:pt>
                <c:pt idx="40">
                  <c:v>427</c:v>
                </c:pt>
                <c:pt idx="41">
                  <c:v>255</c:v>
                </c:pt>
                <c:pt idx="42">
                  <c:v>177</c:v>
                </c:pt>
                <c:pt idx="43">
                  <c:v>166</c:v>
                </c:pt>
                <c:pt idx="44">
                  <c:v>52</c:v>
                </c:pt>
                <c:pt idx="45">
                  <c:v>198</c:v>
                </c:pt>
                <c:pt idx="46">
                  <c:v>130</c:v>
                </c:pt>
                <c:pt idx="47">
                  <c:v>249</c:v>
                </c:pt>
                <c:pt idx="48">
                  <c:v>72</c:v>
                </c:pt>
                <c:pt idx="49">
                  <c:v>699</c:v>
                </c:pt>
                <c:pt idx="50">
                  <c:v>46</c:v>
                </c:pt>
                <c:pt idx="51">
                  <c:v>124</c:v>
                </c:pt>
              </c:numCache>
            </c:numRef>
          </c:val>
        </c:ser>
        <c:ser>
          <c:idx val="1"/>
          <c:order val="1"/>
          <c:tx>
            <c:strRef>
              <c:f>Summary!$E$3</c:f>
              <c:strCache>
                <c:ptCount val="1"/>
                <c:pt idx="0">
                  <c:v>Semi-Detached House Sales</c:v>
                </c:pt>
              </c:strCache>
            </c:strRef>
          </c:tx>
          <c:spPr>
            <a:solidFill>
              <a:srgbClr val="C00000"/>
            </a:solidFill>
            <a:ln>
              <a:solidFill>
                <a:schemeClr val="tx1"/>
              </a:solidFill>
            </a:ln>
            <a:effectLst/>
          </c:spPr>
          <c:invertIfNegative val="0"/>
          <c:cat>
            <c:strRef>
              <c:f>Summary!$C$45:$C$96</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Summary!$E$45:$E$96</c:f>
              <c:numCache>
                <c:formatCode>General</c:formatCode>
                <c:ptCount val="52"/>
                <c:pt idx="1">
                  <c:v>121</c:v>
                </c:pt>
                <c:pt idx="2">
                  <c:v>92</c:v>
                </c:pt>
                <c:pt idx="3">
                  <c:v>377</c:v>
                </c:pt>
                <c:pt idx="4">
                  <c:v>31</c:v>
                </c:pt>
                <c:pt idx="5">
                  <c:v>13</c:v>
                </c:pt>
                <c:pt idx="6">
                  <c:v>53</c:v>
                </c:pt>
                <c:pt idx="7">
                  <c:v>58</c:v>
                </c:pt>
                <c:pt idx="8">
                  <c:v>30</c:v>
                </c:pt>
                <c:pt idx="9">
                  <c:v>48</c:v>
                </c:pt>
                <c:pt idx="10">
                  <c:v>49</c:v>
                </c:pt>
                <c:pt idx="13">
                  <c:v>41</c:v>
                </c:pt>
                <c:pt idx="14">
                  <c:v>22</c:v>
                </c:pt>
                <c:pt idx="15">
                  <c:v>7</c:v>
                </c:pt>
                <c:pt idx="16">
                  <c:v>23</c:v>
                </c:pt>
                <c:pt idx="17">
                  <c:v>8</c:v>
                </c:pt>
                <c:pt idx="18">
                  <c:v>5</c:v>
                </c:pt>
                <c:pt idx="19">
                  <c:v>8</c:v>
                </c:pt>
                <c:pt idx="20">
                  <c:v>20</c:v>
                </c:pt>
                <c:pt idx="21">
                  <c:v>39</c:v>
                </c:pt>
                <c:pt idx="24">
                  <c:v>15</c:v>
                </c:pt>
                <c:pt idx="25">
                  <c:v>7</c:v>
                </c:pt>
                <c:pt idx="26">
                  <c:v>11</c:v>
                </c:pt>
                <c:pt idx="27">
                  <c:v>2</c:v>
                </c:pt>
                <c:pt idx="28">
                  <c:v>25</c:v>
                </c:pt>
                <c:pt idx="29">
                  <c:v>3</c:v>
                </c:pt>
                <c:pt idx="30">
                  <c:v>12</c:v>
                </c:pt>
                <c:pt idx="31">
                  <c:v>5</c:v>
                </c:pt>
                <c:pt idx="32">
                  <c:v>56</c:v>
                </c:pt>
                <c:pt idx="33">
                  <c:v>3</c:v>
                </c:pt>
                <c:pt idx="34">
                  <c:v>2</c:v>
                </c:pt>
                <c:pt idx="35">
                  <c:v>4</c:v>
                </c:pt>
                <c:pt idx="36">
                  <c:v>0</c:v>
                </c:pt>
                <c:pt idx="37">
                  <c:v>9</c:v>
                </c:pt>
                <c:pt idx="38">
                  <c:v>0</c:v>
                </c:pt>
                <c:pt idx="39">
                  <c:v>7</c:v>
                </c:pt>
                <c:pt idx="40">
                  <c:v>19</c:v>
                </c:pt>
                <c:pt idx="41">
                  <c:v>4</c:v>
                </c:pt>
                <c:pt idx="42">
                  <c:v>7</c:v>
                </c:pt>
                <c:pt idx="43">
                  <c:v>4</c:v>
                </c:pt>
                <c:pt idx="44">
                  <c:v>1</c:v>
                </c:pt>
                <c:pt idx="45">
                  <c:v>2</c:v>
                </c:pt>
                <c:pt idx="46">
                  <c:v>4</c:v>
                </c:pt>
                <c:pt idx="47">
                  <c:v>29</c:v>
                </c:pt>
                <c:pt idx="48">
                  <c:v>1</c:v>
                </c:pt>
                <c:pt idx="49">
                  <c:v>34</c:v>
                </c:pt>
                <c:pt idx="50">
                  <c:v>1</c:v>
                </c:pt>
                <c:pt idx="51">
                  <c:v>1</c:v>
                </c:pt>
              </c:numCache>
            </c:numRef>
          </c:val>
        </c:ser>
        <c:ser>
          <c:idx val="2"/>
          <c:order val="2"/>
          <c:tx>
            <c:strRef>
              <c:f>Summary!$F$3</c:f>
              <c:strCache>
                <c:ptCount val="1"/>
                <c:pt idx="0">
                  <c:v>Strata Dwelling Sales</c:v>
                </c:pt>
              </c:strCache>
            </c:strRef>
          </c:tx>
          <c:spPr>
            <a:solidFill>
              <a:schemeClr val="accent6">
                <a:lumMod val="50000"/>
              </a:schemeClr>
            </a:solidFill>
            <a:ln>
              <a:solidFill>
                <a:schemeClr val="tx1"/>
              </a:solidFill>
            </a:ln>
            <a:effectLst/>
          </c:spPr>
          <c:invertIfNegative val="0"/>
          <c:cat>
            <c:strRef>
              <c:f>Summary!$C$45:$C$96</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Summary!$F$45:$F$96</c:f>
              <c:numCache>
                <c:formatCode>General</c:formatCode>
                <c:ptCount val="52"/>
                <c:pt idx="1">
                  <c:v>232</c:v>
                </c:pt>
                <c:pt idx="2">
                  <c:v>148</c:v>
                </c:pt>
                <c:pt idx="3">
                  <c:v>561</c:v>
                </c:pt>
                <c:pt idx="4">
                  <c:v>66</c:v>
                </c:pt>
                <c:pt idx="5">
                  <c:v>46</c:v>
                </c:pt>
                <c:pt idx="6">
                  <c:v>125</c:v>
                </c:pt>
                <c:pt idx="7">
                  <c:v>112</c:v>
                </c:pt>
                <c:pt idx="8">
                  <c:v>25</c:v>
                </c:pt>
                <c:pt idx="9">
                  <c:v>76</c:v>
                </c:pt>
                <c:pt idx="10">
                  <c:v>80</c:v>
                </c:pt>
                <c:pt idx="13">
                  <c:v>103</c:v>
                </c:pt>
                <c:pt idx="14">
                  <c:v>105</c:v>
                </c:pt>
                <c:pt idx="15">
                  <c:v>6</c:v>
                </c:pt>
                <c:pt idx="16">
                  <c:v>67</c:v>
                </c:pt>
                <c:pt idx="17">
                  <c:v>37</c:v>
                </c:pt>
                <c:pt idx="18">
                  <c:v>9</c:v>
                </c:pt>
                <c:pt idx="19">
                  <c:v>13</c:v>
                </c:pt>
                <c:pt idx="20">
                  <c:v>24</c:v>
                </c:pt>
                <c:pt idx="21">
                  <c:v>91</c:v>
                </c:pt>
                <c:pt idx="24">
                  <c:v>27</c:v>
                </c:pt>
                <c:pt idx="25">
                  <c:v>2</c:v>
                </c:pt>
                <c:pt idx="26">
                  <c:v>24</c:v>
                </c:pt>
                <c:pt idx="27">
                  <c:v>0</c:v>
                </c:pt>
                <c:pt idx="28">
                  <c:v>66</c:v>
                </c:pt>
                <c:pt idx="29">
                  <c:v>16</c:v>
                </c:pt>
                <c:pt idx="30">
                  <c:v>25</c:v>
                </c:pt>
                <c:pt idx="31">
                  <c:v>7</c:v>
                </c:pt>
                <c:pt idx="32">
                  <c:v>38</c:v>
                </c:pt>
                <c:pt idx="33">
                  <c:v>2</c:v>
                </c:pt>
                <c:pt idx="34">
                  <c:v>11</c:v>
                </c:pt>
                <c:pt idx="35">
                  <c:v>22</c:v>
                </c:pt>
                <c:pt idx="36">
                  <c:v>0</c:v>
                </c:pt>
                <c:pt idx="37">
                  <c:v>9</c:v>
                </c:pt>
                <c:pt idx="38">
                  <c:v>0</c:v>
                </c:pt>
                <c:pt idx="39">
                  <c:v>16</c:v>
                </c:pt>
                <c:pt idx="40">
                  <c:v>46</c:v>
                </c:pt>
                <c:pt idx="41">
                  <c:v>23</c:v>
                </c:pt>
                <c:pt idx="42">
                  <c:v>8</c:v>
                </c:pt>
                <c:pt idx="43">
                  <c:v>4</c:v>
                </c:pt>
                <c:pt idx="44">
                  <c:v>0</c:v>
                </c:pt>
                <c:pt idx="45">
                  <c:v>11</c:v>
                </c:pt>
                <c:pt idx="46">
                  <c:v>12</c:v>
                </c:pt>
                <c:pt idx="47">
                  <c:v>25</c:v>
                </c:pt>
                <c:pt idx="48">
                  <c:v>3</c:v>
                </c:pt>
                <c:pt idx="49">
                  <c:v>59</c:v>
                </c:pt>
                <c:pt idx="50">
                  <c:v>1</c:v>
                </c:pt>
                <c:pt idx="51">
                  <c:v>0</c:v>
                </c:pt>
              </c:numCache>
            </c:numRef>
          </c:val>
        </c:ser>
        <c:dLbls>
          <c:showLegendKey val="0"/>
          <c:showVal val="0"/>
          <c:showCatName val="0"/>
          <c:showSerName val="0"/>
          <c:showPercent val="0"/>
          <c:showBubbleSize val="0"/>
        </c:dLbls>
        <c:gapWidth val="30"/>
        <c:overlap val="100"/>
        <c:axId val="797800080"/>
        <c:axId val="797800640"/>
      </c:barChart>
      <c:catAx>
        <c:axId val="797800080"/>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800640"/>
        <c:crosses val="autoZero"/>
        <c:auto val="1"/>
        <c:lblAlgn val="ctr"/>
        <c:lblOffset val="100"/>
        <c:noMultiLvlLbl val="0"/>
      </c:catAx>
      <c:valAx>
        <c:axId val="797800640"/>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800080"/>
        <c:crosses val="autoZero"/>
        <c:crossBetween val="between"/>
      </c:valAx>
      <c:spPr>
        <a:noFill/>
        <a:ln>
          <a:solidFill>
            <a:schemeClr val="tx1"/>
          </a:solidFill>
        </a:ln>
        <a:effectLst/>
      </c:spPr>
    </c:plotArea>
    <c:legend>
      <c:legendPos val="b"/>
      <c:layout>
        <c:manualLayout>
          <c:xMode val="edge"/>
          <c:yMode val="edge"/>
          <c:x val="0.67908902691511386"/>
          <c:y val="3.1491103763186899E-3"/>
          <c:w val="0.3188405797101449"/>
          <c:h val="8.3916972589101843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baseline="0"/>
              <a:t>Median Price  of a Detached Houses -  2015</a:t>
            </a:r>
          </a:p>
          <a:p>
            <a:pPr algn="l">
              <a:defRPr/>
            </a:pPr>
            <a:r>
              <a:rPr lang="en-AU" baseline="0"/>
              <a:t>Metropolitan Melbourne</a:t>
            </a:r>
          </a:p>
          <a:p>
            <a:pPr algn="l">
              <a:defRPr/>
            </a:pPr>
            <a:r>
              <a:rPr lang="en-AU" sz="1000" baseline="0"/>
              <a:t>Source: MPA analysis of Landata </a:t>
            </a:r>
            <a:endParaRPr lang="en-AU" sz="1000"/>
          </a:p>
        </c:rich>
      </c:tx>
      <c:layout>
        <c:manualLayout>
          <c:xMode val="edge"/>
          <c:yMode val="edge"/>
          <c:x val="4.9167767072594195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200860309128027"/>
          <c:y val="0.12422853665031003"/>
          <c:w val="0.76617321509053793"/>
          <c:h val="0.84702727376469245"/>
        </c:manualLayout>
      </c:layout>
      <c:barChart>
        <c:barDir val="bar"/>
        <c:grouping val="clustered"/>
        <c:varyColors val="0"/>
        <c:ser>
          <c:idx val="0"/>
          <c:order val="0"/>
          <c:tx>
            <c:strRef>
              <c:f>Summary!$G$3</c:f>
              <c:strCache>
                <c:ptCount val="1"/>
                <c:pt idx="0">
                  <c:v>Median Price ($)</c:v>
                </c:pt>
              </c:strCache>
            </c:strRef>
          </c:tx>
          <c:spPr>
            <a:solidFill>
              <a:schemeClr val="accent1">
                <a:lumMod val="75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Summary!$C$4:$C$44</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Summary!$G$4:$G$44</c:f>
              <c:numCache>
                <c:formatCode>_-"$"* #,##0_-;\-"$"* #,##0_-;_-"$"* "-"??_-;_-@_-</c:formatCode>
                <c:ptCount val="41"/>
                <c:pt idx="1">
                  <c:v>725000</c:v>
                </c:pt>
                <c:pt idx="2">
                  <c:v>991000</c:v>
                </c:pt>
                <c:pt idx="3">
                  <c:v>1385000</c:v>
                </c:pt>
                <c:pt idx="4">
                  <c:v>1870000</c:v>
                </c:pt>
                <c:pt idx="5">
                  <c:v>1110000</c:v>
                </c:pt>
                <c:pt idx="8">
                  <c:v>1910000</c:v>
                </c:pt>
                <c:pt idx="9">
                  <c:v>671000</c:v>
                </c:pt>
                <c:pt idx="10">
                  <c:v>1110000</c:v>
                </c:pt>
                <c:pt idx="11">
                  <c:v>690000</c:v>
                </c:pt>
                <c:pt idx="12">
                  <c:v>1100000</c:v>
                </c:pt>
                <c:pt idx="13">
                  <c:v>1020000</c:v>
                </c:pt>
                <c:pt idx="14">
                  <c:v>500245</c:v>
                </c:pt>
                <c:pt idx="17">
                  <c:v>705000</c:v>
                </c:pt>
                <c:pt idx="18">
                  <c:v>765750</c:v>
                </c:pt>
                <c:pt idx="19">
                  <c:v>390000</c:v>
                </c:pt>
                <c:pt idx="20">
                  <c:v>312500</c:v>
                </c:pt>
                <c:pt idx="21">
                  <c:v>690000</c:v>
                </c:pt>
                <c:pt idx="22">
                  <c:v>669000</c:v>
                </c:pt>
                <c:pt idx="23">
                  <c:v>440000</c:v>
                </c:pt>
                <c:pt idx="26">
                  <c:v>1550000</c:v>
                </c:pt>
                <c:pt idx="27">
                  <c:v>375000</c:v>
                </c:pt>
                <c:pt idx="28">
                  <c:v>435000</c:v>
                </c:pt>
                <c:pt idx="29">
                  <c:v>442000</c:v>
                </c:pt>
                <c:pt idx="30">
                  <c:v>1240000</c:v>
                </c:pt>
                <c:pt idx="31">
                  <c:v>530000</c:v>
                </c:pt>
                <c:pt idx="32">
                  <c:v>761000</c:v>
                </c:pt>
                <c:pt idx="33">
                  <c:v>561001</c:v>
                </c:pt>
                <c:pt idx="36">
                  <c:v>440000</c:v>
                </c:pt>
                <c:pt idx="37">
                  <c:v>655000</c:v>
                </c:pt>
                <c:pt idx="38">
                  <c:v>380000</c:v>
                </c:pt>
                <c:pt idx="39">
                  <c:v>837500</c:v>
                </c:pt>
                <c:pt idx="40">
                  <c:v>400000</c:v>
                </c:pt>
              </c:numCache>
            </c:numRef>
          </c:val>
        </c:ser>
        <c:dLbls>
          <c:showLegendKey val="0"/>
          <c:showVal val="0"/>
          <c:showCatName val="0"/>
          <c:showSerName val="0"/>
          <c:showPercent val="0"/>
          <c:showBubbleSize val="0"/>
        </c:dLbls>
        <c:gapWidth val="30"/>
        <c:axId val="797802880"/>
        <c:axId val="797803440"/>
      </c:barChart>
      <c:catAx>
        <c:axId val="797802880"/>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803440"/>
        <c:crosses val="autoZero"/>
        <c:auto val="1"/>
        <c:lblAlgn val="ctr"/>
        <c:lblOffset val="100"/>
        <c:noMultiLvlLbl val="0"/>
      </c:catAx>
      <c:valAx>
        <c:axId val="797803440"/>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802880"/>
        <c:crosses val="autoZero"/>
        <c:crossBetween val="between"/>
        <c:majorUnit val="500000"/>
        <c:minorUnit val="100000"/>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Population Growth 2014/15 -</a:t>
            </a:r>
          </a:p>
          <a:p>
            <a:pPr algn="l">
              <a:defRPr/>
            </a:pPr>
            <a:r>
              <a:rPr lang="en-AU" baseline="0"/>
              <a:t>Regional Victoria</a:t>
            </a:r>
          </a:p>
          <a:p>
            <a:pPr algn="l">
              <a:defRPr/>
            </a:pPr>
            <a:r>
              <a:rPr lang="en-AU" sz="800" baseline="0"/>
              <a:t>Source: ABS 3128</a:t>
            </a:r>
            <a:endParaRPr lang="en-AU"/>
          </a:p>
        </c:rich>
      </c:tx>
      <c:layout>
        <c:manualLayout>
          <c:xMode val="edge"/>
          <c:yMode val="edge"/>
          <c:x val="1.0001575212295834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1"/>
        <c:ser>
          <c:idx val="0"/>
          <c:order val="0"/>
          <c:spPr>
            <a:ln>
              <a:solidFill>
                <a:schemeClr val="tx1"/>
              </a:solidFill>
            </a:ln>
          </c:spPr>
          <c:invertIfNegative val="0"/>
          <c:dPt>
            <c:idx val="0"/>
            <c:invertIfNegative val="0"/>
            <c:bubble3D val="0"/>
            <c:spPr>
              <a:solidFill>
                <a:schemeClr val="accent1"/>
              </a:solidFill>
              <a:ln>
                <a:solidFill>
                  <a:schemeClr val="tx1"/>
                </a:solidFill>
              </a:ln>
              <a:effectLst/>
            </c:spPr>
          </c:dPt>
          <c:dPt>
            <c:idx val="1"/>
            <c:invertIfNegative val="0"/>
            <c:bubble3D val="0"/>
            <c:spPr>
              <a:solidFill>
                <a:schemeClr val="accent2"/>
              </a:solidFill>
              <a:ln>
                <a:solidFill>
                  <a:schemeClr val="tx1"/>
                </a:solidFill>
              </a:ln>
              <a:effectLst/>
            </c:spPr>
          </c:dPt>
          <c:dPt>
            <c:idx val="2"/>
            <c:invertIfNegative val="0"/>
            <c:bubble3D val="0"/>
            <c:spPr>
              <a:solidFill>
                <a:schemeClr val="accent3"/>
              </a:solidFill>
              <a:ln>
                <a:solidFill>
                  <a:schemeClr val="tx1"/>
                </a:solidFill>
              </a:ln>
              <a:effectLst/>
            </c:spPr>
          </c:dPt>
          <c:dPt>
            <c:idx val="3"/>
            <c:invertIfNegative val="0"/>
            <c:bubble3D val="0"/>
            <c:spPr>
              <a:solidFill>
                <a:schemeClr val="accent4"/>
              </a:solidFill>
              <a:ln>
                <a:solidFill>
                  <a:schemeClr val="tx1"/>
                </a:solidFill>
              </a:ln>
              <a:effectLst/>
            </c:spPr>
          </c:dPt>
          <c:dPt>
            <c:idx val="4"/>
            <c:invertIfNegative val="0"/>
            <c:bubble3D val="0"/>
            <c:spPr>
              <a:solidFill>
                <a:schemeClr val="accent5"/>
              </a:solidFill>
              <a:ln>
                <a:solidFill>
                  <a:schemeClr val="tx1"/>
                </a:solidFill>
              </a:ln>
              <a:effectLst/>
            </c:spPr>
          </c:dPt>
          <c:dPt>
            <c:idx val="5"/>
            <c:invertIfNegative val="0"/>
            <c:bubble3D val="0"/>
            <c:spPr>
              <a:solidFill>
                <a:schemeClr val="accent6"/>
              </a:solidFill>
              <a:ln>
                <a:solidFill>
                  <a:schemeClr val="tx1"/>
                </a:solidFill>
              </a:ln>
              <a:effectLst/>
            </c:spPr>
          </c:dPt>
          <c:dPt>
            <c:idx val="6"/>
            <c:invertIfNegative val="0"/>
            <c:bubble3D val="0"/>
            <c:spPr>
              <a:solidFill>
                <a:schemeClr val="accent1">
                  <a:lumMod val="60000"/>
                </a:schemeClr>
              </a:solidFill>
              <a:ln>
                <a:solidFill>
                  <a:schemeClr val="tx1"/>
                </a:solidFill>
              </a:ln>
              <a:effectLst/>
            </c:spPr>
          </c:dPt>
          <c:dPt>
            <c:idx val="7"/>
            <c:invertIfNegative val="0"/>
            <c:bubble3D val="0"/>
            <c:spPr>
              <a:solidFill>
                <a:schemeClr val="accent2">
                  <a:lumMod val="60000"/>
                </a:schemeClr>
              </a:solidFill>
              <a:ln>
                <a:solidFill>
                  <a:schemeClr val="tx1"/>
                </a:solidFill>
              </a:ln>
              <a:effectLst/>
            </c:spPr>
          </c:dPt>
          <c:dPt>
            <c:idx val="8"/>
            <c:invertIfNegative val="0"/>
            <c:bubble3D val="0"/>
            <c:spPr>
              <a:solidFill>
                <a:schemeClr val="accent3">
                  <a:lumMod val="60000"/>
                </a:schemeClr>
              </a:solidFill>
              <a:ln>
                <a:solidFill>
                  <a:schemeClr val="tx1"/>
                </a:solidFill>
              </a:ln>
              <a:effectLst/>
            </c:spPr>
          </c:dPt>
          <c:dPt>
            <c:idx val="9"/>
            <c:invertIfNegative val="0"/>
            <c:bubble3D val="0"/>
            <c:spPr>
              <a:solidFill>
                <a:schemeClr val="accent4">
                  <a:lumMod val="60000"/>
                </a:schemeClr>
              </a:solidFill>
              <a:ln>
                <a:solidFill>
                  <a:schemeClr val="tx1"/>
                </a:solidFill>
              </a:ln>
              <a:effectLst/>
            </c:spPr>
          </c:dPt>
          <c:dPt>
            <c:idx val="10"/>
            <c:invertIfNegative val="0"/>
            <c:bubble3D val="0"/>
            <c:spPr>
              <a:solidFill>
                <a:schemeClr val="accent5">
                  <a:lumMod val="60000"/>
                </a:schemeClr>
              </a:solidFill>
              <a:ln>
                <a:solidFill>
                  <a:schemeClr val="tx1"/>
                </a:solidFill>
              </a:ln>
              <a:effectLst/>
            </c:spPr>
          </c:dPt>
          <c:dPt>
            <c:idx val="11"/>
            <c:invertIfNegative val="0"/>
            <c:bubble3D val="0"/>
            <c:spPr>
              <a:solidFill>
                <a:schemeClr val="accent6">
                  <a:lumMod val="60000"/>
                </a:schemeClr>
              </a:solidFill>
              <a:ln>
                <a:solidFill>
                  <a:schemeClr val="tx1"/>
                </a:solidFill>
              </a:ln>
              <a:effectLst/>
            </c:spPr>
          </c:dPt>
          <c:dPt>
            <c:idx val="12"/>
            <c:invertIfNegative val="0"/>
            <c:bubble3D val="0"/>
            <c:spPr>
              <a:solidFill>
                <a:schemeClr val="accent1">
                  <a:lumMod val="80000"/>
                  <a:lumOff val="20000"/>
                </a:schemeClr>
              </a:solidFill>
              <a:ln>
                <a:solidFill>
                  <a:schemeClr val="tx1"/>
                </a:solidFill>
              </a:ln>
              <a:effectLst/>
            </c:spPr>
          </c:dPt>
          <c:dPt>
            <c:idx val="13"/>
            <c:invertIfNegative val="0"/>
            <c:bubble3D val="0"/>
            <c:spPr>
              <a:solidFill>
                <a:schemeClr val="accent2">
                  <a:lumMod val="80000"/>
                  <a:lumOff val="20000"/>
                </a:schemeClr>
              </a:solidFill>
              <a:ln>
                <a:solidFill>
                  <a:schemeClr val="tx1"/>
                </a:solidFill>
              </a:ln>
              <a:effectLst/>
            </c:spPr>
          </c:dPt>
          <c:dPt>
            <c:idx val="14"/>
            <c:invertIfNegative val="0"/>
            <c:bubble3D val="0"/>
            <c:spPr>
              <a:solidFill>
                <a:schemeClr val="accent3">
                  <a:lumMod val="80000"/>
                  <a:lumOff val="20000"/>
                </a:schemeClr>
              </a:solidFill>
              <a:ln>
                <a:solidFill>
                  <a:schemeClr val="tx1"/>
                </a:solidFill>
              </a:ln>
              <a:effectLst/>
            </c:spPr>
          </c:dPt>
          <c:dPt>
            <c:idx val="15"/>
            <c:invertIfNegative val="0"/>
            <c:bubble3D val="0"/>
            <c:spPr>
              <a:solidFill>
                <a:schemeClr val="accent4">
                  <a:lumMod val="80000"/>
                  <a:lumOff val="20000"/>
                </a:schemeClr>
              </a:solidFill>
              <a:ln>
                <a:solidFill>
                  <a:schemeClr val="tx1"/>
                </a:solidFill>
              </a:ln>
              <a:effectLst/>
            </c:spPr>
          </c:dPt>
          <c:dPt>
            <c:idx val="16"/>
            <c:invertIfNegative val="0"/>
            <c:bubble3D val="0"/>
            <c:spPr>
              <a:solidFill>
                <a:schemeClr val="accent5">
                  <a:lumMod val="80000"/>
                  <a:lumOff val="20000"/>
                </a:schemeClr>
              </a:solidFill>
              <a:ln>
                <a:solidFill>
                  <a:schemeClr val="tx1"/>
                </a:solidFill>
              </a:ln>
              <a:effectLst/>
            </c:spPr>
          </c:dPt>
          <c:dPt>
            <c:idx val="17"/>
            <c:invertIfNegative val="0"/>
            <c:bubble3D val="0"/>
            <c:spPr>
              <a:solidFill>
                <a:schemeClr val="accent6">
                  <a:lumMod val="80000"/>
                  <a:lumOff val="20000"/>
                </a:schemeClr>
              </a:solidFill>
              <a:ln>
                <a:solidFill>
                  <a:schemeClr val="tx1"/>
                </a:solidFill>
              </a:ln>
              <a:effectLst/>
            </c:spPr>
          </c:dPt>
          <c:dPt>
            <c:idx val="18"/>
            <c:invertIfNegative val="0"/>
            <c:bubble3D val="0"/>
            <c:spPr>
              <a:solidFill>
                <a:schemeClr val="accent1">
                  <a:lumMod val="80000"/>
                </a:schemeClr>
              </a:solidFill>
              <a:ln>
                <a:solidFill>
                  <a:schemeClr val="tx1"/>
                </a:solidFill>
              </a:ln>
              <a:effectLst/>
            </c:spPr>
          </c:dPt>
          <c:dPt>
            <c:idx val="19"/>
            <c:invertIfNegative val="0"/>
            <c:bubble3D val="0"/>
            <c:spPr>
              <a:solidFill>
                <a:schemeClr val="accent2">
                  <a:lumMod val="80000"/>
                </a:schemeClr>
              </a:solidFill>
              <a:ln>
                <a:solidFill>
                  <a:schemeClr val="tx1"/>
                </a:solidFill>
              </a:ln>
              <a:effectLst/>
            </c:spPr>
          </c:dPt>
          <c:dPt>
            <c:idx val="20"/>
            <c:invertIfNegative val="0"/>
            <c:bubble3D val="0"/>
            <c:spPr>
              <a:solidFill>
                <a:schemeClr val="accent3">
                  <a:lumMod val="80000"/>
                </a:schemeClr>
              </a:solidFill>
              <a:ln>
                <a:solidFill>
                  <a:schemeClr val="tx1"/>
                </a:solidFill>
              </a:ln>
              <a:effectLst/>
            </c:spPr>
          </c:dPt>
          <c:dPt>
            <c:idx val="21"/>
            <c:invertIfNegative val="0"/>
            <c:bubble3D val="0"/>
            <c:spPr>
              <a:solidFill>
                <a:schemeClr val="accent4">
                  <a:lumMod val="80000"/>
                </a:schemeClr>
              </a:solidFill>
              <a:ln>
                <a:solidFill>
                  <a:schemeClr val="tx1"/>
                </a:solidFill>
              </a:ln>
              <a:effectLst/>
            </c:spPr>
          </c:dPt>
          <c:dPt>
            <c:idx val="22"/>
            <c:invertIfNegative val="0"/>
            <c:bubble3D val="0"/>
            <c:spPr>
              <a:solidFill>
                <a:schemeClr val="accent5">
                  <a:lumMod val="80000"/>
                </a:schemeClr>
              </a:solidFill>
              <a:ln>
                <a:solidFill>
                  <a:schemeClr val="tx1"/>
                </a:solidFill>
              </a:ln>
              <a:effectLst/>
            </c:spPr>
          </c:dPt>
          <c:dPt>
            <c:idx val="23"/>
            <c:invertIfNegative val="0"/>
            <c:bubble3D val="0"/>
            <c:spPr>
              <a:solidFill>
                <a:schemeClr val="accent6">
                  <a:lumMod val="80000"/>
                </a:schemeClr>
              </a:solidFill>
              <a:ln>
                <a:solidFill>
                  <a:schemeClr val="tx1"/>
                </a:solidFill>
              </a:ln>
              <a:effectLst/>
            </c:spPr>
          </c:dPt>
          <c:dPt>
            <c:idx val="24"/>
            <c:invertIfNegative val="0"/>
            <c:bubble3D val="0"/>
            <c:spPr>
              <a:solidFill>
                <a:schemeClr val="accent1">
                  <a:lumMod val="60000"/>
                  <a:lumOff val="40000"/>
                </a:schemeClr>
              </a:solidFill>
              <a:ln>
                <a:solidFill>
                  <a:schemeClr val="tx1"/>
                </a:solidFill>
              </a:ln>
              <a:effectLst/>
            </c:spPr>
          </c:dPt>
          <c:dPt>
            <c:idx val="25"/>
            <c:invertIfNegative val="0"/>
            <c:bubble3D val="0"/>
            <c:spPr>
              <a:solidFill>
                <a:schemeClr val="accent2">
                  <a:lumMod val="60000"/>
                  <a:lumOff val="40000"/>
                </a:schemeClr>
              </a:solidFill>
              <a:ln>
                <a:solidFill>
                  <a:schemeClr val="tx1"/>
                </a:solidFill>
              </a:ln>
              <a:effectLst/>
            </c:spPr>
          </c:dPt>
          <c:dPt>
            <c:idx val="26"/>
            <c:invertIfNegative val="0"/>
            <c:bubble3D val="0"/>
            <c:spPr>
              <a:solidFill>
                <a:schemeClr val="accent3">
                  <a:lumMod val="60000"/>
                  <a:lumOff val="40000"/>
                </a:schemeClr>
              </a:solidFill>
              <a:ln>
                <a:solidFill>
                  <a:schemeClr val="tx1"/>
                </a:solidFill>
              </a:ln>
              <a:effectLst/>
            </c:spPr>
          </c:dPt>
          <c:dPt>
            <c:idx val="27"/>
            <c:invertIfNegative val="0"/>
            <c:bubble3D val="0"/>
            <c:spPr>
              <a:solidFill>
                <a:schemeClr val="accent4">
                  <a:lumMod val="60000"/>
                  <a:lumOff val="40000"/>
                </a:schemeClr>
              </a:solidFill>
              <a:ln>
                <a:solidFill>
                  <a:schemeClr val="tx1"/>
                </a:solidFill>
              </a:ln>
              <a:effectLst/>
            </c:spPr>
          </c:dPt>
          <c:dPt>
            <c:idx val="28"/>
            <c:invertIfNegative val="0"/>
            <c:bubble3D val="0"/>
            <c:spPr>
              <a:solidFill>
                <a:schemeClr val="accent5">
                  <a:lumMod val="60000"/>
                  <a:lumOff val="40000"/>
                </a:schemeClr>
              </a:solidFill>
              <a:ln>
                <a:solidFill>
                  <a:schemeClr val="tx1"/>
                </a:solidFill>
              </a:ln>
              <a:effectLst/>
            </c:spPr>
          </c:dPt>
          <c:dPt>
            <c:idx val="29"/>
            <c:invertIfNegative val="0"/>
            <c:bubble3D val="0"/>
            <c:spPr>
              <a:solidFill>
                <a:schemeClr val="accent6">
                  <a:lumMod val="60000"/>
                  <a:lumOff val="40000"/>
                </a:schemeClr>
              </a:solidFill>
              <a:ln>
                <a:solidFill>
                  <a:schemeClr val="tx1"/>
                </a:solidFill>
              </a:ln>
              <a:effectLst/>
            </c:spPr>
          </c:dPt>
          <c:dPt>
            <c:idx val="30"/>
            <c:invertIfNegative val="0"/>
            <c:bubble3D val="0"/>
            <c:spPr>
              <a:solidFill>
                <a:schemeClr val="accent1">
                  <a:lumMod val="50000"/>
                </a:schemeClr>
              </a:solidFill>
              <a:ln>
                <a:solidFill>
                  <a:schemeClr val="tx1"/>
                </a:solidFill>
              </a:ln>
              <a:effectLst/>
            </c:spPr>
          </c:dPt>
          <c:dPt>
            <c:idx val="31"/>
            <c:invertIfNegative val="0"/>
            <c:bubble3D val="0"/>
            <c:spPr>
              <a:solidFill>
                <a:schemeClr val="accent2">
                  <a:lumMod val="50000"/>
                </a:schemeClr>
              </a:solidFill>
              <a:ln>
                <a:solidFill>
                  <a:schemeClr val="tx1"/>
                </a:solidFill>
              </a:ln>
              <a:effectLst/>
            </c:spPr>
          </c:dPt>
          <c:dPt>
            <c:idx val="32"/>
            <c:invertIfNegative val="0"/>
            <c:bubble3D val="0"/>
            <c:spPr>
              <a:solidFill>
                <a:schemeClr val="accent3">
                  <a:lumMod val="50000"/>
                </a:schemeClr>
              </a:solidFill>
              <a:ln>
                <a:solidFill>
                  <a:schemeClr val="tx1"/>
                </a:solidFill>
              </a:ln>
              <a:effectLst/>
            </c:spPr>
          </c:dPt>
          <c:dPt>
            <c:idx val="33"/>
            <c:invertIfNegative val="0"/>
            <c:bubble3D val="0"/>
            <c:spPr>
              <a:solidFill>
                <a:schemeClr val="accent4">
                  <a:lumMod val="50000"/>
                </a:schemeClr>
              </a:solidFill>
              <a:ln>
                <a:solidFill>
                  <a:schemeClr val="tx1"/>
                </a:solidFill>
              </a:ln>
              <a:effectLst/>
            </c:spPr>
          </c:dPt>
          <c:dPt>
            <c:idx val="34"/>
            <c:invertIfNegative val="0"/>
            <c:bubble3D val="0"/>
            <c:spPr>
              <a:solidFill>
                <a:schemeClr val="accent5">
                  <a:lumMod val="50000"/>
                </a:schemeClr>
              </a:solidFill>
              <a:ln>
                <a:solidFill>
                  <a:schemeClr val="tx1"/>
                </a:solidFill>
              </a:ln>
              <a:effectLst/>
            </c:spPr>
          </c:dPt>
          <c:dPt>
            <c:idx val="35"/>
            <c:invertIfNegative val="0"/>
            <c:bubble3D val="0"/>
            <c:spPr>
              <a:solidFill>
                <a:schemeClr val="accent6">
                  <a:lumMod val="50000"/>
                </a:schemeClr>
              </a:solidFill>
              <a:ln>
                <a:solidFill>
                  <a:schemeClr val="tx1"/>
                </a:solidFill>
              </a:ln>
              <a:effectLst/>
            </c:spPr>
          </c:dPt>
          <c:dPt>
            <c:idx val="36"/>
            <c:invertIfNegative val="0"/>
            <c:bubble3D val="0"/>
            <c:spPr>
              <a:solidFill>
                <a:schemeClr val="accent1">
                  <a:lumMod val="70000"/>
                  <a:lumOff val="30000"/>
                </a:schemeClr>
              </a:solidFill>
              <a:ln>
                <a:solidFill>
                  <a:schemeClr val="tx1"/>
                </a:solidFill>
              </a:ln>
              <a:effectLst/>
            </c:spPr>
          </c:dPt>
          <c:dPt>
            <c:idx val="37"/>
            <c:invertIfNegative val="0"/>
            <c:bubble3D val="0"/>
            <c:spPr>
              <a:solidFill>
                <a:schemeClr val="accent2">
                  <a:lumMod val="70000"/>
                  <a:lumOff val="30000"/>
                </a:schemeClr>
              </a:solidFill>
              <a:ln>
                <a:solidFill>
                  <a:schemeClr val="tx1"/>
                </a:solidFill>
              </a:ln>
              <a:effectLst/>
            </c:spPr>
          </c:dPt>
          <c:dPt>
            <c:idx val="38"/>
            <c:invertIfNegative val="0"/>
            <c:bubble3D val="0"/>
            <c:spPr>
              <a:solidFill>
                <a:schemeClr val="accent3">
                  <a:lumMod val="70000"/>
                  <a:lumOff val="30000"/>
                </a:schemeClr>
              </a:solidFill>
              <a:ln>
                <a:solidFill>
                  <a:schemeClr val="tx1"/>
                </a:solidFill>
              </a:ln>
              <a:effectLst/>
            </c:spPr>
          </c:dPt>
          <c:dPt>
            <c:idx val="39"/>
            <c:invertIfNegative val="0"/>
            <c:bubble3D val="0"/>
            <c:spPr>
              <a:solidFill>
                <a:schemeClr val="accent4">
                  <a:lumMod val="70000"/>
                  <a:lumOff val="30000"/>
                </a:schemeClr>
              </a:solidFill>
              <a:ln>
                <a:solidFill>
                  <a:schemeClr val="tx1"/>
                </a:solidFill>
              </a:ln>
              <a:effectLst/>
            </c:spPr>
          </c:dPt>
          <c:dPt>
            <c:idx val="40"/>
            <c:invertIfNegative val="0"/>
            <c:bubble3D val="0"/>
            <c:spPr>
              <a:solidFill>
                <a:schemeClr val="accent5">
                  <a:lumMod val="70000"/>
                  <a:lumOff val="30000"/>
                </a:schemeClr>
              </a:solidFill>
              <a:ln>
                <a:solidFill>
                  <a:schemeClr val="tx1"/>
                </a:solidFill>
              </a:ln>
              <a:effectLst/>
            </c:spPr>
          </c:dPt>
          <c:dPt>
            <c:idx val="41"/>
            <c:invertIfNegative val="0"/>
            <c:bubble3D val="0"/>
            <c:spPr>
              <a:solidFill>
                <a:schemeClr val="accent6">
                  <a:lumMod val="70000"/>
                  <a:lumOff val="30000"/>
                </a:schemeClr>
              </a:solidFill>
              <a:ln>
                <a:solidFill>
                  <a:schemeClr val="tx1"/>
                </a:solidFill>
              </a:ln>
              <a:effectLst/>
            </c:spPr>
          </c:dPt>
          <c:dPt>
            <c:idx val="42"/>
            <c:invertIfNegative val="0"/>
            <c:bubble3D val="0"/>
            <c:spPr>
              <a:solidFill>
                <a:schemeClr val="accent1">
                  <a:lumMod val="70000"/>
                </a:schemeClr>
              </a:solidFill>
              <a:ln>
                <a:solidFill>
                  <a:schemeClr val="tx1"/>
                </a:solidFill>
              </a:ln>
              <a:effectLst/>
            </c:spPr>
          </c:dPt>
          <c:dPt>
            <c:idx val="43"/>
            <c:invertIfNegative val="0"/>
            <c:bubble3D val="0"/>
            <c:spPr>
              <a:solidFill>
                <a:schemeClr val="accent2">
                  <a:lumMod val="70000"/>
                </a:schemeClr>
              </a:solidFill>
              <a:ln>
                <a:solidFill>
                  <a:schemeClr val="tx1"/>
                </a:solidFill>
              </a:ln>
              <a:effectLst/>
            </c:spPr>
          </c:dPt>
          <c:dPt>
            <c:idx val="44"/>
            <c:invertIfNegative val="0"/>
            <c:bubble3D val="0"/>
            <c:spPr>
              <a:solidFill>
                <a:schemeClr val="accent3">
                  <a:lumMod val="70000"/>
                </a:schemeClr>
              </a:solidFill>
              <a:ln>
                <a:solidFill>
                  <a:schemeClr val="tx1"/>
                </a:solidFill>
              </a:ln>
              <a:effectLst/>
            </c:spPr>
          </c:dPt>
          <c:dPt>
            <c:idx val="45"/>
            <c:invertIfNegative val="0"/>
            <c:bubble3D val="0"/>
            <c:spPr>
              <a:solidFill>
                <a:schemeClr val="accent4">
                  <a:lumMod val="70000"/>
                </a:schemeClr>
              </a:solidFill>
              <a:ln>
                <a:solidFill>
                  <a:schemeClr val="tx1"/>
                </a:solidFill>
              </a:ln>
              <a:effectLst/>
            </c:spPr>
          </c:dPt>
          <c:dPt>
            <c:idx val="46"/>
            <c:invertIfNegative val="0"/>
            <c:bubble3D val="0"/>
            <c:spPr>
              <a:solidFill>
                <a:schemeClr val="accent5">
                  <a:lumMod val="70000"/>
                </a:schemeClr>
              </a:solidFill>
              <a:ln>
                <a:solidFill>
                  <a:schemeClr val="tx1"/>
                </a:solidFill>
              </a:ln>
              <a:effectLst/>
            </c:spPr>
          </c:dPt>
          <c:dPt>
            <c:idx val="47"/>
            <c:invertIfNegative val="0"/>
            <c:bubble3D val="0"/>
            <c:spPr>
              <a:solidFill>
                <a:schemeClr val="accent6">
                  <a:lumMod val="70000"/>
                </a:schemeClr>
              </a:solidFill>
              <a:ln>
                <a:solidFill>
                  <a:schemeClr val="tx1"/>
                </a:solidFill>
              </a:ln>
              <a:effectLst/>
            </c:spPr>
          </c:dPt>
          <c:dPt>
            <c:idx val="48"/>
            <c:invertIfNegative val="0"/>
            <c:bubble3D val="0"/>
            <c:spPr>
              <a:solidFill>
                <a:schemeClr val="accent1">
                  <a:lumMod val="50000"/>
                  <a:lumOff val="50000"/>
                </a:schemeClr>
              </a:solidFill>
              <a:ln>
                <a:solidFill>
                  <a:schemeClr val="tx1"/>
                </a:solidFill>
              </a:ln>
              <a:effectLst/>
            </c:spPr>
          </c:dPt>
          <c:dPt>
            <c:idx val="49"/>
            <c:invertIfNegative val="0"/>
            <c:bubble3D val="0"/>
            <c:spPr>
              <a:solidFill>
                <a:schemeClr val="accent2">
                  <a:lumMod val="50000"/>
                  <a:lumOff val="50000"/>
                </a:schemeClr>
              </a:solidFill>
              <a:ln>
                <a:solidFill>
                  <a:schemeClr val="tx1"/>
                </a:solidFill>
              </a:ln>
              <a:effectLst/>
            </c:spPr>
          </c:dPt>
          <c:dPt>
            <c:idx val="50"/>
            <c:invertIfNegative val="0"/>
            <c:bubble3D val="0"/>
            <c:spPr>
              <a:solidFill>
                <a:schemeClr val="accent3">
                  <a:lumMod val="50000"/>
                  <a:lumOff val="50000"/>
                </a:schemeClr>
              </a:solidFill>
              <a:ln>
                <a:solidFill>
                  <a:schemeClr val="tx1"/>
                </a:solidFill>
              </a:ln>
              <a:effectLst/>
            </c:spPr>
          </c:dPt>
          <c:dPt>
            <c:idx val="51"/>
            <c:invertIfNegative val="0"/>
            <c:bubble3D val="0"/>
            <c:spPr>
              <a:solidFill>
                <a:schemeClr val="accent4">
                  <a:lumMod val="50000"/>
                  <a:lumOff val="50000"/>
                </a:schemeClr>
              </a:solidFill>
              <a:ln>
                <a:solidFill>
                  <a:schemeClr val="tx1"/>
                </a:solidFill>
              </a:ln>
              <a:effectLst/>
            </c:spPr>
          </c:dPt>
          <c:dPt>
            <c:idx val="52"/>
            <c:invertIfNegative val="0"/>
            <c:bubble3D val="0"/>
            <c:spPr>
              <a:solidFill>
                <a:schemeClr val="accent5">
                  <a:lumMod val="50000"/>
                  <a:lumOff val="50000"/>
                </a:schemeClr>
              </a:solidFill>
              <a:ln>
                <a:solidFill>
                  <a:schemeClr val="tx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'Growth 2015'!$A$44:$A$96</c:f>
              <c:strCache>
                <c:ptCount val="53"/>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Regionial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pt idx="52">
                  <c:v>Unincorporated Vic</c:v>
                </c:pt>
              </c:strCache>
            </c:strRef>
          </c:cat>
          <c:val>
            <c:numRef>
              <c:f>'Growth 2015'!$B$44:$B$96</c:f>
              <c:numCache>
                <c:formatCode>_-* #,##0_-;\-* #,##0_-;_-* "-"??_-;_-@_-</c:formatCode>
                <c:ptCount val="53"/>
                <c:pt idx="1">
                  <c:v>1338</c:v>
                </c:pt>
                <c:pt idx="2">
                  <c:v>1386</c:v>
                </c:pt>
                <c:pt idx="3">
                  <c:v>4514</c:v>
                </c:pt>
                <c:pt idx="4">
                  <c:v>235</c:v>
                </c:pt>
                <c:pt idx="5">
                  <c:v>83</c:v>
                </c:pt>
                <c:pt idx="6">
                  <c:v>-71</c:v>
                </c:pt>
                <c:pt idx="7">
                  <c:v>-3</c:v>
                </c:pt>
                <c:pt idx="8">
                  <c:v>-43</c:v>
                </c:pt>
                <c:pt idx="9">
                  <c:v>136</c:v>
                </c:pt>
                <c:pt idx="10">
                  <c:v>492</c:v>
                </c:pt>
                <c:pt idx="13">
                  <c:v>423</c:v>
                </c:pt>
                <c:pt idx="14">
                  <c:v>726</c:v>
                </c:pt>
                <c:pt idx="15">
                  <c:v>271</c:v>
                </c:pt>
                <c:pt idx="16">
                  <c:v>606</c:v>
                </c:pt>
                <c:pt idx="17">
                  <c:v>585</c:v>
                </c:pt>
                <c:pt idx="18">
                  <c:v>104</c:v>
                </c:pt>
                <c:pt idx="19">
                  <c:v>-16</c:v>
                </c:pt>
                <c:pt idx="20">
                  <c:v>-132</c:v>
                </c:pt>
                <c:pt idx="21">
                  <c:v>481</c:v>
                </c:pt>
                <c:pt idx="24">
                  <c:v>-161</c:v>
                </c:pt>
                <c:pt idx="25">
                  <c:v>-111</c:v>
                </c:pt>
                <c:pt idx="26">
                  <c:v>-107</c:v>
                </c:pt>
                <c:pt idx="27">
                  <c:v>-132</c:v>
                </c:pt>
                <c:pt idx="28">
                  <c:v>-142</c:v>
                </c:pt>
                <c:pt idx="29">
                  <c:v>-34</c:v>
                </c:pt>
                <c:pt idx="30">
                  <c:v>-249</c:v>
                </c:pt>
                <c:pt idx="31">
                  <c:v>-249</c:v>
                </c:pt>
                <c:pt idx="32">
                  <c:v>317</c:v>
                </c:pt>
                <c:pt idx="33">
                  <c:v>-123</c:v>
                </c:pt>
                <c:pt idx="34">
                  <c:v>-197</c:v>
                </c:pt>
                <c:pt idx="35">
                  <c:v>-91</c:v>
                </c:pt>
                <c:pt idx="36">
                  <c:v>-148</c:v>
                </c:pt>
                <c:pt idx="37">
                  <c:v>90</c:v>
                </c:pt>
                <c:pt idx="38">
                  <c:v>-70</c:v>
                </c:pt>
                <c:pt idx="39">
                  <c:v>83</c:v>
                </c:pt>
                <c:pt idx="40">
                  <c:v>-5</c:v>
                </c:pt>
                <c:pt idx="41">
                  <c:v>43</c:v>
                </c:pt>
                <c:pt idx="42">
                  <c:v>-107</c:v>
                </c:pt>
                <c:pt idx="43">
                  <c:v>-206</c:v>
                </c:pt>
                <c:pt idx="44">
                  <c:v>31</c:v>
                </c:pt>
                <c:pt idx="45">
                  <c:v>-155</c:v>
                </c:pt>
                <c:pt idx="46">
                  <c:v>12</c:v>
                </c:pt>
                <c:pt idx="47">
                  <c:v>-165</c:v>
                </c:pt>
                <c:pt idx="48">
                  <c:v>-33</c:v>
                </c:pt>
                <c:pt idx="49">
                  <c:v>-209</c:v>
                </c:pt>
                <c:pt idx="50">
                  <c:v>-102</c:v>
                </c:pt>
                <c:pt idx="51">
                  <c:v>-125</c:v>
                </c:pt>
                <c:pt idx="52">
                  <c:v>-5</c:v>
                </c:pt>
              </c:numCache>
            </c:numRef>
          </c:val>
        </c:ser>
        <c:dLbls>
          <c:showLegendKey val="0"/>
          <c:showVal val="0"/>
          <c:showCatName val="0"/>
          <c:showSerName val="0"/>
          <c:showPercent val="0"/>
          <c:showBubbleSize val="0"/>
        </c:dLbls>
        <c:gapWidth val="30"/>
        <c:axId val="613318576"/>
        <c:axId val="613319136"/>
      </c:barChart>
      <c:catAx>
        <c:axId val="613318576"/>
        <c:scaling>
          <c:orientation val="maxMin"/>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3319136"/>
        <c:crosses val="autoZero"/>
        <c:auto val="1"/>
        <c:lblAlgn val="ctr"/>
        <c:lblOffset val="100"/>
        <c:noMultiLvlLbl val="0"/>
      </c:catAx>
      <c:valAx>
        <c:axId val="613319136"/>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33185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400" baseline="0"/>
              <a:t>Median Price  of a Detached Houses - 2015</a:t>
            </a:r>
          </a:p>
          <a:p>
            <a:pPr algn="l">
              <a:defRPr/>
            </a:pPr>
            <a:r>
              <a:rPr lang="en-AU" sz="1400" baseline="0"/>
              <a:t>Regional Victoria </a:t>
            </a:r>
          </a:p>
          <a:p>
            <a:pPr algn="l">
              <a:defRPr/>
            </a:pPr>
            <a:r>
              <a:rPr lang="en-AU" sz="1000" baseline="0"/>
              <a:t>Source: MPA analysis of Landata </a:t>
            </a:r>
            <a:endParaRPr lang="en-AU" sz="1000"/>
          </a:p>
        </c:rich>
      </c:tx>
      <c:layout>
        <c:manualLayout>
          <c:xMode val="edge"/>
          <c:yMode val="edge"/>
          <c:x val="4.9167767072594195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200860309128027"/>
          <c:y val="0.12422853665031003"/>
          <c:w val="0.76617321509053793"/>
          <c:h val="0.84702727376469245"/>
        </c:manualLayout>
      </c:layout>
      <c:barChart>
        <c:barDir val="bar"/>
        <c:grouping val="clustered"/>
        <c:varyColors val="0"/>
        <c:ser>
          <c:idx val="0"/>
          <c:order val="0"/>
          <c:tx>
            <c:strRef>
              <c:f>Summary!$G$3</c:f>
              <c:strCache>
                <c:ptCount val="1"/>
                <c:pt idx="0">
                  <c:v>Median Price ($)</c:v>
                </c:pt>
              </c:strCache>
            </c:strRef>
          </c:tx>
          <c:spPr>
            <a:solidFill>
              <a:schemeClr val="accent1">
                <a:lumMod val="75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Summary!$C$45:$C$96</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Summary!$G$45:$G$96</c:f>
              <c:numCache>
                <c:formatCode>_-"$"* #,##0_-;\-"$"* #,##0_-;_-"$"* "-"??_-;_-@_-</c:formatCode>
                <c:ptCount val="52"/>
                <c:pt idx="1">
                  <c:v>302500</c:v>
                </c:pt>
                <c:pt idx="2">
                  <c:v>321000</c:v>
                </c:pt>
                <c:pt idx="3">
                  <c:v>400000</c:v>
                </c:pt>
                <c:pt idx="4">
                  <c:v>250000</c:v>
                </c:pt>
                <c:pt idx="5">
                  <c:v>239990</c:v>
                </c:pt>
                <c:pt idx="6">
                  <c:v>215000</c:v>
                </c:pt>
                <c:pt idx="7">
                  <c:v>243025</c:v>
                </c:pt>
                <c:pt idx="8">
                  <c:v>270000</c:v>
                </c:pt>
                <c:pt idx="9">
                  <c:v>330000</c:v>
                </c:pt>
                <c:pt idx="10">
                  <c:v>308000</c:v>
                </c:pt>
                <c:pt idx="13">
                  <c:v>338500</c:v>
                </c:pt>
                <c:pt idx="14">
                  <c:v>307000</c:v>
                </c:pt>
                <c:pt idx="15">
                  <c:v>355000</c:v>
                </c:pt>
                <c:pt idx="16">
                  <c:v>465000</c:v>
                </c:pt>
                <c:pt idx="17">
                  <c:v>349500</c:v>
                </c:pt>
                <c:pt idx="18">
                  <c:v>268000</c:v>
                </c:pt>
                <c:pt idx="19">
                  <c:v>717000</c:v>
                </c:pt>
                <c:pt idx="20">
                  <c:v>260000</c:v>
                </c:pt>
                <c:pt idx="21">
                  <c:v>625000</c:v>
                </c:pt>
                <c:pt idx="24">
                  <c:v>300000</c:v>
                </c:pt>
                <c:pt idx="25">
                  <c:v>210000</c:v>
                </c:pt>
                <c:pt idx="26">
                  <c:v>220000</c:v>
                </c:pt>
                <c:pt idx="27">
                  <c:v>120000</c:v>
                </c:pt>
                <c:pt idx="28">
                  <c:v>255000</c:v>
                </c:pt>
                <c:pt idx="29">
                  <c:v>185750</c:v>
                </c:pt>
                <c:pt idx="30">
                  <c:v>275000</c:v>
                </c:pt>
                <c:pt idx="31">
                  <c:v>185000</c:v>
                </c:pt>
                <c:pt idx="32">
                  <c:v>260000</c:v>
                </c:pt>
                <c:pt idx="33">
                  <c:v>162250</c:v>
                </c:pt>
                <c:pt idx="34">
                  <c:v>205000</c:v>
                </c:pt>
                <c:pt idx="35">
                  <c:v>350000</c:v>
                </c:pt>
                <c:pt idx="36">
                  <c:v>105000</c:v>
                </c:pt>
                <c:pt idx="37">
                  <c:v>260000</c:v>
                </c:pt>
                <c:pt idx="38">
                  <c:v>130000</c:v>
                </c:pt>
                <c:pt idx="39">
                  <c:v>292500</c:v>
                </c:pt>
                <c:pt idx="40">
                  <c:v>250000</c:v>
                </c:pt>
                <c:pt idx="41">
                  <c:v>369000</c:v>
                </c:pt>
                <c:pt idx="42">
                  <c:v>330000</c:v>
                </c:pt>
                <c:pt idx="43">
                  <c:v>170000</c:v>
                </c:pt>
                <c:pt idx="44">
                  <c:v>187500</c:v>
                </c:pt>
                <c:pt idx="45">
                  <c:v>185000</c:v>
                </c:pt>
                <c:pt idx="46">
                  <c:v>240000</c:v>
                </c:pt>
                <c:pt idx="47">
                  <c:v>215000</c:v>
                </c:pt>
                <c:pt idx="48">
                  <c:v>206250</c:v>
                </c:pt>
                <c:pt idx="49">
                  <c:v>233000</c:v>
                </c:pt>
                <c:pt idx="50">
                  <c:v>100000</c:v>
                </c:pt>
                <c:pt idx="51">
                  <c:v>89000</c:v>
                </c:pt>
              </c:numCache>
            </c:numRef>
          </c:val>
        </c:ser>
        <c:dLbls>
          <c:showLegendKey val="0"/>
          <c:showVal val="0"/>
          <c:showCatName val="0"/>
          <c:showSerName val="0"/>
          <c:showPercent val="0"/>
          <c:showBubbleSize val="0"/>
        </c:dLbls>
        <c:gapWidth val="30"/>
        <c:axId val="797805680"/>
        <c:axId val="797806240"/>
      </c:barChart>
      <c:catAx>
        <c:axId val="797805680"/>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806240"/>
        <c:crosses val="autoZero"/>
        <c:auto val="1"/>
        <c:lblAlgn val="ctr"/>
        <c:lblOffset val="100"/>
        <c:noMultiLvlLbl val="0"/>
      </c:catAx>
      <c:valAx>
        <c:axId val="797806240"/>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805680"/>
        <c:crosses val="autoZero"/>
        <c:crossBetween val="between"/>
        <c:majorUnit val="250000"/>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baseline="0"/>
              <a:t>Median Price  of a Semi-Detached Houses - 2015</a:t>
            </a:r>
          </a:p>
          <a:p>
            <a:pPr algn="l">
              <a:defRPr/>
            </a:pPr>
            <a:r>
              <a:rPr lang="en-AU" baseline="0"/>
              <a:t>Metropolitan Melbourne</a:t>
            </a:r>
          </a:p>
          <a:p>
            <a:pPr algn="l">
              <a:defRPr/>
            </a:pPr>
            <a:r>
              <a:rPr lang="en-AU" sz="1000" baseline="0"/>
              <a:t>Source: MPA analysis of Landata </a:t>
            </a:r>
            <a:endParaRPr lang="en-AU" sz="1000"/>
          </a:p>
        </c:rich>
      </c:tx>
      <c:layout>
        <c:manualLayout>
          <c:xMode val="edge"/>
          <c:yMode val="edge"/>
          <c:x val="4.9167767072594195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200860309128027"/>
          <c:y val="0.12422853665031003"/>
          <c:w val="0.76617321509053793"/>
          <c:h val="0.84702727376469245"/>
        </c:manualLayout>
      </c:layout>
      <c:barChart>
        <c:barDir val="bar"/>
        <c:grouping val="clustered"/>
        <c:varyColors val="0"/>
        <c:ser>
          <c:idx val="0"/>
          <c:order val="0"/>
          <c:tx>
            <c:strRef>
              <c:f>Summary!$P$3</c:f>
              <c:strCache>
                <c:ptCount val="1"/>
                <c:pt idx="0">
                  <c:v>Median Price ($)</c:v>
                </c:pt>
              </c:strCache>
            </c:strRef>
          </c:tx>
          <c:spPr>
            <a:solidFill>
              <a:srgbClr val="C0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Summary!$C$4:$C$44</c:f>
              <c:strCache>
                <c:ptCount val="41"/>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strCache>
            </c:strRef>
          </c:cat>
          <c:val>
            <c:numRef>
              <c:f>Summary!$P$4:$P$44</c:f>
              <c:numCache>
                <c:formatCode>_-"$"* #,##0_-;\-"$"* #,##0_-;_-"$"* "-"??_-;_-@_-</c:formatCode>
                <c:ptCount val="41"/>
                <c:pt idx="1">
                  <c:v>455000</c:v>
                </c:pt>
                <c:pt idx="2">
                  <c:v>725000</c:v>
                </c:pt>
                <c:pt idx="3">
                  <c:v>785500</c:v>
                </c:pt>
                <c:pt idx="4">
                  <c:v>850000</c:v>
                </c:pt>
                <c:pt idx="5">
                  <c:v>847500</c:v>
                </c:pt>
                <c:pt idx="8">
                  <c:v>972000</c:v>
                </c:pt>
                <c:pt idx="9">
                  <c:v>465000</c:v>
                </c:pt>
                <c:pt idx="10">
                  <c:v>738000</c:v>
                </c:pt>
                <c:pt idx="11">
                  <c:v>460000</c:v>
                </c:pt>
                <c:pt idx="12">
                  <c:v>650000</c:v>
                </c:pt>
                <c:pt idx="13">
                  <c:v>685000</c:v>
                </c:pt>
                <c:pt idx="14">
                  <c:v>407500</c:v>
                </c:pt>
                <c:pt idx="17">
                  <c:v>545500</c:v>
                </c:pt>
                <c:pt idx="18">
                  <c:v>443900</c:v>
                </c:pt>
                <c:pt idx="19">
                  <c:v>325000</c:v>
                </c:pt>
                <c:pt idx="20">
                  <c:v>235000</c:v>
                </c:pt>
                <c:pt idx="21">
                  <c:v>470000</c:v>
                </c:pt>
                <c:pt idx="22">
                  <c:v>531600</c:v>
                </c:pt>
                <c:pt idx="23">
                  <c:v>339000</c:v>
                </c:pt>
                <c:pt idx="26">
                  <c:v>887500</c:v>
                </c:pt>
                <c:pt idx="27">
                  <c:v>278500</c:v>
                </c:pt>
                <c:pt idx="28">
                  <c:v>340000</c:v>
                </c:pt>
                <c:pt idx="29">
                  <c:v>338500</c:v>
                </c:pt>
                <c:pt idx="30">
                  <c:v>783333</c:v>
                </c:pt>
                <c:pt idx="31">
                  <c:v>351000</c:v>
                </c:pt>
                <c:pt idx="32">
                  <c:v>523500</c:v>
                </c:pt>
                <c:pt idx="33">
                  <c:v>405000</c:v>
                </c:pt>
                <c:pt idx="36">
                  <c:v>325000</c:v>
                </c:pt>
                <c:pt idx="37">
                  <c:v>546000</c:v>
                </c:pt>
                <c:pt idx="38">
                  <c:v>245000</c:v>
                </c:pt>
                <c:pt idx="39">
                  <c:v>542250</c:v>
                </c:pt>
                <c:pt idx="40">
                  <c:v>293000</c:v>
                </c:pt>
              </c:numCache>
            </c:numRef>
          </c:val>
        </c:ser>
        <c:dLbls>
          <c:showLegendKey val="0"/>
          <c:showVal val="0"/>
          <c:showCatName val="0"/>
          <c:showSerName val="0"/>
          <c:showPercent val="0"/>
          <c:showBubbleSize val="0"/>
        </c:dLbls>
        <c:gapWidth val="30"/>
        <c:axId val="797808480"/>
        <c:axId val="797809040"/>
      </c:barChart>
      <c:catAx>
        <c:axId val="797808480"/>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809040"/>
        <c:crosses val="autoZero"/>
        <c:auto val="1"/>
        <c:lblAlgn val="ctr"/>
        <c:lblOffset val="100"/>
        <c:noMultiLvlLbl val="0"/>
      </c:catAx>
      <c:valAx>
        <c:axId val="797809040"/>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808480"/>
        <c:crosses val="autoZero"/>
        <c:crossBetween val="between"/>
        <c:majorUnit val="250000"/>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400" baseline="0"/>
              <a:t>Median Price  of a Detached Houses - 2015</a:t>
            </a:r>
          </a:p>
          <a:p>
            <a:pPr algn="l">
              <a:defRPr/>
            </a:pPr>
            <a:r>
              <a:rPr lang="en-AU" sz="1400" baseline="0"/>
              <a:t>Regional Victoria </a:t>
            </a:r>
          </a:p>
          <a:p>
            <a:pPr algn="l">
              <a:defRPr/>
            </a:pPr>
            <a:r>
              <a:rPr lang="en-AU" sz="1000" baseline="0"/>
              <a:t>Source: MPA analysis of Landata </a:t>
            </a:r>
            <a:endParaRPr lang="en-AU" sz="1000"/>
          </a:p>
        </c:rich>
      </c:tx>
      <c:layout>
        <c:manualLayout>
          <c:xMode val="edge"/>
          <c:yMode val="edge"/>
          <c:x val="4.9167767072594195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200860309128027"/>
          <c:y val="0.11005756424991042"/>
          <c:w val="0.76617321509053793"/>
          <c:h val="0.86297662839381739"/>
        </c:manualLayout>
      </c:layout>
      <c:barChart>
        <c:barDir val="bar"/>
        <c:grouping val="clustered"/>
        <c:varyColors val="0"/>
        <c:ser>
          <c:idx val="0"/>
          <c:order val="0"/>
          <c:tx>
            <c:strRef>
              <c:f>Summary!$P$3</c:f>
              <c:strCache>
                <c:ptCount val="1"/>
                <c:pt idx="0">
                  <c:v>Median Price ($)</c:v>
                </c:pt>
              </c:strCache>
            </c:strRef>
          </c:tx>
          <c:spPr>
            <a:solidFill>
              <a:srgbClr val="C0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Summary!$C$45:$C$96</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Summary!$P$45:$P$96</c:f>
              <c:numCache>
                <c:formatCode>_-"$"* #,##0_-;\-"$"* #,##0_-;_-"$"* "-"??_-;_-@_-</c:formatCode>
                <c:ptCount val="52"/>
                <c:pt idx="1">
                  <c:v>248000</c:v>
                </c:pt>
                <c:pt idx="2">
                  <c:v>250000</c:v>
                </c:pt>
                <c:pt idx="3">
                  <c:v>309000</c:v>
                </c:pt>
                <c:pt idx="4">
                  <c:v>210000</c:v>
                </c:pt>
                <c:pt idx="5">
                  <c:v>230000</c:v>
                </c:pt>
                <c:pt idx="6">
                  <c:v>195000</c:v>
                </c:pt>
                <c:pt idx="7">
                  <c:v>170002.5</c:v>
                </c:pt>
                <c:pt idx="8">
                  <c:v>212100</c:v>
                </c:pt>
                <c:pt idx="9">
                  <c:v>248000</c:v>
                </c:pt>
                <c:pt idx="10">
                  <c:v>203000</c:v>
                </c:pt>
                <c:pt idx="13">
                  <c:v>279500</c:v>
                </c:pt>
                <c:pt idx="14">
                  <c:v>235500</c:v>
                </c:pt>
                <c:pt idx="15">
                  <c:v>265000</c:v>
                </c:pt>
                <c:pt idx="16">
                  <c:v>360000</c:v>
                </c:pt>
                <c:pt idx="17">
                  <c:v>287000</c:v>
                </c:pt>
                <c:pt idx="18">
                  <c:v>267500</c:v>
                </c:pt>
                <c:pt idx="19">
                  <c:v>453750</c:v>
                </c:pt>
                <c:pt idx="20">
                  <c:v>260000</c:v>
                </c:pt>
                <c:pt idx="21">
                  <c:v>500000</c:v>
                </c:pt>
                <c:pt idx="24">
                  <c:v>190000</c:v>
                </c:pt>
                <c:pt idx="25">
                  <c:v>160000</c:v>
                </c:pt>
                <c:pt idx="26">
                  <c:v>145000</c:v>
                </c:pt>
                <c:pt idx="27">
                  <c:v>170000</c:v>
                </c:pt>
                <c:pt idx="28">
                  <c:v>230000</c:v>
                </c:pt>
                <c:pt idx="29">
                  <c:v>168000</c:v>
                </c:pt>
                <c:pt idx="30">
                  <c:v>220000</c:v>
                </c:pt>
                <c:pt idx="31">
                  <c:v>160000</c:v>
                </c:pt>
                <c:pt idx="32">
                  <c:v>237000</c:v>
                </c:pt>
                <c:pt idx="33">
                  <c:v>170000</c:v>
                </c:pt>
                <c:pt idx="34">
                  <c:v>108001</c:v>
                </c:pt>
                <c:pt idx="35">
                  <c:v>418750</c:v>
                </c:pt>
                <c:pt idx="37">
                  <c:v>173000</c:v>
                </c:pt>
                <c:pt idx="39">
                  <c:v>345000</c:v>
                </c:pt>
                <c:pt idx="40">
                  <c:v>220000</c:v>
                </c:pt>
                <c:pt idx="41">
                  <c:v>402500</c:v>
                </c:pt>
                <c:pt idx="42">
                  <c:v>319000</c:v>
                </c:pt>
                <c:pt idx="43">
                  <c:v>177500</c:v>
                </c:pt>
                <c:pt idx="44">
                  <c:v>180000</c:v>
                </c:pt>
                <c:pt idx="45">
                  <c:v>187500</c:v>
                </c:pt>
                <c:pt idx="46">
                  <c:v>162750</c:v>
                </c:pt>
                <c:pt idx="47">
                  <c:v>187000</c:v>
                </c:pt>
                <c:pt idx="48">
                  <c:v>167000</c:v>
                </c:pt>
                <c:pt idx="49">
                  <c:v>213500</c:v>
                </c:pt>
                <c:pt idx="50">
                  <c:v>128000</c:v>
                </c:pt>
                <c:pt idx="51">
                  <c:v>135000</c:v>
                </c:pt>
              </c:numCache>
            </c:numRef>
          </c:val>
        </c:ser>
        <c:dLbls>
          <c:showLegendKey val="0"/>
          <c:showVal val="0"/>
          <c:showCatName val="0"/>
          <c:showSerName val="0"/>
          <c:showPercent val="0"/>
          <c:showBubbleSize val="0"/>
        </c:dLbls>
        <c:gapWidth val="30"/>
        <c:axId val="797811280"/>
        <c:axId val="797811840"/>
      </c:barChart>
      <c:catAx>
        <c:axId val="797811280"/>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811840"/>
        <c:crosses val="autoZero"/>
        <c:auto val="1"/>
        <c:lblAlgn val="ctr"/>
        <c:lblOffset val="100"/>
        <c:noMultiLvlLbl val="0"/>
      </c:catAx>
      <c:valAx>
        <c:axId val="797811840"/>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811280"/>
        <c:crosses val="autoZero"/>
        <c:crossBetween val="between"/>
        <c:majorUnit val="250000"/>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400" baseline="0"/>
              <a:t>Median Price of a Strata Title Dwelling-  2015</a:t>
            </a:r>
          </a:p>
          <a:p>
            <a:pPr algn="l">
              <a:defRPr/>
            </a:pPr>
            <a:r>
              <a:rPr lang="en-AU" sz="1400" baseline="0"/>
              <a:t>Metropolitan Melbourne</a:t>
            </a:r>
          </a:p>
          <a:p>
            <a:pPr algn="l">
              <a:defRPr/>
            </a:pPr>
            <a:r>
              <a:rPr lang="en-AU" sz="1000" baseline="0"/>
              <a:t>Source: MPA analysis of Landata </a:t>
            </a:r>
            <a:endParaRPr lang="en-AU" sz="1000"/>
          </a:p>
        </c:rich>
      </c:tx>
      <c:layout>
        <c:manualLayout>
          <c:xMode val="edge"/>
          <c:yMode val="edge"/>
          <c:x val="4.9167767072594195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839438548442314"/>
          <c:y val="0.11163211943806976"/>
          <c:w val="0.76617321509053793"/>
          <c:h val="0.86297662839381739"/>
        </c:manualLayout>
      </c:layout>
      <c:barChart>
        <c:barDir val="bar"/>
        <c:grouping val="clustered"/>
        <c:varyColors val="0"/>
        <c:ser>
          <c:idx val="0"/>
          <c:order val="0"/>
          <c:tx>
            <c:strRef>
              <c:f>Summary!$P$3</c:f>
              <c:strCache>
                <c:ptCount val="1"/>
                <c:pt idx="0">
                  <c:v>Median Price ($)</c:v>
                </c:pt>
              </c:strCache>
            </c:strRef>
          </c:tx>
          <c:spPr>
            <a:solidFill>
              <a:schemeClr val="accent6">
                <a:lumMod val="5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Summary!$C$4:$C$51</c:f>
              <c:strCache>
                <c:ptCount val="48"/>
                <c:pt idx="0">
                  <c:v>Central Subregion</c:v>
                </c:pt>
                <c:pt idx="1">
                  <c:v>Maribyrnong</c:v>
                </c:pt>
                <c:pt idx="2">
                  <c:v>Melbourne</c:v>
                </c:pt>
                <c:pt idx="3">
                  <c:v>Port Phillip</c:v>
                </c:pt>
                <c:pt idx="4">
                  <c:v>Stonnington</c:v>
                </c:pt>
                <c:pt idx="5">
                  <c:v>Yarra</c:v>
                </c:pt>
                <c:pt idx="7">
                  <c:v>Eastern Subregion</c:v>
                </c:pt>
                <c:pt idx="8">
                  <c:v>Boroondara</c:v>
                </c:pt>
                <c:pt idx="9">
                  <c:v>Knox</c:v>
                </c:pt>
                <c:pt idx="10">
                  <c:v>Manningham</c:v>
                </c:pt>
                <c:pt idx="11">
                  <c:v>Maroondah</c:v>
                </c:pt>
                <c:pt idx="12">
                  <c:v>Monash</c:v>
                </c:pt>
                <c:pt idx="13">
                  <c:v>Whitehorse</c:v>
                </c:pt>
                <c:pt idx="14">
                  <c:v>Yarra Ranges</c:v>
                </c:pt>
                <c:pt idx="16">
                  <c:v>Northern Subregion</c:v>
                </c:pt>
                <c:pt idx="17">
                  <c:v>Banyule</c:v>
                </c:pt>
                <c:pt idx="18">
                  <c:v>Darebin</c:v>
                </c:pt>
                <c:pt idx="19">
                  <c:v>Hume</c:v>
                </c:pt>
                <c:pt idx="20">
                  <c:v>Mitchell</c:v>
                </c:pt>
                <c:pt idx="21">
                  <c:v>Moreland</c:v>
                </c:pt>
                <c:pt idx="22">
                  <c:v>Nillumbik</c:v>
                </c:pt>
                <c:pt idx="23">
                  <c:v>Whittlesea</c:v>
                </c:pt>
                <c:pt idx="25">
                  <c:v>Southern Subregion</c:v>
                </c:pt>
                <c:pt idx="26">
                  <c:v>Bayside</c:v>
                </c:pt>
                <c:pt idx="27">
                  <c:v>Cardinia</c:v>
                </c:pt>
                <c:pt idx="28">
                  <c:v>Casey</c:v>
                </c:pt>
                <c:pt idx="29">
                  <c:v>Frankston</c:v>
                </c:pt>
                <c:pt idx="30">
                  <c:v>Glen Eira</c:v>
                </c:pt>
                <c:pt idx="31">
                  <c:v>Greater Dandenong</c:v>
                </c:pt>
                <c:pt idx="32">
                  <c:v>Kingston</c:v>
                </c:pt>
                <c:pt idx="33">
                  <c:v>Mornington Peninsula</c:v>
                </c:pt>
                <c:pt idx="35">
                  <c:v>Western Subregion</c:v>
                </c:pt>
                <c:pt idx="36">
                  <c:v>Brimbank</c:v>
                </c:pt>
                <c:pt idx="37">
                  <c:v>Hobsons Bay</c:v>
                </c:pt>
                <c:pt idx="38">
                  <c:v>Melton</c:v>
                </c:pt>
                <c:pt idx="39">
                  <c:v>Moonee Valley</c:v>
                </c:pt>
                <c:pt idx="40">
                  <c:v>Wyndham</c:v>
                </c:pt>
                <c:pt idx="41">
                  <c:v>Key Regional Cities</c:v>
                </c:pt>
                <c:pt idx="42">
                  <c:v>Ballarat</c:v>
                </c:pt>
                <c:pt idx="43">
                  <c:v>Greater Bendigo</c:v>
                </c:pt>
                <c:pt idx="44">
                  <c:v>Greater Geelong</c:v>
                </c:pt>
                <c:pt idx="45">
                  <c:v>Greater Shepparton</c:v>
                </c:pt>
                <c:pt idx="46">
                  <c:v>Horsham</c:v>
                </c:pt>
                <c:pt idx="47">
                  <c:v>Latrobe</c:v>
                </c:pt>
              </c:strCache>
            </c:strRef>
          </c:cat>
          <c:val>
            <c:numRef>
              <c:f>Summary!$AA$4:$AA$44</c:f>
              <c:numCache>
                <c:formatCode>_-"$"* #,##0_-;\-"$"* #,##0_-;_-"$"* "-"??_-;_-@_-</c:formatCode>
                <c:ptCount val="41"/>
                <c:pt idx="1">
                  <c:v>420000</c:v>
                </c:pt>
                <c:pt idx="2">
                  <c:v>510000</c:v>
                </c:pt>
                <c:pt idx="3">
                  <c:v>560000</c:v>
                </c:pt>
                <c:pt idx="4">
                  <c:v>570000</c:v>
                </c:pt>
                <c:pt idx="5">
                  <c:v>566250</c:v>
                </c:pt>
                <c:pt idx="8">
                  <c:v>652500</c:v>
                </c:pt>
                <c:pt idx="9">
                  <c:v>452500</c:v>
                </c:pt>
                <c:pt idx="10">
                  <c:v>639000</c:v>
                </c:pt>
                <c:pt idx="11">
                  <c:v>472000</c:v>
                </c:pt>
                <c:pt idx="12">
                  <c:v>620000</c:v>
                </c:pt>
                <c:pt idx="13">
                  <c:v>640750</c:v>
                </c:pt>
                <c:pt idx="14">
                  <c:v>410000</c:v>
                </c:pt>
                <c:pt idx="17">
                  <c:v>535000</c:v>
                </c:pt>
                <c:pt idx="18">
                  <c:v>435000</c:v>
                </c:pt>
                <c:pt idx="19">
                  <c:v>316000</c:v>
                </c:pt>
                <c:pt idx="20">
                  <c:v>257500</c:v>
                </c:pt>
                <c:pt idx="21">
                  <c:v>455000</c:v>
                </c:pt>
                <c:pt idx="22">
                  <c:v>533900</c:v>
                </c:pt>
                <c:pt idx="23">
                  <c:v>340250</c:v>
                </c:pt>
                <c:pt idx="26">
                  <c:v>786250</c:v>
                </c:pt>
                <c:pt idx="27">
                  <c:v>281500</c:v>
                </c:pt>
                <c:pt idx="28">
                  <c:v>335000</c:v>
                </c:pt>
                <c:pt idx="29">
                  <c:v>315150</c:v>
                </c:pt>
                <c:pt idx="30">
                  <c:v>561000</c:v>
                </c:pt>
                <c:pt idx="31">
                  <c:v>345000</c:v>
                </c:pt>
                <c:pt idx="32">
                  <c:v>492500</c:v>
                </c:pt>
                <c:pt idx="33">
                  <c:v>405000</c:v>
                </c:pt>
                <c:pt idx="36">
                  <c:v>330000</c:v>
                </c:pt>
                <c:pt idx="37">
                  <c:v>450000</c:v>
                </c:pt>
                <c:pt idx="38">
                  <c:v>274000</c:v>
                </c:pt>
                <c:pt idx="39">
                  <c:v>470000</c:v>
                </c:pt>
                <c:pt idx="40">
                  <c:v>295000</c:v>
                </c:pt>
              </c:numCache>
            </c:numRef>
          </c:val>
        </c:ser>
        <c:dLbls>
          <c:showLegendKey val="0"/>
          <c:showVal val="0"/>
          <c:showCatName val="0"/>
          <c:showSerName val="0"/>
          <c:showPercent val="0"/>
          <c:showBubbleSize val="0"/>
        </c:dLbls>
        <c:gapWidth val="30"/>
        <c:axId val="797814080"/>
        <c:axId val="797814640"/>
      </c:barChart>
      <c:catAx>
        <c:axId val="797814080"/>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814640"/>
        <c:crosses val="autoZero"/>
        <c:auto val="1"/>
        <c:lblAlgn val="ctr"/>
        <c:lblOffset val="100"/>
        <c:noMultiLvlLbl val="0"/>
      </c:catAx>
      <c:valAx>
        <c:axId val="797814640"/>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814080"/>
        <c:crosses val="autoZero"/>
        <c:crossBetween val="between"/>
        <c:majorUnit val="250000"/>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sz="1400" baseline="0"/>
              <a:t>Median Price  of a Strata Title Dwelling - 2015</a:t>
            </a:r>
          </a:p>
          <a:p>
            <a:pPr algn="l">
              <a:defRPr/>
            </a:pPr>
            <a:r>
              <a:rPr lang="en-AU" sz="1400" baseline="0"/>
              <a:t>Regional Victoria </a:t>
            </a:r>
          </a:p>
          <a:p>
            <a:pPr algn="l">
              <a:defRPr/>
            </a:pPr>
            <a:r>
              <a:rPr lang="en-AU" sz="1000" baseline="0"/>
              <a:t>Source: MPA analysis of Landata </a:t>
            </a:r>
            <a:endParaRPr lang="en-AU" sz="1000"/>
          </a:p>
        </c:rich>
      </c:tx>
      <c:layout>
        <c:manualLayout>
          <c:xMode val="edge"/>
          <c:yMode val="edge"/>
          <c:x val="4.9167767072594195E-4"/>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200860309128027"/>
          <c:y val="0.11005756424991042"/>
          <c:w val="0.76617321509053793"/>
          <c:h val="0.86297662839381739"/>
        </c:manualLayout>
      </c:layout>
      <c:barChart>
        <c:barDir val="bar"/>
        <c:grouping val="clustered"/>
        <c:varyColors val="0"/>
        <c:ser>
          <c:idx val="0"/>
          <c:order val="0"/>
          <c:tx>
            <c:strRef>
              <c:f>Summary!$P$3</c:f>
              <c:strCache>
                <c:ptCount val="1"/>
                <c:pt idx="0">
                  <c:v>Median Price ($)</c:v>
                </c:pt>
              </c:strCache>
            </c:strRef>
          </c:tx>
          <c:spPr>
            <a:solidFill>
              <a:schemeClr val="accent6">
                <a:lumMod val="5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Summary!$C$45:$C$96</c:f>
              <c:strCache>
                <c:ptCount val="52"/>
                <c:pt idx="0">
                  <c:v>Key Regional Cities</c:v>
                </c:pt>
                <c:pt idx="1">
                  <c:v>Ballarat</c:v>
                </c:pt>
                <c:pt idx="2">
                  <c:v>Greater Bendigo</c:v>
                </c:pt>
                <c:pt idx="3">
                  <c:v>Greater Geelong</c:v>
                </c:pt>
                <c:pt idx="4">
                  <c:v>Greater Shepparton</c:v>
                </c:pt>
                <c:pt idx="5">
                  <c:v>Horsham</c:v>
                </c:pt>
                <c:pt idx="6">
                  <c:v>Latrobe</c:v>
                </c:pt>
                <c:pt idx="7">
                  <c:v>Mildura</c:v>
                </c:pt>
                <c:pt idx="8">
                  <c:v>Wangaratta</c:v>
                </c:pt>
                <c:pt idx="9">
                  <c:v>Warrnambool</c:v>
                </c:pt>
                <c:pt idx="10">
                  <c:v>Wodonga</c:v>
                </c:pt>
                <c:pt idx="12">
                  <c:v>Peri-urban &amp; Coastal LGAs</c:v>
                </c:pt>
                <c:pt idx="13">
                  <c:v>Bass Coast</c:v>
                </c:pt>
                <c:pt idx="14">
                  <c:v>Baw Baw</c:v>
                </c:pt>
                <c:pt idx="15">
                  <c:v>Golden Plains</c:v>
                </c:pt>
                <c:pt idx="16">
                  <c:v>Macedon Ranges</c:v>
                </c:pt>
                <c:pt idx="17">
                  <c:v>Moorabool</c:v>
                </c:pt>
                <c:pt idx="18">
                  <c:v>Murrindindi</c:v>
                </c:pt>
                <c:pt idx="19">
                  <c:v>Queenscliffe</c:v>
                </c:pt>
                <c:pt idx="20">
                  <c:v>South Gippsland</c:v>
                </c:pt>
                <c:pt idx="21">
                  <c:v>Surf Coast</c:v>
                </c:pt>
                <c:pt idx="23">
                  <c:v>Other Regional LGAs</c:v>
                </c:pt>
                <c:pt idx="24">
                  <c:v>Alpine</c:v>
                </c:pt>
                <c:pt idx="25">
                  <c:v>Ararat</c:v>
                </c:pt>
                <c:pt idx="26">
                  <c:v>Benalla</c:v>
                </c:pt>
                <c:pt idx="27">
                  <c:v>Buloke</c:v>
                </c:pt>
                <c:pt idx="28">
                  <c:v>Campaspe</c:v>
                </c:pt>
                <c:pt idx="29">
                  <c:v>Central Goldfields</c:v>
                </c:pt>
                <c:pt idx="30">
                  <c:v>Colac-Otway</c:v>
                </c:pt>
                <c:pt idx="31">
                  <c:v>Corangamite</c:v>
                </c:pt>
                <c:pt idx="32">
                  <c:v>East Gippsland</c:v>
                </c:pt>
                <c:pt idx="33">
                  <c:v>Gannawarra</c:v>
                </c:pt>
                <c:pt idx="34">
                  <c:v>Glenelg</c:v>
                </c:pt>
                <c:pt idx="35">
                  <c:v>Hepburn</c:v>
                </c:pt>
                <c:pt idx="36">
                  <c:v>Hindmarsh</c:v>
                </c:pt>
                <c:pt idx="37">
                  <c:v>Indigo</c:v>
                </c:pt>
                <c:pt idx="38">
                  <c:v>Loddon</c:v>
                </c:pt>
                <c:pt idx="39">
                  <c:v>Mansfield</c:v>
                </c:pt>
                <c:pt idx="40">
                  <c:v>Moira</c:v>
                </c:pt>
                <c:pt idx="41">
                  <c:v>Mount Alexander</c:v>
                </c:pt>
                <c:pt idx="42">
                  <c:v>Moyne</c:v>
                </c:pt>
                <c:pt idx="43">
                  <c:v>Northern Grampians</c:v>
                </c:pt>
                <c:pt idx="44">
                  <c:v>Pyrenees</c:v>
                </c:pt>
                <c:pt idx="45">
                  <c:v>Southern Grampians</c:v>
                </c:pt>
                <c:pt idx="46">
                  <c:v>Strathbogie</c:v>
                </c:pt>
                <c:pt idx="47">
                  <c:v>Swan Hill</c:v>
                </c:pt>
                <c:pt idx="48">
                  <c:v>Towong</c:v>
                </c:pt>
                <c:pt idx="49">
                  <c:v>Wellington</c:v>
                </c:pt>
                <c:pt idx="50">
                  <c:v>West Wimmera</c:v>
                </c:pt>
                <c:pt idx="51">
                  <c:v>Yarriambiack</c:v>
                </c:pt>
              </c:strCache>
            </c:strRef>
          </c:cat>
          <c:val>
            <c:numRef>
              <c:f>Summary!$AA$45:$AA$96</c:f>
              <c:numCache>
                <c:formatCode>_-"$"* #,##0_-;\-"$"* #,##0_-;_-"$"* "-"??_-;_-@_-</c:formatCode>
                <c:ptCount val="52"/>
                <c:pt idx="1">
                  <c:v>241562.5</c:v>
                </c:pt>
                <c:pt idx="2">
                  <c:v>255000</c:v>
                </c:pt>
                <c:pt idx="3">
                  <c:v>318000</c:v>
                </c:pt>
                <c:pt idx="4">
                  <c:v>199000</c:v>
                </c:pt>
                <c:pt idx="5">
                  <c:v>204500</c:v>
                </c:pt>
                <c:pt idx="6">
                  <c:v>180000</c:v>
                </c:pt>
                <c:pt idx="7">
                  <c:v>164000</c:v>
                </c:pt>
                <c:pt idx="8">
                  <c:v>213000</c:v>
                </c:pt>
                <c:pt idx="9">
                  <c:v>262500</c:v>
                </c:pt>
                <c:pt idx="10">
                  <c:v>190000</c:v>
                </c:pt>
                <c:pt idx="13">
                  <c:v>310000</c:v>
                </c:pt>
                <c:pt idx="14">
                  <c:v>238000</c:v>
                </c:pt>
                <c:pt idx="15">
                  <c:v>260000</c:v>
                </c:pt>
                <c:pt idx="16">
                  <c:v>340000</c:v>
                </c:pt>
                <c:pt idx="17">
                  <c:v>280000</c:v>
                </c:pt>
                <c:pt idx="18">
                  <c:v>250000</c:v>
                </c:pt>
                <c:pt idx="19">
                  <c:v>545000</c:v>
                </c:pt>
                <c:pt idx="20">
                  <c:v>221000</c:v>
                </c:pt>
                <c:pt idx="21">
                  <c:v>475000</c:v>
                </c:pt>
                <c:pt idx="24">
                  <c:v>225000</c:v>
                </c:pt>
                <c:pt idx="25">
                  <c:v>167500</c:v>
                </c:pt>
                <c:pt idx="26">
                  <c:v>212750</c:v>
                </c:pt>
                <c:pt idx="28">
                  <c:v>239625</c:v>
                </c:pt>
                <c:pt idx="29">
                  <c:v>193500</c:v>
                </c:pt>
                <c:pt idx="30">
                  <c:v>250000</c:v>
                </c:pt>
                <c:pt idx="31">
                  <c:v>160000</c:v>
                </c:pt>
                <c:pt idx="32">
                  <c:v>246250</c:v>
                </c:pt>
                <c:pt idx="33">
                  <c:v>182000</c:v>
                </c:pt>
                <c:pt idx="34">
                  <c:v>176000</c:v>
                </c:pt>
                <c:pt idx="35">
                  <c:v>315000</c:v>
                </c:pt>
                <c:pt idx="37">
                  <c:v>226000</c:v>
                </c:pt>
                <c:pt idx="39">
                  <c:v>263500</c:v>
                </c:pt>
                <c:pt idx="40">
                  <c:v>199500</c:v>
                </c:pt>
                <c:pt idx="41">
                  <c:v>310000</c:v>
                </c:pt>
                <c:pt idx="42">
                  <c:v>318500</c:v>
                </c:pt>
                <c:pt idx="43">
                  <c:v>160000</c:v>
                </c:pt>
                <c:pt idx="45">
                  <c:v>240000</c:v>
                </c:pt>
                <c:pt idx="46">
                  <c:v>300000</c:v>
                </c:pt>
                <c:pt idx="47">
                  <c:v>188000</c:v>
                </c:pt>
                <c:pt idx="48">
                  <c:v>185000</c:v>
                </c:pt>
                <c:pt idx="49">
                  <c:v>215000</c:v>
                </c:pt>
                <c:pt idx="50">
                  <c:v>138000</c:v>
                </c:pt>
              </c:numCache>
            </c:numRef>
          </c:val>
        </c:ser>
        <c:dLbls>
          <c:showLegendKey val="0"/>
          <c:showVal val="0"/>
          <c:showCatName val="0"/>
          <c:showSerName val="0"/>
          <c:showPercent val="0"/>
          <c:showBubbleSize val="0"/>
        </c:dLbls>
        <c:gapWidth val="30"/>
        <c:axId val="797816880"/>
        <c:axId val="797817440"/>
      </c:barChart>
      <c:catAx>
        <c:axId val="797816880"/>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817440"/>
        <c:crosses val="autoZero"/>
        <c:auto val="1"/>
        <c:lblAlgn val="ctr"/>
        <c:lblOffset val="100"/>
        <c:noMultiLvlLbl val="0"/>
      </c:catAx>
      <c:valAx>
        <c:axId val="797817440"/>
        <c:scaling>
          <c:orientation val="minMax"/>
        </c:scaling>
        <c:delete val="0"/>
        <c:axPos val="t"/>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7816880"/>
        <c:crosses val="autoZero"/>
        <c:crossBetween val="between"/>
        <c:majorUnit val="250000"/>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AU"/>
              <a:t>ViF</a:t>
            </a:r>
            <a:r>
              <a:rPr lang="en-AU" baseline="0"/>
              <a:t> 2016 LGA projections 2016 &amp; 2031 Population </a:t>
            </a:r>
          </a:p>
          <a:p>
            <a:pPr algn="l">
              <a:defRPr/>
            </a:pPr>
            <a:r>
              <a:rPr lang="en-AU" baseline="0"/>
              <a:t>Metropolitan Melbourne </a:t>
            </a:r>
            <a:endParaRPr lang="en-AU"/>
          </a:p>
        </c:rich>
      </c:tx>
      <c:layout>
        <c:manualLayout>
          <c:xMode val="edge"/>
          <c:yMode val="edge"/>
          <c:x val="1.9114173228346409E-3"/>
          <c:y val="0"/>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381151574803149"/>
          <c:y val="8.2309711286089243E-2"/>
          <c:w val="0.76284990157480315"/>
          <c:h val="0.90441802839161223"/>
        </c:manualLayout>
      </c:layout>
      <c:barChart>
        <c:barDir val="bar"/>
        <c:grouping val="clustered"/>
        <c:varyColors val="0"/>
        <c:ser>
          <c:idx val="0"/>
          <c:order val="0"/>
          <c:tx>
            <c:strRef>
              <c:f>'LGA areas'!$C$4</c:f>
              <c:strCache>
                <c:ptCount val="1"/>
                <c:pt idx="0">
                  <c:v>Estiamted Population 2016</c:v>
                </c:pt>
              </c:strCache>
            </c:strRef>
          </c:tx>
          <c:spPr>
            <a:solidFill>
              <a:schemeClr val="accent6">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'LGA areas'!$B$5:$B$45</c:f>
              <c:strCache>
                <c:ptCount val="41"/>
                <c:pt idx="0">
                  <c:v>Central Subregion</c:v>
                </c:pt>
                <c:pt idx="1">
                  <c:v>Maribyrnong </c:v>
                </c:pt>
                <c:pt idx="2">
                  <c:v>Melbourne </c:v>
                </c:pt>
                <c:pt idx="3">
                  <c:v>Port Phillip </c:v>
                </c:pt>
                <c:pt idx="4">
                  <c:v>Stonnington </c:v>
                </c:pt>
                <c:pt idx="5">
                  <c:v>Yarra </c:v>
                </c:pt>
                <c:pt idx="7">
                  <c:v>Eastern Subregion</c:v>
                </c:pt>
                <c:pt idx="8">
                  <c:v>Boroondara </c:v>
                </c:pt>
                <c:pt idx="9">
                  <c:v>Knox </c:v>
                </c:pt>
                <c:pt idx="10">
                  <c:v>Manningham </c:v>
                </c:pt>
                <c:pt idx="11">
                  <c:v>Maroondah </c:v>
                </c:pt>
                <c:pt idx="12">
                  <c:v>Monash </c:v>
                </c:pt>
                <c:pt idx="13">
                  <c:v>Whitehorse </c:v>
                </c:pt>
                <c:pt idx="14">
                  <c:v>Yarra Ranges </c:v>
                </c:pt>
                <c:pt idx="16">
                  <c:v>Northern Subregion</c:v>
                </c:pt>
                <c:pt idx="17">
                  <c:v>Banyule </c:v>
                </c:pt>
                <c:pt idx="18">
                  <c:v>Darebin </c:v>
                </c:pt>
                <c:pt idx="19">
                  <c:v>Hume </c:v>
                </c:pt>
                <c:pt idx="20">
                  <c:v>Mitchell </c:v>
                </c:pt>
                <c:pt idx="21">
                  <c:v>Moreland </c:v>
                </c:pt>
                <c:pt idx="22">
                  <c:v>Nillumbik </c:v>
                </c:pt>
                <c:pt idx="23">
                  <c:v>Whittlesea </c:v>
                </c:pt>
                <c:pt idx="25">
                  <c:v>Southern Subregion</c:v>
                </c:pt>
                <c:pt idx="26">
                  <c:v>Bayside </c:v>
                </c:pt>
                <c:pt idx="27">
                  <c:v>Cardinia </c:v>
                </c:pt>
                <c:pt idx="28">
                  <c:v>Casey </c:v>
                </c:pt>
                <c:pt idx="29">
                  <c:v>Frankston </c:v>
                </c:pt>
                <c:pt idx="30">
                  <c:v>Glen Eira </c:v>
                </c:pt>
                <c:pt idx="31">
                  <c:v>Greater Dandenong </c:v>
                </c:pt>
                <c:pt idx="32">
                  <c:v>Kingston </c:v>
                </c:pt>
                <c:pt idx="33">
                  <c:v>Mornington Peninsula </c:v>
                </c:pt>
                <c:pt idx="35">
                  <c:v>Western Subregion</c:v>
                </c:pt>
                <c:pt idx="36">
                  <c:v>Brimbank </c:v>
                </c:pt>
                <c:pt idx="37">
                  <c:v>Hobsons Bay </c:v>
                </c:pt>
                <c:pt idx="38">
                  <c:v>Melton </c:v>
                </c:pt>
                <c:pt idx="39">
                  <c:v>Moonee Valley </c:v>
                </c:pt>
                <c:pt idx="40">
                  <c:v>Wyndham </c:v>
                </c:pt>
              </c:strCache>
            </c:strRef>
          </c:cat>
          <c:val>
            <c:numRef>
              <c:f>'LGA areas'!$C$5:$C$45</c:f>
              <c:numCache>
                <c:formatCode>#,##0</c:formatCode>
                <c:ptCount val="41"/>
                <c:pt idx="1">
                  <c:v>85470.797292030154</c:v>
                </c:pt>
                <c:pt idx="2">
                  <c:v>135725.96359641751</c:v>
                </c:pt>
                <c:pt idx="3">
                  <c:v>109103.16374034146</c:v>
                </c:pt>
                <c:pt idx="4">
                  <c:v>110607.68144284755</c:v>
                </c:pt>
                <c:pt idx="5">
                  <c:v>92609.934199564857</c:v>
                </c:pt>
                <c:pt idx="8">
                  <c:v>177052.62966330312</c:v>
                </c:pt>
                <c:pt idx="9">
                  <c:v>157097.14148083588</c:v>
                </c:pt>
                <c:pt idx="10">
                  <c:v>120664.30816108877</c:v>
                </c:pt>
                <c:pt idx="11">
                  <c:v>113840.87896556345</c:v>
                </c:pt>
                <c:pt idx="12">
                  <c:v>189591.44500248972</c:v>
                </c:pt>
                <c:pt idx="13">
                  <c:v>167971.42240365277</c:v>
                </c:pt>
                <c:pt idx="14">
                  <c:v>151355.31948935389</c:v>
                </c:pt>
                <c:pt idx="17">
                  <c:v>127386.51545869609</c:v>
                </c:pt>
                <c:pt idx="18">
                  <c:v>153191.86047084903</c:v>
                </c:pt>
                <c:pt idx="19">
                  <c:v>200214.83870181089</c:v>
                </c:pt>
                <c:pt idx="20">
                  <c:v>39919.808535596138</c:v>
                </c:pt>
                <c:pt idx="21">
                  <c:v>170993.85301638837</c:v>
                </c:pt>
                <c:pt idx="22">
                  <c:v>62797.955936269092</c:v>
                </c:pt>
                <c:pt idx="23">
                  <c:v>203397.09560779261</c:v>
                </c:pt>
                <c:pt idx="26">
                  <c:v>102427.22225487148</c:v>
                </c:pt>
                <c:pt idx="27">
                  <c:v>95518.464354957192</c:v>
                </c:pt>
                <c:pt idx="28">
                  <c:v>302078.55598734127</c:v>
                </c:pt>
                <c:pt idx="29">
                  <c:v>137112.15962705188</c:v>
                </c:pt>
                <c:pt idx="30">
                  <c:v>148384.84988601587</c:v>
                </c:pt>
                <c:pt idx="31">
                  <c:v>155772.89062826114</c:v>
                </c:pt>
                <c:pt idx="32">
                  <c:v>156128.16827222172</c:v>
                </c:pt>
                <c:pt idx="33">
                  <c:v>156695.80704292789</c:v>
                </c:pt>
                <c:pt idx="36">
                  <c:v>201428.57300722925</c:v>
                </c:pt>
                <c:pt idx="37">
                  <c:v>93577.064052646572</c:v>
                </c:pt>
                <c:pt idx="38">
                  <c:v>138181.37158638574</c:v>
                </c:pt>
                <c:pt idx="39">
                  <c:v>121845.91537619311</c:v>
                </c:pt>
                <c:pt idx="40">
                  <c:v>220468.47656385461</c:v>
                </c:pt>
              </c:numCache>
            </c:numRef>
          </c:val>
        </c:ser>
        <c:ser>
          <c:idx val="1"/>
          <c:order val="1"/>
          <c:tx>
            <c:strRef>
              <c:f>'LGA areas'!$D$4</c:f>
              <c:strCache>
                <c:ptCount val="1"/>
                <c:pt idx="0">
                  <c:v>Estimated Population 2031</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'LGA areas'!$B$5:$B$45</c:f>
              <c:strCache>
                <c:ptCount val="41"/>
                <c:pt idx="0">
                  <c:v>Central Subregion</c:v>
                </c:pt>
                <c:pt idx="1">
                  <c:v>Maribyrnong </c:v>
                </c:pt>
                <c:pt idx="2">
                  <c:v>Melbourne </c:v>
                </c:pt>
                <c:pt idx="3">
                  <c:v>Port Phillip </c:v>
                </c:pt>
                <c:pt idx="4">
                  <c:v>Stonnington </c:v>
                </c:pt>
                <c:pt idx="5">
                  <c:v>Yarra </c:v>
                </c:pt>
                <c:pt idx="7">
                  <c:v>Eastern Subregion</c:v>
                </c:pt>
                <c:pt idx="8">
                  <c:v>Boroondara </c:v>
                </c:pt>
                <c:pt idx="9">
                  <c:v>Knox </c:v>
                </c:pt>
                <c:pt idx="10">
                  <c:v>Manningham </c:v>
                </c:pt>
                <c:pt idx="11">
                  <c:v>Maroondah </c:v>
                </c:pt>
                <c:pt idx="12">
                  <c:v>Monash </c:v>
                </c:pt>
                <c:pt idx="13">
                  <c:v>Whitehorse </c:v>
                </c:pt>
                <c:pt idx="14">
                  <c:v>Yarra Ranges </c:v>
                </c:pt>
                <c:pt idx="16">
                  <c:v>Northern Subregion</c:v>
                </c:pt>
                <c:pt idx="17">
                  <c:v>Banyule </c:v>
                </c:pt>
                <c:pt idx="18">
                  <c:v>Darebin </c:v>
                </c:pt>
                <c:pt idx="19">
                  <c:v>Hume </c:v>
                </c:pt>
                <c:pt idx="20">
                  <c:v>Mitchell </c:v>
                </c:pt>
                <c:pt idx="21">
                  <c:v>Moreland </c:v>
                </c:pt>
                <c:pt idx="22">
                  <c:v>Nillumbik </c:v>
                </c:pt>
                <c:pt idx="23">
                  <c:v>Whittlesea </c:v>
                </c:pt>
                <c:pt idx="25">
                  <c:v>Southern Subregion</c:v>
                </c:pt>
                <c:pt idx="26">
                  <c:v>Bayside </c:v>
                </c:pt>
                <c:pt idx="27">
                  <c:v>Cardinia </c:v>
                </c:pt>
                <c:pt idx="28">
                  <c:v>Casey </c:v>
                </c:pt>
                <c:pt idx="29">
                  <c:v>Frankston </c:v>
                </c:pt>
                <c:pt idx="30">
                  <c:v>Glen Eira </c:v>
                </c:pt>
                <c:pt idx="31">
                  <c:v>Greater Dandenong </c:v>
                </c:pt>
                <c:pt idx="32">
                  <c:v>Kingston </c:v>
                </c:pt>
                <c:pt idx="33">
                  <c:v>Mornington Peninsula </c:v>
                </c:pt>
                <c:pt idx="35">
                  <c:v>Western Subregion</c:v>
                </c:pt>
                <c:pt idx="36">
                  <c:v>Brimbank </c:v>
                </c:pt>
                <c:pt idx="37">
                  <c:v>Hobsons Bay </c:v>
                </c:pt>
                <c:pt idx="38">
                  <c:v>Melton </c:v>
                </c:pt>
                <c:pt idx="39">
                  <c:v>Moonee Valley </c:v>
                </c:pt>
                <c:pt idx="40">
                  <c:v>Wyndham </c:v>
                </c:pt>
              </c:strCache>
            </c:strRef>
          </c:cat>
          <c:val>
            <c:numRef>
              <c:f>'LGA areas'!$D$5:$D$45</c:f>
              <c:numCache>
                <c:formatCode>#,##0</c:formatCode>
                <c:ptCount val="41"/>
                <c:pt idx="1">
                  <c:v>130376.79727924663</c:v>
                </c:pt>
                <c:pt idx="2">
                  <c:v>229765.4254055584</c:v>
                </c:pt>
                <c:pt idx="3">
                  <c:v>143080.95039449327</c:v>
                </c:pt>
                <c:pt idx="4">
                  <c:v>135615.4056406944</c:v>
                </c:pt>
                <c:pt idx="5">
                  <c:v>122022.44994833108</c:v>
                </c:pt>
                <c:pt idx="8">
                  <c:v>199313.79471882607</c:v>
                </c:pt>
                <c:pt idx="9">
                  <c:v>180251.1542098333</c:v>
                </c:pt>
                <c:pt idx="10">
                  <c:v>139149.57413259603</c:v>
                </c:pt>
                <c:pt idx="11">
                  <c:v>132180.28495454407</c:v>
                </c:pt>
                <c:pt idx="12">
                  <c:v>215992.3792266754</c:v>
                </c:pt>
                <c:pt idx="13">
                  <c:v>193588.60998133532</c:v>
                </c:pt>
                <c:pt idx="14">
                  <c:v>170304.56523919129</c:v>
                </c:pt>
                <c:pt idx="17">
                  <c:v>145035.64965468703</c:v>
                </c:pt>
                <c:pt idx="18">
                  <c:v>191937.99309914355</c:v>
                </c:pt>
                <c:pt idx="19">
                  <c:v>293895.42076845973</c:v>
                </c:pt>
                <c:pt idx="20">
                  <c:v>81550.495731744872</c:v>
                </c:pt>
                <c:pt idx="21">
                  <c:v>216299.00457750639</c:v>
                </c:pt>
                <c:pt idx="22">
                  <c:v>67599.920797807543</c:v>
                </c:pt>
                <c:pt idx="23">
                  <c:v>313959.4519903278</c:v>
                </c:pt>
                <c:pt idx="26">
                  <c:v>116846.50309158904</c:v>
                </c:pt>
                <c:pt idx="27">
                  <c:v>161735.52005506516</c:v>
                </c:pt>
                <c:pt idx="28">
                  <c:v>437459.0341678877</c:v>
                </c:pt>
                <c:pt idx="29">
                  <c:v>155201.52959902291</c:v>
                </c:pt>
                <c:pt idx="30">
                  <c:v>170412.15529711629</c:v>
                </c:pt>
                <c:pt idx="31">
                  <c:v>193591.76576669206</c:v>
                </c:pt>
                <c:pt idx="32">
                  <c:v>182718.47511238858</c:v>
                </c:pt>
                <c:pt idx="33">
                  <c:v>181839.04009706635</c:v>
                </c:pt>
                <c:pt idx="36">
                  <c:v>227544.2877967933</c:v>
                </c:pt>
                <c:pt idx="37">
                  <c:v>109442.40794292471</c:v>
                </c:pt>
                <c:pt idx="38">
                  <c:v>266007.92381781439</c:v>
                </c:pt>
                <c:pt idx="39">
                  <c:v>146445.73721225647</c:v>
                </c:pt>
                <c:pt idx="40">
                  <c:v>361394.12929522636</c:v>
                </c:pt>
              </c:numCache>
            </c:numRef>
          </c:val>
        </c:ser>
        <c:dLbls>
          <c:showLegendKey val="0"/>
          <c:showVal val="0"/>
          <c:showCatName val="0"/>
          <c:showSerName val="0"/>
          <c:showPercent val="0"/>
          <c:showBubbleSize val="0"/>
        </c:dLbls>
        <c:gapWidth val="40"/>
        <c:axId val="505427440"/>
        <c:axId val="505428000"/>
      </c:barChart>
      <c:catAx>
        <c:axId val="5054274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428000"/>
        <c:crosses val="autoZero"/>
        <c:auto val="1"/>
        <c:lblAlgn val="ctr"/>
        <c:lblOffset val="100"/>
        <c:noMultiLvlLbl val="0"/>
      </c:catAx>
      <c:valAx>
        <c:axId val="505428000"/>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427440"/>
        <c:crosses val="autoZero"/>
        <c:crossBetween val="between"/>
      </c:valAx>
      <c:spPr>
        <a:noFill/>
        <a:ln>
          <a:noFill/>
        </a:ln>
        <a:effectLst/>
      </c:spPr>
    </c:plotArea>
    <c:legend>
      <c:legendPos val="b"/>
      <c:layout>
        <c:manualLayout>
          <c:xMode val="edge"/>
          <c:yMode val="edge"/>
          <c:x val="0.62551706036745403"/>
          <c:y val="5.8433663533993723E-3"/>
          <c:w val="0.33489960629921262"/>
          <c:h val="4.946744560155787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B09A2F-6150-4CCB-BF98-C35654EE3D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86</Pages>
  <Words>3203</Words>
  <Characters>18259</Characters>
  <Application>Microsoft Office Word</Application>
  <DocSecurity>8</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Metropolitan Planning Authority</Company>
  <LinksUpToDate>false</LinksUpToDate>
  <CharactersWithSpaces>21420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Lees</dc:creator>
  <cp:keywords/>
  <dc:description/>
  <cp:lastModifiedBy>Hannah Carrodus</cp:lastModifiedBy>
  <cp:revision>2</cp:revision>
  <cp:lastPrinted>2016-09-06T00:00:00Z</cp:lastPrinted>
  <dcterms:created xsi:type="dcterms:W3CDTF">2016-09-27T00:38:00Z</dcterms:created>
  <dcterms:modified xsi:type="dcterms:W3CDTF">2016-09-27T00:38:00Z</dcterms:modified>
</cp:coreProperties>
</file>