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Theme="minorHAnsi" w:cstheme="minorBidi"/>
          <w:sz w:val="22"/>
          <w:szCs w:val="22"/>
          <w:lang w:val="en-GB"/>
        </w:rPr>
        <w:id w:val="2020280850"/>
        <w:docPartObj>
          <w:docPartGallery w:val="Table of Contents"/>
          <w:docPartUnique/>
        </w:docPartObj>
      </w:sdtPr>
      <w:sdtEndPr>
        <w:rPr>
          <w:b/>
          <w:bCs/>
          <w:noProof/>
        </w:rPr>
      </w:sdtEndPr>
      <w:sdtContent>
        <w:p w14:paraId="511D4B14" w14:textId="77777777" w:rsidR="00395014" w:rsidRPr="0020235B" w:rsidRDefault="00395014" w:rsidP="00AF505E">
          <w:pPr>
            <w:pStyle w:val="TOCHeading"/>
            <w:spacing w:line="276" w:lineRule="auto"/>
          </w:pPr>
          <w:r w:rsidRPr="00030A5F">
            <w:t>Table of Contents</w:t>
          </w:r>
        </w:p>
        <w:p w14:paraId="5C4DAD2F" w14:textId="77777777" w:rsidR="00A1230F" w:rsidRDefault="00395014">
          <w:pPr>
            <w:pStyle w:val="TOC1"/>
            <w:tabs>
              <w:tab w:val="right" w:leader="dot" w:pos="9016"/>
            </w:tabs>
            <w:rPr>
              <w:rFonts w:eastAsiaTheme="minorEastAsia"/>
              <w:noProof/>
              <w:lang w:val="en-AU" w:eastAsia="en-AU"/>
            </w:rPr>
          </w:pPr>
          <w:r w:rsidRPr="009B7BC5">
            <w:fldChar w:fldCharType="begin"/>
          </w:r>
          <w:r w:rsidRPr="00030A5F">
            <w:instrText xml:space="preserve"> TOC \o "1-3" \h \z \u </w:instrText>
          </w:r>
          <w:r w:rsidRPr="009B7BC5">
            <w:fldChar w:fldCharType="separate"/>
          </w:r>
          <w:hyperlink w:anchor="_Toc469573637" w:history="1">
            <w:r w:rsidR="00A1230F" w:rsidRPr="00E40432">
              <w:rPr>
                <w:rStyle w:val="Hyperlink"/>
                <w:b/>
                <w:noProof/>
                <w:lang w:val="en-AU"/>
              </w:rPr>
              <w:t>1. Introduction</w:t>
            </w:r>
            <w:r w:rsidR="00A1230F">
              <w:rPr>
                <w:noProof/>
                <w:webHidden/>
              </w:rPr>
              <w:tab/>
            </w:r>
            <w:r w:rsidR="00A1230F">
              <w:rPr>
                <w:noProof/>
                <w:webHidden/>
              </w:rPr>
              <w:fldChar w:fldCharType="begin"/>
            </w:r>
            <w:r w:rsidR="00A1230F">
              <w:rPr>
                <w:noProof/>
                <w:webHidden/>
              </w:rPr>
              <w:instrText xml:space="preserve"> PAGEREF _Toc469573637 \h </w:instrText>
            </w:r>
            <w:r w:rsidR="00A1230F">
              <w:rPr>
                <w:noProof/>
                <w:webHidden/>
              </w:rPr>
            </w:r>
            <w:r w:rsidR="00A1230F">
              <w:rPr>
                <w:noProof/>
                <w:webHidden/>
              </w:rPr>
              <w:fldChar w:fldCharType="separate"/>
            </w:r>
            <w:r w:rsidR="00A1230F">
              <w:rPr>
                <w:noProof/>
                <w:webHidden/>
              </w:rPr>
              <w:t>3</w:t>
            </w:r>
            <w:r w:rsidR="00A1230F">
              <w:rPr>
                <w:noProof/>
                <w:webHidden/>
              </w:rPr>
              <w:fldChar w:fldCharType="end"/>
            </w:r>
          </w:hyperlink>
        </w:p>
        <w:p w14:paraId="2AF9C2EF" w14:textId="77777777" w:rsidR="00A1230F" w:rsidRDefault="008448BA">
          <w:pPr>
            <w:pStyle w:val="TOC1"/>
            <w:tabs>
              <w:tab w:val="right" w:leader="dot" w:pos="9016"/>
            </w:tabs>
            <w:rPr>
              <w:rFonts w:eastAsiaTheme="minorEastAsia"/>
              <w:noProof/>
              <w:lang w:val="en-AU" w:eastAsia="en-AU"/>
            </w:rPr>
          </w:pPr>
          <w:hyperlink w:anchor="_Toc469573638" w:history="1">
            <w:r w:rsidR="00A1230F" w:rsidRPr="00E40432">
              <w:rPr>
                <w:rStyle w:val="Hyperlink"/>
                <w:b/>
                <w:noProof/>
                <w:lang w:val="en-AU"/>
              </w:rPr>
              <w:t>2. Response to Panel questions arising in the hearing</w:t>
            </w:r>
            <w:r w:rsidR="00A1230F">
              <w:rPr>
                <w:noProof/>
                <w:webHidden/>
              </w:rPr>
              <w:tab/>
            </w:r>
            <w:r w:rsidR="00A1230F">
              <w:rPr>
                <w:noProof/>
                <w:webHidden/>
              </w:rPr>
              <w:fldChar w:fldCharType="begin"/>
            </w:r>
            <w:r w:rsidR="00A1230F">
              <w:rPr>
                <w:noProof/>
                <w:webHidden/>
              </w:rPr>
              <w:instrText xml:space="preserve"> PAGEREF _Toc469573638 \h </w:instrText>
            </w:r>
            <w:r w:rsidR="00A1230F">
              <w:rPr>
                <w:noProof/>
                <w:webHidden/>
              </w:rPr>
            </w:r>
            <w:r w:rsidR="00A1230F">
              <w:rPr>
                <w:noProof/>
                <w:webHidden/>
              </w:rPr>
              <w:fldChar w:fldCharType="separate"/>
            </w:r>
            <w:r w:rsidR="00A1230F">
              <w:rPr>
                <w:noProof/>
                <w:webHidden/>
              </w:rPr>
              <w:t>4</w:t>
            </w:r>
            <w:r w:rsidR="00A1230F">
              <w:rPr>
                <w:noProof/>
                <w:webHidden/>
              </w:rPr>
              <w:fldChar w:fldCharType="end"/>
            </w:r>
          </w:hyperlink>
        </w:p>
        <w:p w14:paraId="4AB82304" w14:textId="77777777" w:rsidR="00A1230F" w:rsidRDefault="008448BA">
          <w:pPr>
            <w:pStyle w:val="TOC2"/>
            <w:rPr>
              <w:rFonts w:eastAsiaTheme="minorEastAsia"/>
              <w:noProof/>
              <w:lang w:val="en-AU" w:eastAsia="en-AU"/>
            </w:rPr>
          </w:pPr>
          <w:hyperlink w:anchor="_Toc469573639" w:history="1">
            <w:r w:rsidR="00A1230F" w:rsidRPr="00E40432">
              <w:rPr>
                <w:rStyle w:val="Hyperlink"/>
                <w:noProof/>
              </w:rPr>
              <w:t>2.1 Delivery of Hopkins Road</w:t>
            </w:r>
            <w:r w:rsidR="00A1230F">
              <w:rPr>
                <w:noProof/>
                <w:webHidden/>
              </w:rPr>
              <w:tab/>
            </w:r>
            <w:r w:rsidR="00A1230F">
              <w:rPr>
                <w:noProof/>
                <w:webHidden/>
              </w:rPr>
              <w:fldChar w:fldCharType="begin"/>
            </w:r>
            <w:r w:rsidR="00A1230F">
              <w:rPr>
                <w:noProof/>
                <w:webHidden/>
              </w:rPr>
              <w:instrText xml:space="preserve"> PAGEREF _Toc469573639 \h </w:instrText>
            </w:r>
            <w:r w:rsidR="00A1230F">
              <w:rPr>
                <w:noProof/>
                <w:webHidden/>
              </w:rPr>
            </w:r>
            <w:r w:rsidR="00A1230F">
              <w:rPr>
                <w:noProof/>
                <w:webHidden/>
              </w:rPr>
              <w:fldChar w:fldCharType="separate"/>
            </w:r>
            <w:r w:rsidR="00A1230F">
              <w:rPr>
                <w:noProof/>
                <w:webHidden/>
              </w:rPr>
              <w:t>4</w:t>
            </w:r>
            <w:r w:rsidR="00A1230F">
              <w:rPr>
                <w:noProof/>
                <w:webHidden/>
              </w:rPr>
              <w:fldChar w:fldCharType="end"/>
            </w:r>
          </w:hyperlink>
        </w:p>
        <w:p w14:paraId="15242247" w14:textId="77777777" w:rsidR="00A1230F" w:rsidRDefault="008448BA">
          <w:pPr>
            <w:pStyle w:val="TOC2"/>
            <w:rPr>
              <w:rFonts w:eastAsiaTheme="minorEastAsia"/>
              <w:noProof/>
              <w:lang w:val="en-AU" w:eastAsia="en-AU"/>
            </w:rPr>
          </w:pPr>
          <w:hyperlink w:anchor="_Toc469573640" w:history="1">
            <w:r w:rsidR="00A1230F" w:rsidRPr="00E40432">
              <w:rPr>
                <w:rStyle w:val="Hyperlink"/>
                <w:noProof/>
              </w:rPr>
              <w:t>2.2 ICP</w:t>
            </w:r>
            <w:r w:rsidR="00A1230F">
              <w:rPr>
                <w:noProof/>
                <w:webHidden/>
              </w:rPr>
              <w:tab/>
            </w:r>
            <w:r w:rsidR="00A1230F">
              <w:rPr>
                <w:noProof/>
                <w:webHidden/>
              </w:rPr>
              <w:fldChar w:fldCharType="begin"/>
            </w:r>
            <w:r w:rsidR="00A1230F">
              <w:rPr>
                <w:noProof/>
                <w:webHidden/>
              </w:rPr>
              <w:instrText xml:space="preserve"> PAGEREF _Toc469573640 \h </w:instrText>
            </w:r>
            <w:r w:rsidR="00A1230F">
              <w:rPr>
                <w:noProof/>
                <w:webHidden/>
              </w:rPr>
            </w:r>
            <w:r w:rsidR="00A1230F">
              <w:rPr>
                <w:noProof/>
                <w:webHidden/>
              </w:rPr>
              <w:fldChar w:fldCharType="separate"/>
            </w:r>
            <w:r w:rsidR="00A1230F">
              <w:rPr>
                <w:noProof/>
                <w:webHidden/>
              </w:rPr>
              <w:t>4</w:t>
            </w:r>
            <w:r w:rsidR="00A1230F">
              <w:rPr>
                <w:noProof/>
                <w:webHidden/>
              </w:rPr>
              <w:fldChar w:fldCharType="end"/>
            </w:r>
          </w:hyperlink>
        </w:p>
        <w:p w14:paraId="2643BEC2" w14:textId="77777777" w:rsidR="00A1230F" w:rsidRDefault="008448BA">
          <w:pPr>
            <w:pStyle w:val="TOC3"/>
            <w:tabs>
              <w:tab w:val="right" w:leader="dot" w:pos="9016"/>
            </w:tabs>
            <w:rPr>
              <w:rFonts w:eastAsiaTheme="minorEastAsia"/>
              <w:noProof/>
              <w:lang w:val="en-AU" w:eastAsia="en-AU"/>
            </w:rPr>
          </w:pPr>
          <w:hyperlink w:anchor="_Toc469573641" w:history="1">
            <w:r w:rsidR="00A1230F" w:rsidRPr="00E40432">
              <w:rPr>
                <w:rStyle w:val="Hyperlink"/>
                <w:noProof/>
                <w:lang w:val="en-US"/>
              </w:rPr>
              <w:t>Items to be included within the ICP</w:t>
            </w:r>
            <w:r w:rsidR="00A1230F">
              <w:rPr>
                <w:noProof/>
                <w:webHidden/>
              </w:rPr>
              <w:tab/>
            </w:r>
            <w:r w:rsidR="00A1230F">
              <w:rPr>
                <w:noProof/>
                <w:webHidden/>
              </w:rPr>
              <w:fldChar w:fldCharType="begin"/>
            </w:r>
            <w:r w:rsidR="00A1230F">
              <w:rPr>
                <w:noProof/>
                <w:webHidden/>
              </w:rPr>
              <w:instrText xml:space="preserve"> PAGEREF _Toc469573641 \h </w:instrText>
            </w:r>
            <w:r w:rsidR="00A1230F">
              <w:rPr>
                <w:noProof/>
                <w:webHidden/>
              </w:rPr>
            </w:r>
            <w:r w:rsidR="00A1230F">
              <w:rPr>
                <w:noProof/>
                <w:webHidden/>
              </w:rPr>
              <w:fldChar w:fldCharType="separate"/>
            </w:r>
            <w:r w:rsidR="00A1230F">
              <w:rPr>
                <w:noProof/>
                <w:webHidden/>
              </w:rPr>
              <w:t>4</w:t>
            </w:r>
            <w:r w:rsidR="00A1230F">
              <w:rPr>
                <w:noProof/>
                <w:webHidden/>
              </w:rPr>
              <w:fldChar w:fldCharType="end"/>
            </w:r>
          </w:hyperlink>
        </w:p>
        <w:p w14:paraId="0FF9DE76" w14:textId="77777777" w:rsidR="00A1230F" w:rsidRDefault="008448BA">
          <w:pPr>
            <w:pStyle w:val="TOC3"/>
            <w:tabs>
              <w:tab w:val="right" w:leader="dot" w:pos="9016"/>
            </w:tabs>
            <w:rPr>
              <w:rFonts w:eastAsiaTheme="minorEastAsia"/>
              <w:noProof/>
              <w:lang w:val="en-AU" w:eastAsia="en-AU"/>
            </w:rPr>
          </w:pPr>
          <w:hyperlink w:anchor="_Toc469573642" w:history="1">
            <w:r w:rsidR="00A1230F" w:rsidRPr="00E40432">
              <w:rPr>
                <w:rStyle w:val="Hyperlink"/>
                <w:noProof/>
                <w:lang w:val="en-US"/>
              </w:rPr>
              <w:t>Process relating to the ICP</w:t>
            </w:r>
            <w:r w:rsidR="00A1230F">
              <w:rPr>
                <w:noProof/>
                <w:webHidden/>
              </w:rPr>
              <w:tab/>
            </w:r>
            <w:r w:rsidR="00A1230F">
              <w:rPr>
                <w:noProof/>
                <w:webHidden/>
              </w:rPr>
              <w:fldChar w:fldCharType="begin"/>
            </w:r>
            <w:r w:rsidR="00A1230F">
              <w:rPr>
                <w:noProof/>
                <w:webHidden/>
              </w:rPr>
              <w:instrText xml:space="preserve"> PAGEREF _Toc469573642 \h </w:instrText>
            </w:r>
            <w:r w:rsidR="00A1230F">
              <w:rPr>
                <w:noProof/>
                <w:webHidden/>
              </w:rPr>
            </w:r>
            <w:r w:rsidR="00A1230F">
              <w:rPr>
                <w:noProof/>
                <w:webHidden/>
              </w:rPr>
              <w:fldChar w:fldCharType="separate"/>
            </w:r>
            <w:r w:rsidR="00A1230F">
              <w:rPr>
                <w:noProof/>
                <w:webHidden/>
              </w:rPr>
              <w:t>6</w:t>
            </w:r>
            <w:r w:rsidR="00A1230F">
              <w:rPr>
                <w:noProof/>
                <w:webHidden/>
              </w:rPr>
              <w:fldChar w:fldCharType="end"/>
            </w:r>
          </w:hyperlink>
        </w:p>
        <w:p w14:paraId="7FD8215E" w14:textId="77777777" w:rsidR="00A1230F" w:rsidRDefault="008448BA">
          <w:pPr>
            <w:pStyle w:val="TOC2"/>
            <w:rPr>
              <w:rFonts w:eastAsiaTheme="minorEastAsia"/>
              <w:noProof/>
              <w:lang w:val="en-AU" w:eastAsia="en-AU"/>
            </w:rPr>
          </w:pPr>
          <w:hyperlink w:anchor="_Toc469573643" w:history="1">
            <w:r w:rsidR="00A1230F" w:rsidRPr="00E40432">
              <w:rPr>
                <w:rStyle w:val="Hyperlink"/>
                <w:noProof/>
                <w:lang w:val="en-AU"/>
              </w:rPr>
              <w:t>2.3 Landlocked Parcels</w:t>
            </w:r>
            <w:r w:rsidR="00A1230F">
              <w:rPr>
                <w:noProof/>
                <w:webHidden/>
              </w:rPr>
              <w:tab/>
            </w:r>
            <w:r w:rsidR="00A1230F">
              <w:rPr>
                <w:noProof/>
                <w:webHidden/>
              </w:rPr>
              <w:fldChar w:fldCharType="begin"/>
            </w:r>
            <w:r w:rsidR="00A1230F">
              <w:rPr>
                <w:noProof/>
                <w:webHidden/>
              </w:rPr>
              <w:instrText xml:space="preserve"> PAGEREF _Toc469573643 \h </w:instrText>
            </w:r>
            <w:r w:rsidR="00A1230F">
              <w:rPr>
                <w:noProof/>
                <w:webHidden/>
              </w:rPr>
            </w:r>
            <w:r w:rsidR="00A1230F">
              <w:rPr>
                <w:noProof/>
                <w:webHidden/>
              </w:rPr>
              <w:fldChar w:fldCharType="separate"/>
            </w:r>
            <w:r w:rsidR="00A1230F">
              <w:rPr>
                <w:noProof/>
                <w:webHidden/>
              </w:rPr>
              <w:t>7</w:t>
            </w:r>
            <w:r w:rsidR="00A1230F">
              <w:rPr>
                <w:noProof/>
                <w:webHidden/>
              </w:rPr>
              <w:fldChar w:fldCharType="end"/>
            </w:r>
          </w:hyperlink>
        </w:p>
        <w:p w14:paraId="2184FE73" w14:textId="77777777" w:rsidR="00A1230F" w:rsidRDefault="008448BA">
          <w:pPr>
            <w:pStyle w:val="TOC2"/>
            <w:rPr>
              <w:rFonts w:eastAsiaTheme="minorEastAsia"/>
              <w:noProof/>
              <w:lang w:val="en-AU" w:eastAsia="en-AU"/>
            </w:rPr>
          </w:pPr>
          <w:hyperlink w:anchor="_Toc469573644" w:history="1">
            <w:r w:rsidR="00A1230F" w:rsidRPr="00E40432">
              <w:rPr>
                <w:rStyle w:val="Hyperlink"/>
                <w:noProof/>
                <w:lang w:val="en-AU"/>
              </w:rPr>
              <w:t>2.4 Triangular shaped land east of the Aquatic Centre</w:t>
            </w:r>
            <w:r w:rsidR="00A1230F">
              <w:rPr>
                <w:noProof/>
                <w:webHidden/>
              </w:rPr>
              <w:tab/>
            </w:r>
            <w:r w:rsidR="00A1230F">
              <w:rPr>
                <w:noProof/>
                <w:webHidden/>
              </w:rPr>
              <w:fldChar w:fldCharType="begin"/>
            </w:r>
            <w:r w:rsidR="00A1230F">
              <w:rPr>
                <w:noProof/>
                <w:webHidden/>
              </w:rPr>
              <w:instrText xml:space="preserve"> PAGEREF _Toc469573644 \h </w:instrText>
            </w:r>
            <w:r w:rsidR="00A1230F">
              <w:rPr>
                <w:noProof/>
                <w:webHidden/>
              </w:rPr>
            </w:r>
            <w:r w:rsidR="00A1230F">
              <w:rPr>
                <w:noProof/>
                <w:webHidden/>
              </w:rPr>
              <w:fldChar w:fldCharType="separate"/>
            </w:r>
            <w:r w:rsidR="00A1230F">
              <w:rPr>
                <w:noProof/>
                <w:webHidden/>
              </w:rPr>
              <w:t>8</w:t>
            </w:r>
            <w:r w:rsidR="00A1230F">
              <w:rPr>
                <w:noProof/>
                <w:webHidden/>
              </w:rPr>
              <w:fldChar w:fldCharType="end"/>
            </w:r>
          </w:hyperlink>
        </w:p>
        <w:p w14:paraId="06223974" w14:textId="77777777" w:rsidR="00A1230F" w:rsidRDefault="008448BA">
          <w:pPr>
            <w:pStyle w:val="TOC2"/>
            <w:rPr>
              <w:rFonts w:eastAsiaTheme="minorEastAsia"/>
              <w:noProof/>
              <w:lang w:val="en-AU" w:eastAsia="en-AU"/>
            </w:rPr>
          </w:pPr>
          <w:hyperlink w:anchor="_Toc469573645" w:history="1">
            <w:r w:rsidR="00A1230F" w:rsidRPr="00E40432">
              <w:rPr>
                <w:rStyle w:val="Hyperlink"/>
                <w:noProof/>
                <w:lang w:val="en-AU"/>
              </w:rPr>
              <w:t>2.6 Dealing with the Urban Floodway Zone</w:t>
            </w:r>
            <w:r w:rsidR="00A1230F">
              <w:rPr>
                <w:noProof/>
                <w:webHidden/>
              </w:rPr>
              <w:tab/>
            </w:r>
            <w:r w:rsidR="00A1230F">
              <w:rPr>
                <w:noProof/>
                <w:webHidden/>
              </w:rPr>
              <w:fldChar w:fldCharType="begin"/>
            </w:r>
            <w:r w:rsidR="00A1230F">
              <w:rPr>
                <w:noProof/>
                <w:webHidden/>
              </w:rPr>
              <w:instrText xml:space="preserve"> PAGEREF _Toc469573645 \h </w:instrText>
            </w:r>
            <w:r w:rsidR="00A1230F">
              <w:rPr>
                <w:noProof/>
                <w:webHidden/>
              </w:rPr>
            </w:r>
            <w:r w:rsidR="00A1230F">
              <w:rPr>
                <w:noProof/>
                <w:webHidden/>
              </w:rPr>
              <w:fldChar w:fldCharType="separate"/>
            </w:r>
            <w:r w:rsidR="00A1230F">
              <w:rPr>
                <w:noProof/>
                <w:webHidden/>
              </w:rPr>
              <w:t>8</w:t>
            </w:r>
            <w:r w:rsidR="00A1230F">
              <w:rPr>
                <w:noProof/>
                <w:webHidden/>
              </w:rPr>
              <w:fldChar w:fldCharType="end"/>
            </w:r>
          </w:hyperlink>
        </w:p>
        <w:p w14:paraId="6A02C90A" w14:textId="77777777" w:rsidR="00A1230F" w:rsidRDefault="008448BA">
          <w:pPr>
            <w:pStyle w:val="TOC1"/>
            <w:tabs>
              <w:tab w:val="right" w:leader="dot" w:pos="9016"/>
            </w:tabs>
            <w:rPr>
              <w:rFonts w:eastAsiaTheme="minorEastAsia"/>
              <w:noProof/>
              <w:lang w:val="en-AU" w:eastAsia="en-AU"/>
            </w:rPr>
          </w:pPr>
          <w:hyperlink w:anchor="_Toc469573646" w:history="1">
            <w:r w:rsidR="00A1230F" w:rsidRPr="00E40432">
              <w:rPr>
                <w:rStyle w:val="Hyperlink"/>
                <w:b/>
                <w:noProof/>
                <w:lang w:val="en-AU"/>
              </w:rPr>
              <w:t>3. Response to issues raised by multiple submitters</w:t>
            </w:r>
            <w:r w:rsidR="00A1230F">
              <w:rPr>
                <w:noProof/>
                <w:webHidden/>
              </w:rPr>
              <w:tab/>
            </w:r>
            <w:r w:rsidR="00A1230F">
              <w:rPr>
                <w:noProof/>
                <w:webHidden/>
              </w:rPr>
              <w:fldChar w:fldCharType="begin"/>
            </w:r>
            <w:r w:rsidR="00A1230F">
              <w:rPr>
                <w:noProof/>
                <w:webHidden/>
              </w:rPr>
              <w:instrText xml:space="preserve"> PAGEREF _Toc469573646 \h </w:instrText>
            </w:r>
            <w:r w:rsidR="00A1230F">
              <w:rPr>
                <w:noProof/>
                <w:webHidden/>
              </w:rPr>
            </w:r>
            <w:r w:rsidR="00A1230F">
              <w:rPr>
                <w:noProof/>
                <w:webHidden/>
              </w:rPr>
              <w:fldChar w:fldCharType="separate"/>
            </w:r>
            <w:r w:rsidR="00A1230F">
              <w:rPr>
                <w:noProof/>
                <w:webHidden/>
              </w:rPr>
              <w:t>10</w:t>
            </w:r>
            <w:r w:rsidR="00A1230F">
              <w:rPr>
                <w:noProof/>
                <w:webHidden/>
              </w:rPr>
              <w:fldChar w:fldCharType="end"/>
            </w:r>
          </w:hyperlink>
        </w:p>
        <w:p w14:paraId="07E783CA" w14:textId="77777777" w:rsidR="00A1230F" w:rsidRDefault="008448BA">
          <w:pPr>
            <w:pStyle w:val="TOC2"/>
            <w:rPr>
              <w:rFonts w:eastAsiaTheme="minorEastAsia"/>
              <w:noProof/>
              <w:lang w:val="en-AU" w:eastAsia="en-AU"/>
            </w:rPr>
          </w:pPr>
          <w:hyperlink w:anchor="_Toc469573647" w:history="1">
            <w:r w:rsidR="00A1230F" w:rsidRPr="00E40432">
              <w:rPr>
                <w:rStyle w:val="Hyperlink"/>
                <w:noProof/>
              </w:rPr>
              <w:t>3.1 Treatment of land within the Pipeline Measurement Length</w:t>
            </w:r>
            <w:r w:rsidR="00A1230F">
              <w:rPr>
                <w:noProof/>
                <w:webHidden/>
              </w:rPr>
              <w:tab/>
            </w:r>
            <w:r w:rsidR="00A1230F">
              <w:rPr>
                <w:noProof/>
                <w:webHidden/>
              </w:rPr>
              <w:fldChar w:fldCharType="begin"/>
            </w:r>
            <w:r w:rsidR="00A1230F">
              <w:rPr>
                <w:noProof/>
                <w:webHidden/>
              </w:rPr>
              <w:instrText xml:space="preserve"> PAGEREF _Toc469573647 \h </w:instrText>
            </w:r>
            <w:r w:rsidR="00A1230F">
              <w:rPr>
                <w:noProof/>
                <w:webHidden/>
              </w:rPr>
            </w:r>
            <w:r w:rsidR="00A1230F">
              <w:rPr>
                <w:noProof/>
                <w:webHidden/>
              </w:rPr>
              <w:fldChar w:fldCharType="separate"/>
            </w:r>
            <w:r w:rsidR="00A1230F">
              <w:rPr>
                <w:noProof/>
                <w:webHidden/>
              </w:rPr>
              <w:t>10</w:t>
            </w:r>
            <w:r w:rsidR="00A1230F">
              <w:rPr>
                <w:noProof/>
                <w:webHidden/>
              </w:rPr>
              <w:fldChar w:fldCharType="end"/>
            </w:r>
          </w:hyperlink>
        </w:p>
        <w:p w14:paraId="57B79939" w14:textId="77777777" w:rsidR="00A1230F" w:rsidRDefault="008448BA">
          <w:pPr>
            <w:pStyle w:val="TOC3"/>
            <w:tabs>
              <w:tab w:val="right" w:leader="dot" w:pos="9016"/>
            </w:tabs>
            <w:rPr>
              <w:rFonts w:eastAsiaTheme="minorEastAsia"/>
              <w:noProof/>
              <w:lang w:val="en-AU" w:eastAsia="en-AU"/>
            </w:rPr>
          </w:pPr>
          <w:hyperlink w:anchor="_Toc469573648" w:history="1">
            <w:r w:rsidR="00A1230F" w:rsidRPr="00E40432">
              <w:rPr>
                <w:rStyle w:val="Hyperlink"/>
                <w:noProof/>
                <w:lang w:val="en-US"/>
              </w:rPr>
              <w:t>Accommodation</w:t>
            </w:r>
            <w:r w:rsidR="00A1230F">
              <w:rPr>
                <w:noProof/>
                <w:webHidden/>
              </w:rPr>
              <w:tab/>
            </w:r>
            <w:r w:rsidR="00A1230F">
              <w:rPr>
                <w:noProof/>
                <w:webHidden/>
              </w:rPr>
              <w:fldChar w:fldCharType="begin"/>
            </w:r>
            <w:r w:rsidR="00A1230F">
              <w:rPr>
                <w:noProof/>
                <w:webHidden/>
              </w:rPr>
              <w:instrText xml:space="preserve"> PAGEREF _Toc469573648 \h </w:instrText>
            </w:r>
            <w:r w:rsidR="00A1230F">
              <w:rPr>
                <w:noProof/>
                <w:webHidden/>
              </w:rPr>
            </w:r>
            <w:r w:rsidR="00A1230F">
              <w:rPr>
                <w:noProof/>
                <w:webHidden/>
              </w:rPr>
              <w:fldChar w:fldCharType="separate"/>
            </w:r>
            <w:r w:rsidR="00A1230F">
              <w:rPr>
                <w:noProof/>
                <w:webHidden/>
              </w:rPr>
              <w:t>10</w:t>
            </w:r>
            <w:r w:rsidR="00A1230F">
              <w:rPr>
                <w:noProof/>
                <w:webHidden/>
              </w:rPr>
              <w:fldChar w:fldCharType="end"/>
            </w:r>
          </w:hyperlink>
        </w:p>
        <w:p w14:paraId="397E0C6E" w14:textId="77777777" w:rsidR="00A1230F" w:rsidRDefault="008448BA">
          <w:pPr>
            <w:pStyle w:val="TOC3"/>
            <w:tabs>
              <w:tab w:val="right" w:leader="dot" w:pos="9016"/>
            </w:tabs>
            <w:rPr>
              <w:rFonts w:eastAsiaTheme="minorEastAsia"/>
              <w:noProof/>
              <w:lang w:val="en-AU" w:eastAsia="en-AU"/>
            </w:rPr>
          </w:pPr>
          <w:hyperlink w:anchor="_Toc469573649" w:history="1">
            <w:r w:rsidR="00A1230F" w:rsidRPr="00E40432">
              <w:rPr>
                <w:rStyle w:val="Hyperlink"/>
                <w:noProof/>
                <w:lang w:val="en-AU"/>
              </w:rPr>
              <w:t>Retail premises</w:t>
            </w:r>
            <w:r w:rsidR="00A1230F">
              <w:rPr>
                <w:noProof/>
                <w:webHidden/>
              </w:rPr>
              <w:tab/>
            </w:r>
            <w:r w:rsidR="00A1230F">
              <w:rPr>
                <w:noProof/>
                <w:webHidden/>
              </w:rPr>
              <w:fldChar w:fldCharType="begin"/>
            </w:r>
            <w:r w:rsidR="00A1230F">
              <w:rPr>
                <w:noProof/>
                <w:webHidden/>
              </w:rPr>
              <w:instrText xml:space="preserve"> PAGEREF _Toc469573649 \h </w:instrText>
            </w:r>
            <w:r w:rsidR="00A1230F">
              <w:rPr>
                <w:noProof/>
                <w:webHidden/>
              </w:rPr>
            </w:r>
            <w:r w:rsidR="00A1230F">
              <w:rPr>
                <w:noProof/>
                <w:webHidden/>
              </w:rPr>
              <w:fldChar w:fldCharType="separate"/>
            </w:r>
            <w:r w:rsidR="00A1230F">
              <w:rPr>
                <w:noProof/>
                <w:webHidden/>
              </w:rPr>
              <w:t>11</w:t>
            </w:r>
            <w:r w:rsidR="00A1230F">
              <w:rPr>
                <w:noProof/>
                <w:webHidden/>
              </w:rPr>
              <w:fldChar w:fldCharType="end"/>
            </w:r>
          </w:hyperlink>
        </w:p>
        <w:p w14:paraId="33AFA0F1" w14:textId="77777777" w:rsidR="00A1230F" w:rsidRDefault="008448BA">
          <w:pPr>
            <w:pStyle w:val="TOC3"/>
            <w:tabs>
              <w:tab w:val="right" w:leader="dot" w:pos="9016"/>
            </w:tabs>
            <w:rPr>
              <w:rFonts w:eastAsiaTheme="minorEastAsia"/>
              <w:noProof/>
              <w:lang w:val="en-AU" w:eastAsia="en-AU"/>
            </w:rPr>
          </w:pPr>
          <w:hyperlink w:anchor="_Toc469573650" w:history="1">
            <w:r w:rsidR="00A1230F" w:rsidRPr="00E40432">
              <w:rPr>
                <w:rStyle w:val="Hyperlink"/>
                <w:noProof/>
                <w:lang w:val="en-AU"/>
              </w:rPr>
              <w:t>Recommending referral authority</w:t>
            </w:r>
            <w:r w:rsidR="00A1230F">
              <w:rPr>
                <w:noProof/>
                <w:webHidden/>
              </w:rPr>
              <w:tab/>
            </w:r>
            <w:r w:rsidR="00A1230F">
              <w:rPr>
                <w:noProof/>
                <w:webHidden/>
              </w:rPr>
              <w:fldChar w:fldCharType="begin"/>
            </w:r>
            <w:r w:rsidR="00A1230F">
              <w:rPr>
                <w:noProof/>
                <w:webHidden/>
              </w:rPr>
              <w:instrText xml:space="preserve"> PAGEREF _Toc469573650 \h </w:instrText>
            </w:r>
            <w:r w:rsidR="00A1230F">
              <w:rPr>
                <w:noProof/>
                <w:webHidden/>
              </w:rPr>
            </w:r>
            <w:r w:rsidR="00A1230F">
              <w:rPr>
                <w:noProof/>
                <w:webHidden/>
              </w:rPr>
              <w:fldChar w:fldCharType="separate"/>
            </w:r>
            <w:r w:rsidR="00A1230F">
              <w:rPr>
                <w:noProof/>
                <w:webHidden/>
              </w:rPr>
              <w:t>11</w:t>
            </w:r>
            <w:r w:rsidR="00A1230F">
              <w:rPr>
                <w:noProof/>
                <w:webHidden/>
              </w:rPr>
              <w:fldChar w:fldCharType="end"/>
            </w:r>
          </w:hyperlink>
        </w:p>
        <w:p w14:paraId="73BE143D" w14:textId="77777777" w:rsidR="00A1230F" w:rsidRDefault="008448BA">
          <w:pPr>
            <w:pStyle w:val="TOC3"/>
            <w:tabs>
              <w:tab w:val="right" w:leader="dot" w:pos="9016"/>
            </w:tabs>
            <w:rPr>
              <w:rFonts w:eastAsiaTheme="minorEastAsia"/>
              <w:noProof/>
              <w:lang w:val="en-AU" w:eastAsia="en-AU"/>
            </w:rPr>
          </w:pPr>
          <w:hyperlink w:anchor="_Toc469573651" w:history="1">
            <w:r w:rsidR="00A1230F" w:rsidRPr="00E40432">
              <w:rPr>
                <w:rStyle w:val="Hyperlink"/>
                <w:noProof/>
                <w:lang w:val="en-AU"/>
              </w:rPr>
              <w:t>In reply to matters raised by Council and APA</w:t>
            </w:r>
            <w:r w:rsidR="00A1230F">
              <w:rPr>
                <w:noProof/>
                <w:webHidden/>
              </w:rPr>
              <w:tab/>
            </w:r>
            <w:r w:rsidR="00A1230F">
              <w:rPr>
                <w:noProof/>
                <w:webHidden/>
              </w:rPr>
              <w:fldChar w:fldCharType="begin"/>
            </w:r>
            <w:r w:rsidR="00A1230F">
              <w:rPr>
                <w:noProof/>
                <w:webHidden/>
              </w:rPr>
              <w:instrText xml:space="preserve"> PAGEREF _Toc469573651 \h </w:instrText>
            </w:r>
            <w:r w:rsidR="00A1230F">
              <w:rPr>
                <w:noProof/>
                <w:webHidden/>
              </w:rPr>
            </w:r>
            <w:r w:rsidR="00A1230F">
              <w:rPr>
                <w:noProof/>
                <w:webHidden/>
              </w:rPr>
              <w:fldChar w:fldCharType="separate"/>
            </w:r>
            <w:r w:rsidR="00A1230F">
              <w:rPr>
                <w:noProof/>
                <w:webHidden/>
              </w:rPr>
              <w:t>12</w:t>
            </w:r>
            <w:r w:rsidR="00A1230F">
              <w:rPr>
                <w:noProof/>
                <w:webHidden/>
              </w:rPr>
              <w:fldChar w:fldCharType="end"/>
            </w:r>
          </w:hyperlink>
        </w:p>
        <w:p w14:paraId="5E1B6E6E" w14:textId="77777777" w:rsidR="00A1230F" w:rsidRDefault="008448BA">
          <w:pPr>
            <w:pStyle w:val="TOC2"/>
            <w:rPr>
              <w:rFonts w:eastAsiaTheme="minorEastAsia"/>
              <w:noProof/>
              <w:lang w:val="en-AU" w:eastAsia="en-AU"/>
            </w:rPr>
          </w:pPr>
          <w:hyperlink w:anchor="_Toc469573652" w:history="1">
            <w:r w:rsidR="00A1230F" w:rsidRPr="00E40432">
              <w:rPr>
                <w:rStyle w:val="Hyperlink"/>
                <w:noProof/>
              </w:rPr>
              <w:t>3.2 Residential zones and densities</w:t>
            </w:r>
            <w:r w:rsidR="00A1230F">
              <w:rPr>
                <w:noProof/>
                <w:webHidden/>
              </w:rPr>
              <w:tab/>
            </w:r>
            <w:r w:rsidR="00A1230F">
              <w:rPr>
                <w:noProof/>
                <w:webHidden/>
              </w:rPr>
              <w:fldChar w:fldCharType="begin"/>
            </w:r>
            <w:r w:rsidR="00A1230F">
              <w:rPr>
                <w:noProof/>
                <w:webHidden/>
              </w:rPr>
              <w:instrText xml:space="preserve"> PAGEREF _Toc469573652 \h </w:instrText>
            </w:r>
            <w:r w:rsidR="00A1230F">
              <w:rPr>
                <w:noProof/>
                <w:webHidden/>
              </w:rPr>
            </w:r>
            <w:r w:rsidR="00A1230F">
              <w:rPr>
                <w:noProof/>
                <w:webHidden/>
              </w:rPr>
              <w:fldChar w:fldCharType="separate"/>
            </w:r>
            <w:r w:rsidR="00A1230F">
              <w:rPr>
                <w:noProof/>
                <w:webHidden/>
              </w:rPr>
              <w:t>14</w:t>
            </w:r>
            <w:r w:rsidR="00A1230F">
              <w:rPr>
                <w:noProof/>
                <w:webHidden/>
              </w:rPr>
              <w:fldChar w:fldCharType="end"/>
            </w:r>
          </w:hyperlink>
        </w:p>
        <w:p w14:paraId="5D685EFB" w14:textId="77777777" w:rsidR="00A1230F" w:rsidRDefault="008448BA">
          <w:pPr>
            <w:pStyle w:val="TOC2"/>
            <w:rPr>
              <w:rFonts w:eastAsiaTheme="minorEastAsia"/>
              <w:noProof/>
              <w:lang w:val="en-AU" w:eastAsia="en-AU"/>
            </w:rPr>
          </w:pPr>
          <w:hyperlink w:anchor="_Toc469573653" w:history="1">
            <w:r w:rsidR="00A1230F" w:rsidRPr="00E40432">
              <w:rPr>
                <w:rStyle w:val="Hyperlink"/>
                <w:noProof/>
              </w:rPr>
              <w:t>4.1 Submissions 20 &amp; 32 (Plumpton) –Urban Design and Management (on behalf of Cagrier Investments P/L)</w:t>
            </w:r>
            <w:r w:rsidR="00A1230F">
              <w:rPr>
                <w:noProof/>
                <w:webHidden/>
              </w:rPr>
              <w:tab/>
            </w:r>
            <w:r w:rsidR="00A1230F">
              <w:rPr>
                <w:noProof/>
                <w:webHidden/>
              </w:rPr>
              <w:fldChar w:fldCharType="begin"/>
            </w:r>
            <w:r w:rsidR="00A1230F">
              <w:rPr>
                <w:noProof/>
                <w:webHidden/>
              </w:rPr>
              <w:instrText xml:space="preserve"> PAGEREF _Toc469573653 \h </w:instrText>
            </w:r>
            <w:r w:rsidR="00A1230F">
              <w:rPr>
                <w:noProof/>
                <w:webHidden/>
              </w:rPr>
            </w:r>
            <w:r w:rsidR="00A1230F">
              <w:rPr>
                <w:noProof/>
                <w:webHidden/>
              </w:rPr>
              <w:fldChar w:fldCharType="separate"/>
            </w:r>
            <w:r w:rsidR="00A1230F">
              <w:rPr>
                <w:noProof/>
                <w:webHidden/>
              </w:rPr>
              <w:t>17</w:t>
            </w:r>
            <w:r w:rsidR="00A1230F">
              <w:rPr>
                <w:noProof/>
                <w:webHidden/>
              </w:rPr>
              <w:fldChar w:fldCharType="end"/>
            </w:r>
          </w:hyperlink>
        </w:p>
        <w:p w14:paraId="0810A80A" w14:textId="77777777" w:rsidR="00A1230F" w:rsidRDefault="008448BA">
          <w:pPr>
            <w:pStyle w:val="TOC2"/>
            <w:rPr>
              <w:rFonts w:eastAsiaTheme="minorEastAsia"/>
              <w:noProof/>
              <w:lang w:val="en-AU" w:eastAsia="en-AU"/>
            </w:rPr>
          </w:pPr>
          <w:hyperlink w:anchor="_Toc469573654" w:history="1">
            <w:r w:rsidR="00A1230F" w:rsidRPr="00E40432">
              <w:rPr>
                <w:rStyle w:val="Hyperlink"/>
                <w:noProof/>
              </w:rPr>
              <w:t>4.2 Submission 20 (Kororoit) – ID Land</w:t>
            </w:r>
            <w:r w:rsidR="00A1230F">
              <w:rPr>
                <w:noProof/>
                <w:webHidden/>
              </w:rPr>
              <w:tab/>
            </w:r>
            <w:r w:rsidR="00A1230F">
              <w:rPr>
                <w:noProof/>
                <w:webHidden/>
              </w:rPr>
              <w:fldChar w:fldCharType="begin"/>
            </w:r>
            <w:r w:rsidR="00A1230F">
              <w:rPr>
                <w:noProof/>
                <w:webHidden/>
              </w:rPr>
              <w:instrText xml:space="preserve"> PAGEREF _Toc469573654 \h </w:instrText>
            </w:r>
            <w:r w:rsidR="00A1230F">
              <w:rPr>
                <w:noProof/>
                <w:webHidden/>
              </w:rPr>
            </w:r>
            <w:r w:rsidR="00A1230F">
              <w:rPr>
                <w:noProof/>
                <w:webHidden/>
              </w:rPr>
              <w:fldChar w:fldCharType="separate"/>
            </w:r>
            <w:r w:rsidR="00A1230F">
              <w:rPr>
                <w:noProof/>
                <w:webHidden/>
              </w:rPr>
              <w:t>17</w:t>
            </w:r>
            <w:r w:rsidR="00A1230F">
              <w:rPr>
                <w:noProof/>
                <w:webHidden/>
              </w:rPr>
              <w:fldChar w:fldCharType="end"/>
            </w:r>
          </w:hyperlink>
        </w:p>
        <w:p w14:paraId="020B4DD8" w14:textId="77777777" w:rsidR="00A1230F" w:rsidRDefault="008448BA">
          <w:pPr>
            <w:pStyle w:val="TOC2"/>
            <w:rPr>
              <w:rFonts w:eastAsiaTheme="minorEastAsia"/>
              <w:noProof/>
              <w:lang w:val="en-AU" w:eastAsia="en-AU"/>
            </w:rPr>
          </w:pPr>
          <w:hyperlink w:anchor="_Toc469573655" w:history="1">
            <w:r w:rsidR="00A1230F" w:rsidRPr="00E40432">
              <w:rPr>
                <w:rStyle w:val="Hyperlink"/>
                <w:noProof/>
              </w:rPr>
              <w:t>4.3 Submission 12 (Plumpton)</w:t>
            </w:r>
            <w:r w:rsidR="00A1230F" w:rsidRPr="00E40432">
              <w:rPr>
                <w:rStyle w:val="Hyperlink"/>
                <w:noProof/>
                <w:spacing w:val="-2"/>
              </w:rPr>
              <w:t xml:space="preserve"> </w:t>
            </w:r>
            <w:r w:rsidR="00A1230F" w:rsidRPr="00E40432">
              <w:rPr>
                <w:rStyle w:val="Hyperlink"/>
                <w:noProof/>
              </w:rPr>
              <w:t>–Mondous Group</w:t>
            </w:r>
            <w:r w:rsidR="00A1230F">
              <w:rPr>
                <w:noProof/>
                <w:webHidden/>
              </w:rPr>
              <w:tab/>
            </w:r>
            <w:r w:rsidR="00A1230F">
              <w:rPr>
                <w:noProof/>
                <w:webHidden/>
              </w:rPr>
              <w:fldChar w:fldCharType="begin"/>
            </w:r>
            <w:r w:rsidR="00A1230F">
              <w:rPr>
                <w:noProof/>
                <w:webHidden/>
              </w:rPr>
              <w:instrText xml:space="preserve"> PAGEREF _Toc469573655 \h </w:instrText>
            </w:r>
            <w:r w:rsidR="00A1230F">
              <w:rPr>
                <w:noProof/>
                <w:webHidden/>
              </w:rPr>
            </w:r>
            <w:r w:rsidR="00A1230F">
              <w:rPr>
                <w:noProof/>
                <w:webHidden/>
              </w:rPr>
              <w:fldChar w:fldCharType="separate"/>
            </w:r>
            <w:r w:rsidR="00A1230F">
              <w:rPr>
                <w:noProof/>
                <w:webHidden/>
              </w:rPr>
              <w:t>17</w:t>
            </w:r>
            <w:r w:rsidR="00A1230F">
              <w:rPr>
                <w:noProof/>
                <w:webHidden/>
              </w:rPr>
              <w:fldChar w:fldCharType="end"/>
            </w:r>
          </w:hyperlink>
        </w:p>
        <w:p w14:paraId="06B61284" w14:textId="77777777" w:rsidR="00A1230F" w:rsidRDefault="008448BA">
          <w:pPr>
            <w:pStyle w:val="TOC3"/>
            <w:tabs>
              <w:tab w:val="right" w:leader="dot" w:pos="9016"/>
            </w:tabs>
            <w:rPr>
              <w:rFonts w:eastAsiaTheme="minorEastAsia"/>
              <w:noProof/>
              <w:lang w:val="en-AU" w:eastAsia="en-AU"/>
            </w:rPr>
          </w:pPr>
          <w:hyperlink w:anchor="_Toc469573656" w:history="1">
            <w:r w:rsidR="00A1230F" w:rsidRPr="00E40432">
              <w:rPr>
                <w:rStyle w:val="Hyperlink"/>
                <w:noProof/>
              </w:rPr>
              <w:t>Industrial land take</w:t>
            </w:r>
            <w:r w:rsidR="00A1230F">
              <w:rPr>
                <w:noProof/>
                <w:webHidden/>
              </w:rPr>
              <w:tab/>
            </w:r>
            <w:r w:rsidR="00A1230F">
              <w:rPr>
                <w:noProof/>
                <w:webHidden/>
              </w:rPr>
              <w:fldChar w:fldCharType="begin"/>
            </w:r>
            <w:r w:rsidR="00A1230F">
              <w:rPr>
                <w:noProof/>
                <w:webHidden/>
              </w:rPr>
              <w:instrText xml:space="preserve"> PAGEREF _Toc469573656 \h </w:instrText>
            </w:r>
            <w:r w:rsidR="00A1230F">
              <w:rPr>
                <w:noProof/>
                <w:webHidden/>
              </w:rPr>
            </w:r>
            <w:r w:rsidR="00A1230F">
              <w:rPr>
                <w:noProof/>
                <w:webHidden/>
              </w:rPr>
              <w:fldChar w:fldCharType="separate"/>
            </w:r>
            <w:r w:rsidR="00A1230F">
              <w:rPr>
                <w:noProof/>
                <w:webHidden/>
              </w:rPr>
              <w:t>18</w:t>
            </w:r>
            <w:r w:rsidR="00A1230F">
              <w:rPr>
                <w:noProof/>
                <w:webHidden/>
              </w:rPr>
              <w:fldChar w:fldCharType="end"/>
            </w:r>
          </w:hyperlink>
        </w:p>
        <w:p w14:paraId="11F10A88" w14:textId="77777777" w:rsidR="00A1230F" w:rsidRDefault="008448BA">
          <w:pPr>
            <w:pStyle w:val="TOC3"/>
            <w:tabs>
              <w:tab w:val="right" w:leader="dot" w:pos="9016"/>
            </w:tabs>
            <w:rPr>
              <w:rFonts w:eastAsiaTheme="minorEastAsia"/>
              <w:noProof/>
              <w:lang w:val="en-AU" w:eastAsia="en-AU"/>
            </w:rPr>
          </w:pPr>
          <w:hyperlink w:anchor="_Toc469573657" w:history="1">
            <w:r w:rsidR="00A1230F" w:rsidRPr="00E40432">
              <w:rPr>
                <w:rStyle w:val="Hyperlink"/>
                <w:noProof/>
              </w:rPr>
              <w:t>Mixed Use Zone</w:t>
            </w:r>
            <w:r w:rsidR="00A1230F">
              <w:rPr>
                <w:noProof/>
                <w:webHidden/>
              </w:rPr>
              <w:tab/>
            </w:r>
            <w:r w:rsidR="00A1230F">
              <w:rPr>
                <w:noProof/>
                <w:webHidden/>
              </w:rPr>
              <w:fldChar w:fldCharType="begin"/>
            </w:r>
            <w:r w:rsidR="00A1230F">
              <w:rPr>
                <w:noProof/>
                <w:webHidden/>
              </w:rPr>
              <w:instrText xml:space="preserve"> PAGEREF _Toc469573657 \h </w:instrText>
            </w:r>
            <w:r w:rsidR="00A1230F">
              <w:rPr>
                <w:noProof/>
                <w:webHidden/>
              </w:rPr>
            </w:r>
            <w:r w:rsidR="00A1230F">
              <w:rPr>
                <w:noProof/>
                <w:webHidden/>
              </w:rPr>
              <w:fldChar w:fldCharType="separate"/>
            </w:r>
            <w:r w:rsidR="00A1230F">
              <w:rPr>
                <w:noProof/>
                <w:webHidden/>
              </w:rPr>
              <w:t>19</w:t>
            </w:r>
            <w:r w:rsidR="00A1230F">
              <w:rPr>
                <w:noProof/>
                <w:webHidden/>
              </w:rPr>
              <w:fldChar w:fldCharType="end"/>
            </w:r>
          </w:hyperlink>
        </w:p>
        <w:p w14:paraId="672DACD5" w14:textId="77777777" w:rsidR="00A1230F" w:rsidRDefault="008448BA">
          <w:pPr>
            <w:pStyle w:val="TOC3"/>
            <w:tabs>
              <w:tab w:val="right" w:leader="dot" w:pos="9016"/>
            </w:tabs>
            <w:rPr>
              <w:rFonts w:eastAsiaTheme="minorEastAsia"/>
              <w:noProof/>
              <w:lang w:val="en-AU" w:eastAsia="en-AU"/>
            </w:rPr>
          </w:pPr>
          <w:hyperlink w:anchor="_Toc469573658" w:history="1">
            <w:r w:rsidR="00A1230F" w:rsidRPr="00E40432">
              <w:rPr>
                <w:rStyle w:val="Hyperlink"/>
                <w:noProof/>
              </w:rPr>
              <w:t>Aquatics centre</w:t>
            </w:r>
            <w:r w:rsidR="00A1230F">
              <w:rPr>
                <w:noProof/>
                <w:webHidden/>
              </w:rPr>
              <w:tab/>
            </w:r>
            <w:r w:rsidR="00A1230F">
              <w:rPr>
                <w:noProof/>
                <w:webHidden/>
              </w:rPr>
              <w:fldChar w:fldCharType="begin"/>
            </w:r>
            <w:r w:rsidR="00A1230F">
              <w:rPr>
                <w:noProof/>
                <w:webHidden/>
              </w:rPr>
              <w:instrText xml:space="preserve"> PAGEREF _Toc469573658 \h </w:instrText>
            </w:r>
            <w:r w:rsidR="00A1230F">
              <w:rPr>
                <w:noProof/>
                <w:webHidden/>
              </w:rPr>
            </w:r>
            <w:r w:rsidR="00A1230F">
              <w:rPr>
                <w:noProof/>
                <w:webHidden/>
              </w:rPr>
              <w:fldChar w:fldCharType="separate"/>
            </w:r>
            <w:r w:rsidR="00A1230F">
              <w:rPr>
                <w:noProof/>
                <w:webHidden/>
              </w:rPr>
              <w:t>19</w:t>
            </w:r>
            <w:r w:rsidR="00A1230F">
              <w:rPr>
                <w:noProof/>
                <w:webHidden/>
              </w:rPr>
              <w:fldChar w:fldCharType="end"/>
            </w:r>
          </w:hyperlink>
        </w:p>
        <w:p w14:paraId="5E4C4321" w14:textId="77777777" w:rsidR="00A1230F" w:rsidRDefault="008448BA">
          <w:pPr>
            <w:pStyle w:val="TOC3"/>
            <w:tabs>
              <w:tab w:val="right" w:leader="dot" w:pos="9016"/>
            </w:tabs>
            <w:rPr>
              <w:rFonts w:eastAsiaTheme="minorEastAsia"/>
              <w:noProof/>
              <w:lang w:val="en-AU" w:eastAsia="en-AU"/>
            </w:rPr>
          </w:pPr>
          <w:hyperlink w:anchor="_Toc469573659" w:history="1">
            <w:r w:rsidR="00A1230F" w:rsidRPr="00E40432">
              <w:rPr>
                <w:rStyle w:val="Hyperlink"/>
                <w:noProof/>
              </w:rPr>
              <w:t>‘Triangle of land’ on Beattys Rd adjacent aquatic centre</w:t>
            </w:r>
            <w:r w:rsidR="00A1230F">
              <w:rPr>
                <w:noProof/>
                <w:webHidden/>
              </w:rPr>
              <w:tab/>
            </w:r>
            <w:r w:rsidR="00A1230F">
              <w:rPr>
                <w:noProof/>
                <w:webHidden/>
              </w:rPr>
              <w:fldChar w:fldCharType="begin"/>
            </w:r>
            <w:r w:rsidR="00A1230F">
              <w:rPr>
                <w:noProof/>
                <w:webHidden/>
              </w:rPr>
              <w:instrText xml:space="preserve"> PAGEREF _Toc469573659 \h </w:instrText>
            </w:r>
            <w:r w:rsidR="00A1230F">
              <w:rPr>
                <w:noProof/>
                <w:webHidden/>
              </w:rPr>
            </w:r>
            <w:r w:rsidR="00A1230F">
              <w:rPr>
                <w:noProof/>
                <w:webHidden/>
              </w:rPr>
              <w:fldChar w:fldCharType="separate"/>
            </w:r>
            <w:r w:rsidR="00A1230F">
              <w:rPr>
                <w:noProof/>
                <w:webHidden/>
              </w:rPr>
              <w:t>20</w:t>
            </w:r>
            <w:r w:rsidR="00A1230F">
              <w:rPr>
                <w:noProof/>
                <w:webHidden/>
              </w:rPr>
              <w:fldChar w:fldCharType="end"/>
            </w:r>
          </w:hyperlink>
        </w:p>
        <w:p w14:paraId="2EB81FC2" w14:textId="77777777" w:rsidR="00A1230F" w:rsidRDefault="008448BA">
          <w:pPr>
            <w:pStyle w:val="TOC2"/>
            <w:rPr>
              <w:rFonts w:eastAsiaTheme="minorEastAsia"/>
              <w:noProof/>
              <w:lang w:val="en-AU" w:eastAsia="en-AU"/>
            </w:rPr>
          </w:pPr>
          <w:hyperlink w:anchor="_Toc469573660" w:history="1">
            <w:r w:rsidR="00A1230F" w:rsidRPr="00E40432">
              <w:rPr>
                <w:rStyle w:val="Hyperlink"/>
                <w:noProof/>
              </w:rPr>
              <w:t>4.4 Submission 12 (Kororoit) – Lawport Holdings</w:t>
            </w:r>
            <w:r w:rsidR="00A1230F">
              <w:rPr>
                <w:noProof/>
                <w:webHidden/>
              </w:rPr>
              <w:tab/>
            </w:r>
            <w:r w:rsidR="00A1230F">
              <w:rPr>
                <w:noProof/>
                <w:webHidden/>
              </w:rPr>
              <w:fldChar w:fldCharType="begin"/>
            </w:r>
            <w:r w:rsidR="00A1230F">
              <w:rPr>
                <w:noProof/>
                <w:webHidden/>
              </w:rPr>
              <w:instrText xml:space="preserve"> PAGEREF _Toc469573660 \h </w:instrText>
            </w:r>
            <w:r w:rsidR="00A1230F">
              <w:rPr>
                <w:noProof/>
                <w:webHidden/>
              </w:rPr>
            </w:r>
            <w:r w:rsidR="00A1230F">
              <w:rPr>
                <w:noProof/>
                <w:webHidden/>
              </w:rPr>
              <w:fldChar w:fldCharType="separate"/>
            </w:r>
            <w:r w:rsidR="00A1230F">
              <w:rPr>
                <w:noProof/>
                <w:webHidden/>
              </w:rPr>
              <w:t>20</w:t>
            </w:r>
            <w:r w:rsidR="00A1230F">
              <w:rPr>
                <w:noProof/>
                <w:webHidden/>
              </w:rPr>
              <w:fldChar w:fldCharType="end"/>
            </w:r>
          </w:hyperlink>
        </w:p>
        <w:p w14:paraId="68A715FD" w14:textId="77777777" w:rsidR="00A1230F" w:rsidRDefault="008448BA">
          <w:pPr>
            <w:pStyle w:val="TOC2"/>
            <w:rPr>
              <w:rFonts w:eastAsiaTheme="minorEastAsia"/>
              <w:noProof/>
              <w:lang w:val="en-AU" w:eastAsia="en-AU"/>
            </w:rPr>
          </w:pPr>
          <w:hyperlink w:anchor="_Toc469573661" w:history="1">
            <w:r w:rsidR="00A1230F" w:rsidRPr="00E40432">
              <w:rPr>
                <w:rStyle w:val="Hyperlink"/>
                <w:noProof/>
              </w:rPr>
              <w:t>4.5 Submission 8 (Kororoit) – Spiire (on behalf of Villa World Development)</w:t>
            </w:r>
            <w:r w:rsidR="00A1230F">
              <w:rPr>
                <w:noProof/>
                <w:webHidden/>
              </w:rPr>
              <w:tab/>
            </w:r>
            <w:r w:rsidR="00A1230F">
              <w:rPr>
                <w:noProof/>
                <w:webHidden/>
              </w:rPr>
              <w:fldChar w:fldCharType="begin"/>
            </w:r>
            <w:r w:rsidR="00A1230F">
              <w:rPr>
                <w:noProof/>
                <w:webHidden/>
              </w:rPr>
              <w:instrText xml:space="preserve"> PAGEREF _Toc469573661 \h </w:instrText>
            </w:r>
            <w:r w:rsidR="00A1230F">
              <w:rPr>
                <w:noProof/>
                <w:webHidden/>
              </w:rPr>
            </w:r>
            <w:r w:rsidR="00A1230F">
              <w:rPr>
                <w:noProof/>
                <w:webHidden/>
              </w:rPr>
              <w:fldChar w:fldCharType="separate"/>
            </w:r>
            <w:r w:rsidR="00A1230F">
              <w:rPr>
                <w:noProof/>
                <w:webHidden/>
              </w:rPr>
              <w:t>20</w:t>
            </w:r>
            <w:r w:rsidR="00A1230F">
              <w:rPr>
                <w:noProof/>
                <w:webHidden/>
              </w:rPr>
              <w:fldChar w:fldCharType="end"/>
            </w:r>
          </w:hyperlink>
        </w:p>
        <w:p w14:paraId="6D0373CF" w14:textId="77777777" w:rsidR="00A1230F" w:rsidRDefault="008448BA">
          <w:pPr>
            <w:pStyle w:val="TOC2"/>
            <w:rPr>
              <w:rFonts w:eastAsiaTheme="minorEastAsia"/>
              <w:noProof/>
              <w:lang w:val="en-AU" w:eastAsia="en-AU"/>
            </w:rPr>
          </w:pPr>
          <w:hyperlink w:anchor="_Toc469573662" w:history="1">
            <w:r w:rsidR="00A1230F" w:rsidRPr="00E40432">
              <w:rPr>
                <w:rStyle w:val="Hyperlink"/>
                <w:noProof/>
              </w:rPr>
              <w:t>4.6 Submission 29 (Plumpton) &amp; 32 (Kororoit) – Melton City Council</w:t>
            </w:r>
            <w:r w:rsidR="00A1230F">
              <w:rPr>
                <w:noProof/>
                <w:webHidden/>
              </w:rPr>
              <w:tab/>
            </w:r>
            <w:r w:rsidR="00A1230F">
              <w:rPr>
                <w:noProof/>
                <w:webHidden/>
              </w:rPr>
              <w:fldChar w:fldCharType="begin"/>
            </w:r>
            <w:r w:rsidR="00A1230F">
              <w:rPr>
                <w:noProof/>
                <w:webHidden/>
              </w:rPr>
              <w:instrText xml:space="preserve"> PAGEREF _Toc469573662 \h </w:instrText>
            </w:r>
            <w:r w:rsidR="00A1230F">
              <w:rPr>
                <w:noProof/>
                <w:webHidden/>
              </w:rPr>
            </w:r>
            <w:r w:rsidR="00A1230F">
              <w:rPr>
                <w:noProof/>
                <w:webHidden/>
              </w:rPr>
              <w:fldChar w:fldCharType="separate"/>
            </w:r>
            <w:r w:rsidR="00A1230F">
              <w:rPr>
                <w:noProof/>
                <w:webHidden/>
              </w:rPr>
              <w:t>21</w:t>
            </w:r>
            <w:r w:rsidR="00A1230F">
              <w:rPr>
                <w:noProof/>
                <w:webHidden/>
              </w:rPr>
              <w:fldChar w:fldCharType="end"/>
            </w:r>
          </w:hyperlink>
        </w:p>
        <w:p w14:paraId="387EB16E" w14:textId="77777777" w:rsidR="00A1230F" w:rsidRDefault="008448BA">
          <w:pPr>
            <w:pStyle w:val="TOC3"/>
            <w:tabs>
              <w:tab w:val="right" w:leader="dot" w:pos="9016"/>
            </w:tabs>
            <w:rPr>
              <w:rFonts w:eastAsiaTheme="minorEastAsia"/>
              <w:noProof/>
              <w:lang w:val="en-AU" w:eastAsia="en-AU"/>
            </w:rPr>
          </w:pPr>
          <w:hyperlink w:anchor="_Toc469573663" w:history="1">
            <w:r w:rsidR="00A1230F" w:rsidRPr="00E40432">
              <w:rPr>
                <w:rStyle w:val="Hyperlink"/>
                <w:noProof/>
              </w:rPr>
              <w:t>Small Local Enterprise Precincts</w:t>
            </w:r>
            <w:r w:rsidR="00A1230F">
              <w:rPr>
                <w:noProof/>
                <w:webHidden/>
              </w:rPr>
              <w:tab/>
            </w:r>
            <w:r w:rsidR="00A1230F">
              <w:rPr>
                <w:noProof/>
                <w:webHidden/>
              </w:rPr>
              <w:fldChar w:fldCharType="begin"/>
            </w:r>
            <w:r w:rsidR="00A1230F">
              <w:rPr>
                <w:noProof/>
                <w:webHidden/>
              </w:rPr>
              <w:instrText xml:space="preserve"> PAGEREF _Toc469573663 \h </w:instrText>
            </w:r>
            <w:r w:rsidR="00A1230F">
              <w:rPr>
                <w:noProof/>
                <w:webHidden/>
              </w:rPr>
            </w:r>
            <w:r w:rsidR="00A1230F">
              <w:rPr>
                <w:noProof/>
                <w:webHidden/>
              </w:rPr>
              <w:fldChar w:fldCharType="separate"/>
            </w:r>
            <w:r w:rsidR="00A1230F">
              <w:rPr>
                <w:noProof/>
                <w:webHidden/>
              </w:rPr>
              <w:t>21</w:t>
            </w:r>
            <w:r w:rsidR="00A1230F">
              <w:rPr>
                <w:noProof/>
                <w:webHidden/>
              </w:rPr>
              <w:fldChar w:fldCharType="end"/>
            </w:r>
          </w:hyperlink>
        </w:p>
        <w:p w14:paraId="6F698BB8" w14:textId="77777777" w:rsidR="00A1230F" w:rsidRDefault="008448BA">
          <w:pPr>
            <w:pStyle w:val="TOC3"/>
            <w:tabs>
              <w:tab w:val="right" w:leader="dot" w:pos="9016"/>
            </w:tabs>
            <w:rPr>
              <w:rFonts w:eastAsiaTheme="minorEastAsia"/>
              <w:noProof/>
              <w:lang w:val="en-AU" w:eastAsia="en-AU"/>
            </w:rPr>
          </w:pPr>
          <w:hyperlink w:anchor="_Toc469573664" w:history="1">
            <w:r w:rsidR="00A1230F" w:rsidRPr="00E40432">
              <w:rPr>
                <w:rStyle w:val="Hyperlink"/>
                <w:noProof/>
              </w:rPr>
              <w:t>Powerline Easement Tables</w:t>
            </w:r>
            <w:r w:rsidR="00A1230F">
              <w:rPr>
                <w:noProof/>
                <w:webHidden/>
              </w:rPr>
              <w:tab/>
            </w:r>
            <w:r w:rsidR="00A1230F">
              <w:rPr>
                <w:noProof/>
                <w:webHidden/>
              </w:rPr>
              <w:fldChar w:fldCharType="begin"/>
            </w:r>
            <w:r w:rsidR="00A1230F">
              <w:rPr>
                <w:noProof/>
                <w:webHidden/>
              </w:rPr>
              <w:instrText xml:space="preserve"> PAGEREF _Toc469573664 \h </w:instrText>
            </w:r>
            <w:r w:rsidR="00A1230F">
              <w:rPr>
                <w:noProof/>
                <w:webHidden/>
              </w:rPr>
            </w:r>
            <w:r w:rsidR="00A1230F">
              <w:rPr>
                <w:noProof/>
                <w:webHidden/>
              </w:rPr>
              <w:fldChar w:fldCharType="separate"/>
            </w:r>
            <w:r w:rsidR="00A1230F">
              <w:rPr>
                <w:noProof/>
                <w:webHidden/>
              </w:rPr>
              <w:t>22</w:t>
            </w:r>
            <w:r w:rsidR="00A1230F">
              <w:rPr>
                <w:noProof/>
                <w:webHidden/>
              </w:rPr>
              <w:fldChar w:fldCharType="end"/>
            </w:r>
          </w:hyperlink>
        </w:p>
        <w:p w14:paraId="3F220BFA" w14:textId="77777777" w:rsidR="00A1230F" w:rsidRDefault="008448BA">
          <w:pPr>
            <w:pStyle w:val="TOC3"/>
            <w:tabs>
              <w:tab w:val="right" w:leader="dot" w:pos="9016"/>
            </w:tabs>
            <w:rPr>
              <w:rFonts w:eastAsiaTheme="minorEastAsia"/>
              <w:noProof/>
              <w:lang w:val="en-AU" w:eastAsia="en-AU"/>
            </w:rPr>
          </w:pPr>
          <w:hyperlink w:anchor="_Toc469573665" w:history="1">
            <w:r w:rsidR="00A1230F" w:rsidRPr="00E40432">
              <w:rPr>
                <w:rStyle w:val="Hyperlink"/>
                <w:noProof/>
              </w:rPr>
              <w:t>Development Staging</w:t>
            </w:r>
            <w:r w:rsidR="00A1230F">
              <w:rPr>
                <w:noProof/>
                <w:webHidden/>
              </w:rPr>
              <w:tab/>
            </w:r>
            <w:r w:rsidR="00A1230F">
              <w:rPr>
                <w:noProof/>
                <w:webHidden/>
              </w:rPr>
              <w:fldChar w:fldCharType="begin"/>
            </w:r>
            <w:r w:rsidR="00A1230F">
              <w:rPr>
                <w:noProof/>
                <w:webHidden/>
              </w:rPr>
              <w:instrText xml:space="preserve"> PAGEREF _Toc469573665 \h </w:instrText>
            </w:r>
            <w:r w:rsidR="00A1230F">
              <w:rPr>
                <w:noProof/>
                <w:webHidden/>
              </w:rPr>
            </w:r>
            <w:r w:rsidR="00A1230F">
              <w:rPr>
                <w:noProof/>
                <w:webHidden/>
              </w:rPr>
              <w:fldChar w:fldCharType="separate"/>
            </w:r>
            <w:r w:rsidR="00A1230F">
              <w:rPr>
                <w:noProof/>
                <w:webHidden/>
              </w:rPr>
              <w:t>22</w:t>
            </w:r>
            <w:r w:rsidR="00A1230F">
              <w:rPr>
                <w:noProof/>
                <w:webHidden/>
              </w:rPr>
              <w:fldChar w:fldCharType="end"/>
            </w:r>
          </w:hyperlink>
        </w:p>
        <w:p w14:paraId="183252A9" w14:textId="77777777" w:rsidR="00A1230F" w:rsidRDefault="008448BA">
          <w:pPr>
            <w:pStyle w:val="TOC3"/>
            <w:tabs>
              <w:tab w:val="right" w:leader="dot" w:pos="9016"/>
            </w:tabs>
            <w:rPr>
              <w:rFonts w:eastAsiaTheme="minorEastAsia"/>
              <w:noProof/>
              <w:lang w:val="en-AU" w:eastAsia="en-AU"/>
            </w:rPr>
          </w:pPr>
          <w:hyperlink w:anchor="_Toc469573666" w:history="1">
            <w:r w:rsidR="00A1230F" w:rsidRPr="00E40432">
              <w:rPr>
                <w:rStyle w:val="Hyperlink"/>
                <w:noProof/>
              </w:rPr>
              <w:t>Primary Arterial</w:t>
            </w:r>
            <w:r w:rsidR="00A1230F">
              <w:rPr>
                <w:noProof/>
                <w:webHidden/>
              </w:rPr>
              <w:tab/>
            </w:r>
            <w:r w:rsidR="00A1230F">
              <w:rPr>
                <w:noProof/>
                <w:webHidden/>
              </w:rPr>
              <w:fldChar w:fldCharType="begin"/>
            </w:r>
            <w:r w:rsidR="00A1230F">
              <w:rPr>
                <w:noProof/>
                <w:webHidden/>
              </w:rPr>
              <w:instrText xml:space="preserve"> PAGEREF _Toc469573666 \h </w:instrText>
            </w:r>
            <w:r w:rsidR="00A1230F">
              <w:rPr>
                <w:noProof/>
                <w:webHidden/>
              </w:rPr>
            </w:r>
            <w:r w:rsidR="00A1230F">
              <w:rPr>
                <w:noProof/>
                <w:webHidden/>
              </w:rPr>
              <w:fldChar w:fldCharType="separate"/>
            </w:r>
            <w:r w:rsidR="00A1230F">
              <w:rPr>
                <w:noProof/>
                <w:webHidden/>
              </w:rPr>
              <w:t>22</w:t>
            </w:r>
            <w:r w:rsidR="00A1230F">
              <w:rPr>
                <w:noProof/>
                <w:webHidden/>
              </w:rPr>
              <w:fldChar w:fldCharType="end"/>
            </w:r>
          </w:hyperlink>
        </w:p>
        <w:p w14:paraId="5D99D2E4" w14:textId="77777777" w:rsidR="00A1230F" w:rsidRDefault="008448BA">
          <w:pPr>
            <w:pStyle w:val="TOC3"/>
            <w:tabs>
              <w:tab w:val="right" w:leader="dot" w:pos="9016"/>
            </w:tabs>
            <w:rPr>
              <w:rFonts w:eastAsiaTheme="minorEastAsia"/>
              <w:noProof/>
              <w:lang w:val="en-AU" w:eastAsia="en-AU"/>
            </w:rPr>
          </w:pPr>
          <w:hyperlink w:anchor="_Toc469573667" w:history="1">
            <w:r w:rsidR="00A1230F" w:rsidRPr="00E40432">
              <w:rPr>
                <w:rStyle w:val="Hyperlink"/>
                <w:noProof/>
              </w:rPr>
              <w:t>Plumpton MTC floor space cap</w:t>
            </w:r>
            <w:r w:rsidR="00A1230F">
              <w:rPr>
                <w:noProof/>
                <w:webHidden/>
              </w:rPr>
              <w:tab/>
            </w:r>
            <w:r w:rsidR="00A1230F">
              <w:rPr>
                <w:noProof/>
                <w:webHidden/>
              </w:rPr>
              <w:fldChar w:fldCharType="begin"/>
            </w:r>
            <w:r w:rsidR="00A1230F">
              <w:rPr>
                <w:noProof/>
                <w:webHidden/>
              </w:rPr>
              <w:instrText xml:space="preserve"> PAGEREF _Toc469573667 \h </w:instrText>
            </w:r>
            <w:r w:rsidR="00A1230F">
              <w:rPr>
                <w:noProof/>
                <w:webHidden/>
              </w:rPr>
            </w:r>
            <w:r w:rsidR="00A1230F">
              <w:rPr>
                <w:noProof/>
                <w:webHidden/>
              </w:rPr>
              <w:fldChar w:fldCharType="separate"/>
            </w:r>
            <w:r w:rsidR="00A1230F">
              <w:rPr>
                <w:noProof/>
                <w:webHidden/>
              </w:rPr>
              <w:t>22</w:t>
            </w:r>
            <w:r w:rsidR="00A1230F">
              <w:rPr>
                <w:noProof/>
                <w:webHidden/>
              </w:rPr>
              <w:fldChar w:fldCharType="end"/>
            </w:r>
          </w:hyperlink>
        </w:p>
        <w:p w14:paraId="713C6930" w14:textId="77777777" w:rsidR="00A1230F" w:rsidRDefault="008448BA">
          <w:pPr>
            <w:pStyle w:val="TOC3"/>
            <w:tabs>
              <w:tab w:val="right" w:leader="dot" w:pos="9016"/>
            </w:tabs>
            <w:rPr>
              <w:rFonts w:eastAsiaTheme="minorEastAsia"/>
              <w:noProof/>
              <w:lang w:val="en-AU" w:eastAsia="en-AU"/>
            </w:rPr>
          </w:pPr>
          <w:hyperlink w:anchor="_Toc469573668" w:history="1">
            <w:r w:rsidR="00A1230F" w:rsidRPr="00E40432">
              <w:rPr>
                <w:rStyle w:val="Hyperlink"/>
                <w:noProof/>
              </w:rPr>
              <w:t>Secondary Arterials</w:t>
            </w:r>
            <w:r w:rsidR="00A1230F">
              <w:rPr>
                <w:noProof/>
                <w:webHidden/>
              </w:rPr>
              <w:tab/>
            </w:r>
            <w:r w:rsidR="00A1230F">
              <w:rPr>
                <w:noProof/>
                <w:webHidden/>
              </w:rPr>
              <w:fldChar w:fldCharType="begin"/>
            </w:r>
            <w:r w:rsidR="00A1230F">
              <w:rPr>
                <w:noProof/>
                <w:webHidden/>
              </w:rPr>
              <w:instrText xml:space="preserve"> PAGEREF _Toc469573668 \h </w:instrText>
            </w:r>
            <w:r w:rsidR="00A1230F">
              <w:rPr>
                <w:noProof/>
                <w:webHidden/>
              </w:rPr>
            </w:r>
            <w:r w:rsidR="00A1230F">
              <w:rPr>
                <w:noProof/>
                <w:webHidden/>
              </w:rPr>
              <w:fldChar w:fldCharType="separate"/>
            </w:r>
            <w:r w:rsidR="00A1230F">
              <w:rPr>
                <w:noProof/>
                <w:webHidden/>
              </w:rPr>
              <w:t>23</w:t>
            </w:r>
            <w:r w:rsidR="00A1230F">
              <w:rPr>
                <w:noProof/>
                <w:webHidden/>
              </w:rPr>
              <w:fldChar w:fldCharType="end"/>
            </w:r>
          </w:hyperlink>
        </w:p>
        <w:p w14:paraId="359C5A03" w14:textId="77777777" w:rsidR="00A1230F" w:rsidRDefault="008448BA">
          <w:pPr>
            <w:pStyle w:val="TOC3"/>
            <w:tabs>
              <w:tab w:val="right" w:leader="dot" w:pos="9016"/>
            </w:tabs>
            <w:rPr>
              <w:rFonts w:eastAsiaTheme="minorEastAsia"/>
              <w:noProof/>
              <w:lang w:val="en-AU" w:eastAsia="en-AU"/>
            </w:rPr>
          </w:pPr>
          <w:hyperlink w:anchor="_Toc469573669" w:history="1">
            <w:r w:rsidR="00A1230F" w:rsidRPr="00E40432">
              <w:rPr>
                <w:rStyle w:val="Hyperlink"/>
                <w:noProof/>
                <w:lang w:val="en-AU"/>
              </w:rPr>
              <w:t>Town Centre Main Street Cross Sections</w:t>
            </w:r>
            <w:r w:rsidR="00A1230F">
              <w:rPr>
                <w:noProof/>
                <w:webHidden/>
              </w:rPr>
              <w:tab/>
            </w:r>
            <w:r w:rsidR="00A1230F">
              <w:rPr>
                <w:noProof/>
                <w:webHidden/>
              </w:rPr>
              <w:fldChar w:fldCharType="begin"/>
            </w:r>
            <w:r w:rsidR="00A1230F">
              <w:rPr>
                <w:noProof/>
                <w:webHidden/>
              </w:rPr>
              <w:instrText xml:space="preserve"> PAGEREF _Toc469573669 \h </w:instrText>
            </w:r>
            <w:r w:rsidR="00A1230F">
              <w:rPr>
                <w:noProof/>
                <w:webHidden/>
              </w:rPr>
            </w:r>
            <w:r w:rsidR="00A1230F">
              <w:rPr>
                <w:noProof/>
                <w:webHidden/>
              </w:rPr>
              <w:fldChar w:fldCharType="separate"/>
            </w:r>
            <w:r w:rsidR="00A1230F">
              <w:rPr>
                <w:noProof/>
                <w:webHidden/>
              </w:rPr>
              <w:t>24</w:t>
            </w:r>
            <w:r w:rsidR="00A1230F">
              <w:rPr>
                <w:noProof/>
                <w:webHidden/>
              </w:rPr>
              <w:fldChar w:fldCharType="end"/>
            </w:r>
          </w:hyperlink>
        </w:p>
        <w:p w14:paraId="4A35FD6E" w14:textId="77777777" w:rsidR="00A1230F" w:rsidRDefault="008448BA">
          <w:pPr>
            <w:pStyle w:val="TOC3"/>
            <w:tabs>
              <w:tab w:val="right" w:leader="dot" w:pos="9016"/>
            </w:tabs>
            <w:rPr>
              <w:rFonts w:eastAsiaTheme="minorEastAsia"/>
              <w:noProof/>
              <w:lang w:val="en-AU" w:eastAsia="en-AU"/>
            </w:rPr>
          </w:pPr>
          <w:hyperlink w:anchor="_Toc469573670" w:history="1">
            <w:r w:rsidR="00A1230F" w:rsidRPr="00E40432">
              <w:rPr>
                <w:rStyle w:val="Hyperlink"/>
                <w:noProof/>
                <w:lang w:val="en-AU"/>
              </w:rPr>
              <w:t>Plumpton West</w:t>
            </w:r>
            <w:r w:rsidR="00A1230F" w:rsidRPr="00E40432">
              <w:rPr>
                <w:rStyle w:val="Hyperlink"/>
                <w:noProof/>
              </w:rPr>
              <w:t xml:space="preserve"> Community Hub</w:t>
            </w:r>
            <w:r w:rsidR="00A1230F">
              <w:rPr>
                <w:noProof/>
                <w:webHidden/>
              </w:rPr>
              <w:tab/>
            </w:r>
            <w:r w:rsidR="00A1230F">
              <w:rPr>
                <w:noProof/>
                <w:webHidden/>
              </w:rPr>
              <w:fldChar w:fldCharType="begin"/>
            </w:r>
            <w:r w:rsidR="00A1230F">
              <w:rPr>
                <w:noProof/>
                <w:webHidden/>
              </w:rPr>
              <w:instrText xml:space="preserve"> PAGEREF _Toc469573670 \h </w:instrText>
            </w:r>
            <w:r w:rsidR="00A1230F">
              <w:rPr>
                <w:noProof/>
                <w:webHidden/>
              </w:rPr>
            </w:r>
            <w:r w:rsidR="00A1230F">
              <w:rPr>
                <w:noProof/>
                <w:webHidden/>
              </w:rPr>
              <w:fldChar w:fldCharType="separate"/>
            </w:r>
            <w:r w:rsidR="00A1230F">
              <w:rPr>
                <w:noProof/>
                <w:webHidden/>
              </w:rPr>
              <w:t>24</w:t>
            </w:r>
            <w:r w:rsidR="00A1230F">
              <w:rPr>
                <w:noProof/>
                <w:webHidden/>
              </w:rPr>
              <w:fldChar w:fldCharType="end"/>
            </w:r>
          </w:hyperlink>
        </w:p>
        <w:p w14:paraId="144844B9" w14:textId="77777777" w:rsidR="00A1230F" w:rsidRDefault="008448BA">
          <w:pPr>
            <w:pStyle w:val="TOC3"/>
            <w:tabs>
              <w:tab w:val="right" w:leader="dot" w:pos="9016"/>
            </w:tabs>
            <w:rPr>
              <w:rFonts w:eastAsiaTheme="minorEastAsia"/>
              <w:noProof/>
              <w:lang w:val="en-AU" w:eastAsia="en-AU"/>
            </w:rPr>
          </w:pPr>
          <w:hyperlink w:anchor="_Toc469573671" w:history="1">
            <w:r w:rsidR="00A1230F" w:rsidRPr="00E40432">
              <w:rPr>
                <w:rStyle w:val="Hyperlink"/>
                <w:noProof/>
                <w:lang w:val="en-AU"/>
              </w:rPr>
              <w:t>Re-wording of Clause 4.2 of Schedule to UGZ</w:t>
            </w:r>
            <w:r w:rsidR="00A1230F">
              <w:rPr>
                <w:noProof/>
                <w:webHidden/>
              </w:rPr>
              <w:tab/>
            </w:r>
            <w:r w:rsidR="00A1230F">
              <w:rPr>
                <w:noProof/>
                <w:webHidden/>
              </w:rPr>
              <w:fldChar w:fldCharType="begin"/>
            </w:r>
            <w:r w:rsidR="00A1230F">
              <w:rPr>
                <w:noProof/>
                <w:webHidden/>
              </w:rPr>
              <w:instrText xml:space="preserve"> PAGEREF _Toc469573671 \h </w:instrText>
            </w:r>
            <w:r w:rsidR="00A1230F">
              <w:rPr>
                <w:noProof/>
                <w:webHidden/>
              </w:rPr>
            </w:r>
            <w:r w:rsidR="00A1230F">
              <w:rPr>
                <w:noProof/>
                <w:webHidden/>
              </w:rPr>
              <w:fldChar w:fldCharType="separate"/>
            </w:r>
            <w:r w:rsidR="00A1230F">
              <w:rPr>
                <w:noProof/>
                <w:webHidden/>
              </w:rPr>
              <w:t>24</w:t>
            </w:r>
            <w:r w:rsidR="00A1230F">
              <w:rPr>
                <w:noProof/>
                <w:webHidden/>
              </w:rPr>
              <w:fldChar w:fldCharType="end"/>
            </w:r>
          </w:hyperlink>
        </w:p>
        <w:p w14:paraId="338125EE" w14:textId="77777777" w:rsidR="00A1230F" w:rsidRDefault="008448BA">
          <w:pPr>
            <w:pStyle w:val="TOC2"/>
            <w:rPr>
              <w:rFonts w:eastAsiaTheme="minorEastAsia"/>
              <w:noProof/>
              <w:lang w:val="en-AU" w:eastAsia="en-AU"/>
            </w:rPr>
          </w:pPr>
          <w:hyperlink w:anchor="_Toc469573672" w:history="1">
            <w:r w:rsidR="00A1230F" w:rsidRPr="00E40432">
              <w:rPr>
                <w:rStyle w:val="Hyperlink"/>
                <w:noProof/>
              </w:rPr>
              <w:t>4.7 Submission 19 (Kororoit) – Andrew Booth</w:t>
            </w:r>
            <w:r w:rsidR="00A1230F">
              <w:rPr>
                <w:noProof/>
                <w:webHidden/>
              </w:rPr>
              <w:tab/>
            </w:r>
            <w:r w:rsidR="00A1230F">
              <w:rPr>
                <w:noProof/>
                <w:webHidden/>
              </w:rPr>
              <w:fldChar w:fldCharType="begin"/>
            </w:r>
            <w:r w:rsidR="00A1230F">
              <w:rPr>
                <w:noProof/>
                <w:webHidden/>
              </w:rPr>
              <w:instrText xml:space="preserve"> PAGEREF _Toc469573672 \h </w:instrText>
            </w:r>
            <w:r w:rsidR="00A1230F">
              <w:rPr>
                <w:noProof/>
                <w:webHidden/>
              </w:rPr>
            </w:r>
            <w:r w:rsidR="00A1230F">
              <w:rPr>
                <w:noProof/>
                <w:webHidden/>
              </w:rPr>
              <w:fldChar w:fldCharType="separate"/>
            </w:r>
            <w:r w:rsidR="00A1230F">
              <w:rPr>
                <w:noProof/>
                <w:webHidden/>
              </w:rPr>
              <w:t>25</w:t>
            </w:r>
            <w:r w:rsidR="00A1230F">
              <w:rPr>
                <w:noProof/>
                <w:webHidden/>
              </w:rPr>
              <w:fldChar w:fldCharType="end"/>
            </w:r>
          </w:hyperlink>
        </w:p>
        <w:p w14:paraId="7C98E231" w14:textId="77777777" w:rsidR="00A1230F" w:rsidRDefault="008448BA">
          <w:pPr>
            <w:pStyle w:val="TOC2"/>
            <w:rPr>
              <w:rFonts w:eastAsiaTheme="minorEastAsia"/>
              <w:noProof/>
              <w:lang w:val="en-AU" w:eastAsia="en-AU"/>
            </w:rPr>
          </w:pPr>
          <w:hyperlink w:anchor="_Toc469573673" w:history="1">
            <w:r w:rsidR="00A1230F" w:rsidRPr="00E40432">
              <w:rPr>
                <w:rStyle w:val="Hyperlink"/>
                <w:noProof/>
              </w:rPr>
              <w:t>4.8 Submission 18 (Kororoit) –Coles Property Group Developments</w:t>
            </w:r>
            <w:r w:rsidR="00A1230F">
              <w:rPr>
                <w:noProof/>
                <w:webHidden/>
              </w:rPr>
              <w:tab/>
            </w:r>
            <w:r w:rsidR="00A1230F">
              <w:rPr>
                <w:noProof/>
                <w:webHidden/>
              </w:rPr>
              <w:fldChar w:fldCharType="begin"/>
            </w:r>
            <w:r w:rsidR="00A1230F">
              <w:rPr>
                <w:noProof/>
                <w:webHidden/>
              </w:rPr>
              <w:instrText xml:space="preserve"> PAGEREF _Toc469573673 \h </w:instrText>
            </w:r>
            <w:r w:rsidR="00A1230F">
              <w:rPr>
                <w:noProof/>
                <w:webHidden/>
              </w:rPr>
            </w:r>
            <w:r w:rsidR="00A1230F">
              <w:rPr>
                <w:noProof/>
                <w:webHidden/>
              </w:rPr>
              <w:fldChar w:fldCharType="separate"/>
            </w:r>
            <w:r w:rsidR="00A1230F">
              <w:rPr>
                <w:noProof/>
                <w:webHidden/>
              </w:rPr>
              <w:t>25</w:t>
            </w:r>
            <w:r w:rsidR="00A1230F">
              <w:rPr>
                <w:noProof/>
                <w:webHidden/>
              </w:rPr>
              <w:fldChar w:fldCharType="end"/>
            </w:r>
          </w:hyperlink>
        </w:p>
        <w:p w14:paraId="102A5DA0" w14:textId="77777777" w:rsidR="00A1230F" w:rsidRDefault="008448BA">
          <w:pPr>
            <w:pStyle w:val="TOC2"/>
            <w:rPr>
              <w:rFonts w:eastAsiaTheme="minorEastAsia"/>
              <w:noProof/>
              <w:lang w:val="en-AU" w:eastAsia="en-AU"/>
            </w:rPr>
          </w:pPr>
          <w:hyperlink w:anchor="_Toc469573674" w:history="1">
            <w:r w:rsidR="00A1230F" w:rsidRPr="00E40432">
              <w:rPr>
                <w:rStyle w:val="Hyperlink"/>
                <w:noProof/>
              </w:rPr>
              <w:t>4.9 Submission 7 (Kororoit) – Town Planning Group (on behalf of landowners)</w:t>
            </w:r>
            <w:r w:rsidR="00A1230F">
              <w:rPr>
                <w:noProof/>
                <w:webHidden/>
              </w:rPr>
              <w:tab/>
            </w:r>
            <w:r w:rsidR="00A1230F">
              <w:rPr>
                <w:noProof/>
                <w:webHidden/>
              </w:rPr>
              <w:fldChar w:fldCharType="begin"/>
            </w:r>
            <w:r w:rsidR="00A1230F">
              <w:rPr>
                <w:noProof/>
                <w:webHidden/>
              </w:rPr>
              <w:instrText xml:space="preserve"> PAGEREF _Toc469573674 \h </w:instrText>
            </w:r>
            <w:r w:rsidR="00A1230F">
              <w:rPr>
                <w:noProof/>
                <w:webHidden/>
              </w:rPr>
            </w:r>
            <w:r w:rsidR="00A1230F">
              <w:rPr>
                <w:noProof/>
                <w:webHidden/>
              </w:rPr>
              <w:fldChar w:fldCharType="separate"/>
            </w:r>
            <w:r w:rsidR="00A1230F">
              <w:rPr>
                <w:noProof/>
                <w:webHidden/>
              </w:rPr>
              <w:t>26</w:t>
            </w:r>
            <w:r w:rsidR="00A1230F">
              <w:rPr>
                <w:noProof/>
                <w:webHidden/>
              </w:rPr>
              <w:fldChar w:fldCharType="end"/>
            </w:r>
          </w:hyperlink>
        </w:p>
        <w:p w14:paraId="44568549" w14:textId="77777777" w:rsidR="00A1230F" w:rsidRDefault="008448BA">
          <w:pPr>
            <w:pStyle w:val="TOC2"/>
            <w:rPr>
              <w:rFonts w:eastAsiaTheme="minorEastAsia"/>
              <w:noProof/>
              <w:lang w:val="en-AU" w:eastAsia="en-AU"/>
            </w:rPr>
          </w:pPr>
          <w:hyperlink w:anchor="_Toc469573675" w:history="1">
            <w:r w:rsidR="00A1230F" w:rsidRPr="00E40432">
              <w:rPr>
                <w:rStyle w:val="Hyperlink"/>
                <w:noProof/>
              </w:rPr>
              <w:t>4.10 Submission 29 (Kororoit) – Luzon Holdings</w:t>
            </w:r>
            <w:r w:rsidR="00A1230F">
              <w:rPr>
                <w:noProof/>
                <w:webHidden/>
              </w:rPr>
              <w:tab/>
            </w:r>
            <w:r w:rsidR="00A1230F">
              <w:rPr>
                <w:noProof/>
                <w:webHidden/>
              </w:rPr>
              <w:fldChar w:fldCharType="begin"/>
            </w:r>
            <w:r w:rsidR="00A1230F">
              <w:rPr>
                <w:noProof/>
                <w:webHidden/>
              </w:rPr>
              <w:instrText xml:space="preserve"> PAGEREF _Toc469573675 \h </w:instrText>
            </w:r>
            <w:r w:rsidR="00A1230F">
              <w:rPr>
                <w:noProof/>
                <w:webHidden/>
              </w:rPr>
            </w:r>
            <w:r w:rsidR="00A1230F">
              <w:rPr>
                <w:noProof/>
                <w:webHidden/>
              </w:rPr>
              <w:fldChar w:fldCharType="separate"/>
            </w:r>
            <w:r w:rsidR="00A1230F">
              <w:rPr>
                <w:noProof/>
                <w:webHidden/>
              </w:rPr>
              <w:t>26</w:t>
            </w:r>
            <w:r w:rsidR="00A1230F">
              <w:rPr>
                <w:noProof/>
                <w:webHidden/>
              </w:rPr>
              <w:fldChar w:fldCharType="end"/>
            </w:r>
          </w:hyperlink>
        </w:p>
        <w:p w14:paraId="46442A45" w14:textId="77777777" w:rsidR="00A1230F" w:rsidRDefault="008448BA">
          <w:pPr>
            <w:pStyle w:val="TOC3"/>
            <w:tabs>
              <w:tab w:val="right" w:leader="dot" w:pos="9016"/>
            </w:tabs>
            <w:rPr>
              <w:rFonts w:eastAsiaTheme="minorEastAsia"/>
              <w:noProof/>
              <w:lang w:val="en-AU" w:eastAsia="en-AU"/>
            </w:rPr>
          </w:pPr>
          <w:hyperlink w:anchor="_Toc469573676" w:history="1">
            <w:r w:rsidR="00A1230F" w:rsidRPr="00E40432">
              <w:rPr>
                <w:rStyle w:val="Hyperlink"/>
                <w:noProof/>
              </w:rPr>
              <w:t>Property #10, Taylors Road</w:t>
            </w:r>
            <w:r w:rsidR="00A1230F">
              <w:rPr>
                <w:noProof/>
                <w:webHidden/>
              </w:rPr>
              <w:tab/>
            </w:r>
            <w:r w:rsidR="00A1230F">
              <w:rPr>
                <w:noProof/>
                <w:webHidden/>
              </w:rPr>
              <w:fldChar w:fldCharType="begin"/>
            </w:r>
            <w:r w:rsidR="00A1230F">
              <w:rPr>
                <w:noProof/>
                <w:webHidden/>
              </w:rPr>
              <w:instrText xml:space="preserve"> PAGEREF _Toc469573676 \h </w:instrText>
            </w:r>
            <w:r w:rsidR="00A1230F">
              <w:rPr>
                <w:noProof/>
                <w:webHidden/>
              </w:rPr>
            </w:r>
            <w:r w:rsidR="00A1230F">
              <w:rPr>
                <w:noProof/>
                <w:webHidden/>
              </w:rPr>
              <w:fldChar w:fldCharType="separate"/>
            </w:r>
            <w:r w:rsidR="00A1230F">
              <w:rPr>
                <w:noProof/>
                <w:webHidden/>
              </w:rPr>
              <w:t>27</w:t>
            </w:r>
            <w:r w:rsidR="00A1230F">
              <w:rPr>
                <w:noProof/>
                <w:webHidden/>
              </w:rPr>
              <w:fldChar w:fldCharType="end"/>
            </w:r>
          </w:hyperlink>
        </w:p>
        <w:p w14:paraId="4016705C" w14:textId="77777777" w:rsidR="00A1230F" w:rsidRDefault="008448BA">
          <w:pPr>
            <w:pStyle w:val="TOC2"/>
            <w:rPr>
              <w:rFonts w:eastAsiaTheme="minorEastAsia"/>
              <w:noProof/>
              <w:lang w:val="en-AU" w:eastAsia="en-AU"/>
            </w:rPr>
          </w:pPr>
          <w:hyperlink w:anchor="_Toc469573677" w:history="1">
            <w:r w:rsidR="00A1230F" w:rsidRPr="00E40432">
              <w:rPr>
                <w:rStyle w:val="Hyperlink"/>
                <w:noProof/>
              </w:rPr>
              <w:t>4.11 Submission 6</w:t>
            </w:r>
            <w:r w:rsidR="00A1230F" w:rsidRPr="00E40432">
              <w:rPr>
                <w:rStyle w:val="Hyperlink"/>
                <w:noProof/>
                <w:spacing w:val="-2"/>
              </w:rPr>
              <w:t xml:space="preserve"> (Plumpton) </w:t>
            </w:r>
            <w:r w:rsidR="00A1230F" w:rsidRPr="00E40432">
              <w:rPr>
                <w:rStyle w:val="Hyperlink"/>
                <w:noProof/>
              </w:rPr>
              <w:t>–</w:t>
            </w:r>
            <w:r w:rsidR="00A1230F" w:rsidRPr="00E40432">
              <w:rPr>
                <w:rStyle w:val="Hyperlink"/>
                <w:noProof/>
                <w:spacing w:val="-2"/>
              </w:rPr>
              <w:t xml:space="preserve"> </w:t>
            </w:r>
            <w:r w:rsidR="00A1230F" w:rsidRPr="00E40432">
              <w:rPr>
                <w:rStyle w:val="Hyperlink"/>
                <w:noProof/>
              </w:rPr>
              <w:t>Urban Design &amp;</w:t>
            </w:r>
            <w:r w:rsidR="00A1230F" w:rsidRPr="00E40432">
              <w:rPr>
                <w:rStyle w:val="Hyperlink"/>
                <w:noProof/>
                <w:spacing w:val="-2"/>
              </w:rPr>
              <w:t xml:space="preserve"> </w:t>
            </w:r>
            <w:r w:rsidR="00A1230F" w:rsidRPr="00E40432">
              <w:rPr>
                <w:rStyle w:val="Hyperlink"/>
                <w:noProof/>
              </w:rPr>
              <w:t xml:space="preserve">Management (on behalf of </w:t>
            </w:r>
            <w:r w:rsidR="00A1230F" w:rsidRPr="00E40432">
              <w:rPr>
                <w:rStyle w:val="Hyperlink"/>
                <w:noProof/>
                <w:spacing w:val="-2"/>
              </w:rPr>
              <w:t>L&amp;G</w:t>
            </w:r>
            <w:r w:rsidR="00A1230F" w:rsidRPr="00E40432">
              <w:rPr>
                <w:rStyle w:val="Hyperlink"/>
                <w:noProof/>
              </w:rPr>
              <w:t xml:space="preserve"> Failli)</w:t>
            </w:r>
            <w:r w:rsidR="00A1230F">
              <w:rPr>
                <w:noProof/>
                <w:webHidden/>
              </w:rPr>
              <w:tab/>
            </w:r>
            <w:r w:rsidR="00A1230F">
              <w:rPr>
                <w:noProof/>
                <w:webHidden/>
              </w:rPr>
              <w:fldChar w:fldCharType="begin"/>
            </w:r>
            <w:r w:rsidR="00A1230F">
              <w:rPr>
                <w:noProof/>
                <w:webHidden/>
              </w:rPr>
              <w:instrText xml:space="preserve"> PAGEREF _Toc469573677 \h </w:instrText>
            </w:r>
            <w:r w:rsidR="00A1230F">
              <w:rPr>
                <w:noProof/>
                <w:webHidden/>
              </w:rPr>
            </w:r>
            <w:r w:rsidR="00A1230F">
              <w:rPr>
                <w:noProof/>
                <w:webHidden/>
              </w:rPr>
              <w:fldChar w:fldCharType="separate"/>
            </w:r>
            <w:r w:rsidR="00A1230F">
              <w:rPr>
                <w:noProof/>
                <w:webHidden/>
              </w:rPr>
              <w:t>27</w:t>
            </w:r>
            <w:r w:rsidR="00A1230F">
              <w:rPr>
                <w:noProof/>
                <w:webHidden/>
              </w:rPr>
              <w:fldChar w:fldCharType="end"/>
            </w:r>
          </w:hyperlink>
        </w:p>
        <w:p w14:paraId="37E1445A" w14:textId="77777777" w:rsidR="00A1230F" w:rsidRDefault="008448BA">
          <w:pPr>
            <w:pStyle w:val="TOC2"/>
            <w:rPr>
              <w:rFonts w:eastAsiaTheme="minorEastAsia"/>
              <w:noProof/>
              <w:lang w:val="en-AU" w:eastAsia="en-AU"/>
            </w:rPr>
          </w:pPr>
          <w:hyperlink w:anchor="_Toc469573678" w:history="1">
            <w:r w:rsidR="00A1230F" w:rsidRPr="00E40432">
              <w:rPr>
                <w:rStyle w:val="Hyperlink"/>
                <w:noProof/>
              </w:rPr>
              <w:t>4.12 Submission 19 (Plumpton)</w:t>
            </w:r>
            <w:r w:rsidR="00A1230F" w:rsidRPr="00E40432">
              <w:rPr>
                <w:rStyle w:val="Hyperlink"/>
                <w:noProof/>
                <w:spacing w:val="-2"/>
              </w:rPr>
              <w:t xml:space="preserve"> </w:t>
            </w:r>
            <w:r w:rsidR="00A1230F" w:rsidRPr="00E40432">
              <w:rPr>
                <w:rStyle w:val="Hyperlink"/>
                <w:noProof/>
              </w:rPr>
              <w:t>–</w:t>
            </w:r>
            <w:r w:rsidR="00A1230F" w:rsidRPr="00E40432">
              <w:rPr>
                <w:rStyle w:val="Hyperlink"/>
                <w:noProof/>
                <w:spacing w:val="-2"/>
              </w:rPr>
              <w:t xml:space="preserve"> </w:t>
            </w:r>
            <w:r w:rsidR="00A1230F" w:rsidRPr="00E40432">
              <w:rPr>
                <w:rStyle w:val="Hyperlink"/>
                <w:noProof/>
              </w:rPr>
              <w:t>Gadens Lawyers (on behalf of Dahua</w:t>
            </w:r>
            <w:r w:rsidR="00A1230F" w:rsidRPr="00E40432">
              <w:rPr>
                <w:rStyle w:val="Hyperlink"/>
                <w:noProof/>
                <w:spacing w:val="-3"/>
              </w:rPr>
              <w:t xml:space="preserve"> </w:t>
            </w:r>
            <w:r w:rsidR="00A1230F" w:rsidRPr="00E40432">
              <w:rPr>
                <w:rStyle w:val="Hyperlink"/>
                <w:noProof/>
              </w:rPr>
              <w:t>Dacland</w:t>
            </w:r>
            <w:r w:rsidR="00A1230F" w:rsidRPr="00E40432">
              <w:rPr>
                <w:rStyle w:val="Hyperlink"/>
                <w:noProof/>
                <w:spacing w:val="-3"/>
              </w:rPr>
              <w:t xml:space="preserve"> </w:t>
            </w:r>
            <w:r w:rsidR="00A1230F" w:rsidRPr="00E40432">
              <w:rPr>
                <w:rStyle w:val="Hyperlink"/>
                <w:noProof/>
              </w:rPr>
              <w:t>Plumpton P/L)</w:t>
            </w:r>
            <w:r w:rsidR="00A1230F">
              <w:rPr>
                <w:noProof/>
                <w:webHidden/>
              </w:rPr>
              <w:tab/>
            </w:r>
            <w:r w:rsidR="00A1230F">
              <w:rPr>
                <w:noProof/>
                <w:webHidden/>
              </w:rPr>
              <w:fldChar w:fldCharType="begin"/>
            </w:r>
            <w:r w:rsidR="00A1230F">
              <w:rPr>
                <w:noProof/>
                <w:webHidden/>
              </w:rPr>
              <w:instrText xml:space="preserve"> PAGEREF _Toc469573678 \h </w:instrText>
            </w:r>
            <w:r w:rsidR="00A1230F">
              <w:rPr>
                <w:noProof/>
                <w:webHidden/>
              </w:rPr>
            </w:r>
            <w:r w:rsidR="00A1230F">
              <w:rPr>
                <w:noProof/>
                <w:webHidden/>
              </w:rPr>
              <w:fldChar w:fldCharType="separate"/>
            </w:r>
            <w:r w:rsidR="00A1230F">
              <w:rPr>
                <w:noProof/>
                <w:webHidden/>
              </w:rPr>
              <w:t>28</w:t>
            </w:r>
            <w:r w:rsidR="00A1230F">
              <w:rPr>
                <w:noProof/>
                <w:webHidden/>
              </w:rPr>
              <w:fldChar w:fldCharType="end"/>
            </w:r>
          </w:hyperlink>
        </w:p>
        <w:p w14:paraId="5807FCBF" w14:textId="77777777" w:rsidR="00A1230F" w:rsidRDefault="008448BA">
          <w:pPr>
            <w:pStyle w:val="TOC3"/>
            <w:tabs>
              <w:tab w:val="right" w:leader="dot" w:pos="9016"/>
            </w:tabs>
            <w:rPr>
              <w:rFonts w:eastAsiaTheme="minorEastAsia"/>
              <w:noProof/>
              <w:lang w:val="en-AU" w:eastAsia="en-AU"/>
            </w:rPr>
          </w:pPr>
          <w:hyperlink w:anchor="_Toc469573679" w:history="1">
            <w:r w:rsidR="00A1230F" w:rsidRPr="00E40432">
              <w:rPr>
                <w:rStyle w:val="Hyperlink"/>
                <w:noProof/>
              </w:rPr>
              <w:t>Re-configuration of community hub</w:t>
            </w:r>
            <w:r w:rsidR="00A1230F">
              <w:rPr>
                <w:noProof/>
                <w:webHidden/>
              </w:rPr>
              <w:tab/>
            </w:r>
            <w:r w:rsidR="00A1230F">
              <w:rPr>
                <w:noProof/>
                <w:webHidden/>
              </w:rPr>
              <w:fldChar w:fldCharType="begin"/>
            </w:r>
            <w:r w:rsidR="00A1230F">
              <w:rPr>
                <w:noProof/>
                <w:webHidden/>
              </w:rPr>
              <w:instrText xml:space="preserve"> PAGEREF _Toc469573679 \h </w:instrText>
            </w:r>
            <w:r w:rsidR="00A1230F">
              <w:rPr>
                <w:noProof/>
                <w:webHidden/>
              </w:rPr>
            </w:r>
            <w:r w:rsidR="00A1230F">
              <w:rPr>
                <w:noProof/>
                <w:webHidden/>
              </w:rPr>
              <w:fldChar w:fldCharType="separate"/>
            </w:r>
            <w:r w:rsidR="00A1230F">
              <w:rPr>
                <w:noProof/>
                <w:webHidden/>
              </w:rPr>
              <w:t>28</w:t>
            </w:r>
            <w:r w:rsidR="00A1230F">
              <w:rPr>
                <w:noProof/>
                <w:webHidden/>
              </w:rPr>
              <w:fldChar w:fldCharType="end"/>
            </w:r>
          </w:hyperlink>
        </w:p>
        <w:p w14:paraId="4578133D" w14:textId="77777777" w:rsidR="00A1230F" w:rsidRDefault="008448BA">
          <w:pPr>
            <w:pStyle w:val="TOC3"/>
            <w:tabs>
              <w:tab w:val="right" w:leader="dot" w:pos="9016"/>
            </w:tabs>
            <w:rPr>
              <w:rFonts w:eastAsiaTheme="minorEastAsia"/>
              <w:noProof/>
              <w:lang w:val="en-AU" w:eastAsia="en-AU"/>
            </w:rPr>
          </w:pPr>
          <w:hyperlink w:anchor="_Toc469573680" w:history="1">
            <w:r w:rsidR="00A1230F" w:rsidRPr="00E40432">
              <w:rPr>
                <w:rStyle w:val="Hyperlink"/>
                <w:noProof/>
              </w:rPr>
              <w:t>Alignment of Hume Drive</w:t>
            </w:r>
            <w:r w:rsidR="00A1230F">
              <w:rPr>
                <w:noProof/>
                <w:webHidden/>
              </w:rPr>
              <w:tab/>
            </w:r>
            <w:r w:rsidR="00A1230F">
              <w:rPr>
                <w:noProof/>
                <w:webHidden/>
              </w:rPr>
              <w:fldChar w:fldCharType="begin"/>
            </w:r>
            <w:r w:rsidR="00A1230F">
              <w:rPr>
                <w:noProof/>
                <w:webHidden/>
              </w:rPr>
              <w:instrText xml:space="preserve"> PAGEREF _Toc469573680 \h </w:instrText>
            </w:r>
            <w:r w:rsidR="00A1230F">
              <w:rPr>
                <w:noProof/>
                <w:webHidden/>
              </w:rPr>
            </w:r>
            <w:r w:rsidR="00A1230F">
              <w:rPr>
                <w:noProof/>
                <w:webHidden/>
              </w:rPr>
              <w:fldChar w:fldCharType="separate"/>
            </w:r>
            <w:r w:rsidR="00A1230F">
              <w:rPr>
                <w:noProof/>
                <w:webHidden/>
              </w:rPr>
              <w:t>28</w:t>
            </w:r>
            <w:r w:rsidR="00A1230F">
              <w:rPr>
                <w:noProof/>
                <w:webHidden/>
              </w:rPr>
              <w:fldChar w:fldCharType="end"/>
            </w:r>
          </w:hyperlink>
        </w:p>
        <w:p w14:paraId="2A86DB8F" w14:textId="77777777" w:rsidR="00A1230F" w:rsidRDefault="008448BA">
          <w:pPr>
            <w:pStyle w:val="TOC3"/>
            <w:tabs>
              <w:tab w:val="right" w:leader="dot" w:pos="9016"/>
            </w:tabs>
            <w:rPr>
              <w:rFonts w:eastAsiaTheme="minorEastAsia"/>
              <w:noProof/>
              <w:lang w:val="en-AU" w:eastAsia="en-AU"/>
            </w:rPr>
          </w:pPr>
          <w:hyperlink w:anchor="_Toc469573681" w:history="1">
            <w:r w:rsidR="00A1230F" w:rsidRPr="00E40432">
              <w:rPr>
                <w:rStyle w:val="Hyperlink"/>
                <w:noProof/>
              </w:rPr>
              <w:t>Gas pipeline easement interface – Appendix H</w:t>
            </w:r>
            <w:r w:rsidR="00A1230F">
              <w:rPr>
                <w:noProof/>
                <w:webHidden/>
              </w:rPr>
              <w:tab/>
            </w:r>
            <w:r w:rsidR="00A1230F">
              <w:rPr>
                <w:noProof/>
                <w:webHidden/>
              </w:rPr>
              <w:fldChar w:fldCharType="begin"/>
            </w:r>
            <w:r w:rsidR="00A1230F">
              <w:rPr>
                <w:noProof/>
                <w:webHidden/>
              </w:rPr>
              <w:instrText xml:space="preserve"> PAGEREF _Toc469573681 \h </w:instrText>
            </w:r>
            <w:r w:rsidR="00A1230F">
              <w:rPr>
                <w:noProof/>
                <w:webHidden/>
              </w:rPr>
            </w:r>
            <w:r w:rsidR="00A1230F">
              <w:rPr>
                <w:noProof/>
                <w:webHidden/>
              </w:rPr>
              <w:fldChar w:fldCharType="separate"/>
            </w:r>
            <w:r w:rsidR="00A1230F">
              <w:rPr>
                <w:noProof/>
                <w:webHidden/>
              </w:rPr>
              <w:t>28</w:t>
            </w:r>
            <w:r w:rsidR="00A1230F">
              <w:rPr>
                <w:noProof/>
                <w:webHidden/>
              </w:rPr>
              <w:fldChar w:fldCharType="end"/>
            </w:r>
          </w:hyperlink>
        </w:p>
        <w:p w14:paraId="12A1D2F8" w14:textId="77777777" w:rsidR="00A1230F" w:rsidRDefault="008448BA">
          <w:pPr>
            <w:pStyle w:val="TOC3"/>
            <w:tabs>
              <w:tab w:val="right" w:leader="dot" w:pos="9016"/>
            </w:tabs>
            <w:rPr>
              <w:rFonts w:eastAsiaTheme="minorEastAsia"/>
              <w:noProof/>
              <w:lang w:val="en-AU" w:eastAsia="en-AU"/>
            </w:rPr>
          </w:pPr>
          <w:hyperlink w:anchor="_Toc469573682" w:history="1">
            <w:r w:rsidR="00A1230F" w:rsidRPr="00E40432">
              <w:rPr>
                <w:rStyle w:val="Hyperlink"/>
                <w:noProof/>
              </w:rPr>
              <w:t>Local park text</w:t>
            </w:r>
            <w:r w:rsidR="00A1230F">
              <w:rPr>
                <w:noProof/>
                <w:webHidden/>
              </w:rPr>
              <w:tab/>
            </w:r>
            <w:r w:rsidR="00A1230F">
              <w:rPr>
                <w:noProof/>
                <w:webHidden/>
              </w:rPr>
              <w:fldChar w:fldCharType="begin"/>
            </w:r>
            <w:r w:rsidR="00A1230F">
              <w:rPr>
                <w:noProof/>
                <w:webHidden/>
              </w:rPr>
              <w:instrText xml:space="preserve"> PAGEREF _Toc469573682 \h </w:instrText>
            </w:r>
            <w:r w:rsidR="00A1230F">
              <w:rPr>
                <w:noProof/>
                <w:webHidden/>
              </w:rPr>
            </w:r>
            <w:r w:rsidR="00A1230F">
              <w:rPr>
                <w:noProof/>
                <w:webHidden/>
              </w:rPr>
              <w:fldChar w:fldCharType="separate"/>
            </w:r>
            <w:r w:rsidR="00A1230F">
              <w:rPr>
                <w:noProof/>
                <w:webHidden/>
              </w:rPr>
              <w:t>28</w:t>
            </w:r>
            <w:r w:rsidR="00A1230F">
              <w:rPr>
                <w:noProof/>
                <w:webHidden/>
              </w:rPr>
              <w:fldChar w:fldCharType="end"/>
            </w:r>
          </w:hyperlink>
        </w:p>
        <w:p w14:paraId="65273BA6" w14:textId="77777777" w:rsidR="00A1230F" w:rsidRDefault="008448BA">
          <w:pPr>
            <w:pStyle w:val="TOC3"/>
            <w:tabs>
              <w:tab w:val="right" w:leader="dot" w:pos="9016"/>
            </w:tabs>
            <w:rPr>
              <w:rFonts w:eastAsiaTheme="minorEastAsia"/>
              <w:noProof/>
              <w:lang w:val="en-AU" w:eastAsia="en-AU"/>
            </w:rPr>
          </w:pPr>
          <w:hyperlink w:anchor="_Toc469573683" w:history="1">
            <w:r w:rsidR="00A1230F" w:rsidRPr="00E40432">
              <w:rPr>
                <w:rStyle w:val="Hyperlink"/>
                <w:noProof/>
              </w:rPr>
              <w:t>Beatty’s Road</w:t>
            </w:r>
            <w:r w:rsidR="00A1230F">
              <w:rPr>
                <w:noProof/>
                <w:webHidden/>
              </w:rPr>
              <w:tab/>
            </w:r>
            <w:r w:rsidR="00A1230F">
              <w:rPr>
                <w:noProof/>
                <w:webHidden/>
              </w:rPr>
              <w:fldChar w:fldCharType="begin"/>
            </w:r>
            <w:r w:rsidR="00A1230F">
              <w:rPr>
                <w:noProof/>
                <w:webHidden/>
              </w:rPr>
              <w:instrText xml:space="preserve"> PAGEREF _Toc469573683 \h </w:instrText>
            </w:r>
            <w:r w:rsidR="00A1230F">
              <w:rPr>
                <w:noProof/>
                <w:webHidden/>
              </w:rPr>
            </w:r>
            <w:r w:rsidR="00A1230F">
              <w:rPr>
                <w:noProof/>
                <w:webHidden/>
              </w:rPr>
              <w:fldChar w:fldCharType="separate"/>
            </w:r>
            <w:r w:rsidR="00A1230F">
              <w:rPr>
                <w:noProof/>
                <w:webHidden/>
              </w:rPr>
              <w:t>29</w:t>
            </w:r>
            <w:r w:rsidR="00A1230F">
              <w:rPr>
                <w:noProof/>
                <w:webHidden/>
              </w:rPr>
              <w:fldChar w:fldCharType="end"/>
            </w:r>
          </w:hyperlink>
        </w:p>
        <w:p w14:paraId="2D283B0E" w14:textId="77777777" w:rsidR="00A1230F" w:rsidRDefault="008448BA">
          <w:pPr>
            <w:pStyle w:val="TOC3"/>
            <w:tabs>
              <w:tab w:val="right" w:leader="dot" w:pos="9016"/>
            </w:tabs>
            <w:rPr>
              <w:rFonts w:eastAsiaTheme="minorEastAsia"/>
              <w:noProof/>
              <w:lang w:val="en-AU" w:eastAsia="en-AU"/>
            </w:rPr>
          </w:pPr>
          <w:hyperlink w:anchor="_Toc469573684" w:history="1">
            <w:r w:rsidR="00A1230F" w:rsidRPr="00E40432">
              <w:rPr>
                <w:rStyle w:val="Hyperlink"/>
                <w:noProof/>
              </w:rPr>
              <w:t>Width of drainage reserves</w:t>
            </w:r>
            <w:r w:rsidR="00A1230F">
              <w:rPr>
                <w:noProof/>
                <w:webHidden/>
              </w:rPr>
              <w:tab/>
            </w:r>
            <w:r w:rsidR="00A1230F">
              <w:rPr>
                <w:noProof/>
                <w:webHidden/>
              </w:rPr>
              <w:fldChar w:fldCharType="begin"/>
            </w:r>
            <w:r w:rsidR="00A1230F">
              <w:rPr>
                <w:noProof/>
                <w:webHidden/>
              </w:rPr>
              <w:instrText xml:space="preserve"> PAGEREF _Toc469573684 \h </w:instrText>
            </w:r>
            <w:r w:rsidR="00A1230F">
              <w:rPr>
                <w:noProof/>
                <w:webHidden/>
              </w:rPr>
            </w:r>
            <w:r w:rsidR="00A1230F">
              <w:rPr>
                <w:noProof/>
                <w:webHidden/>
              </w:rPr>
              <w:fldChar w:fldCharType="separate"/>
            </w:r>
            <w:r w:rsidR="00A1230F">
              <w:rPr>
                <w:noProof/>
                <w:webHidden/>
              </w:rPr>
              <w:t>29</w:t>
            </w:r>
            <w:r w:rsidR="00A1230F">
              <w:rPr>
                <w:noProof/>
                <w:webHidden/>
              </w:rPr>
              <w:fldChar w:fldCharType="end"/>
            </w:r>
          </w:hyperlink>
        </w:p>
        <w:p w14:paraId="7B6E4333" w14:textId="77777777" w:rsidR="00A1230F" w:rsidRDefault="008448BA">
          <w:pPr>
            <w:pStyle w:val="TOC3"/>
            <w:tabs>
              <w:tab w:val="right" w:leader="dot" w:pos="9016"/>
            </w:tabs>
            <w:rPr>
              <w:rFonts w:eastAsiaTheme="minorEastAsia"/>
              <w:noProof/>
              <w:lang w:val="en-AU" w:eastAsia="en-AU"/>
            </w:rPr>
          </w:pPr>
          <w:hyperlink w:anchor="_Toc469573685" w:history="1">
            <w:r w:rsidR="00A1230F" w:rsidRPr="00E40432">
              <w:rPr>
                <w:rStyle w:val="Hyperlink"/>
                <w:noProof/>
              </w:rPr>
              <w:t>Bridge PBR-02</w:t>
            </w:r>
            <w:r w:rsidR="00A1230F">
              <w:rPr>
                <w:noProof/>
                <w:webHidden/>
              </w:rPr>
              <w:tab/>
            </w:r>
            <w:r w:rsidR="00A1230F">
              <w:rPr>
                <w:noProof/>
                <w:webHidden/>
              </w:rPr>
              <w:fldChar w:fldCharType="begin"/>
            </w:r>
            <w:r w:rsidR="00A1230F">
              <w:rPr>
                <w:noProof/>
                <w:webHidden/>
              </w:rPr>
              <w:instrText xml:space="preserve"> PAGEREF _Toc469573685 \h </w:instrText>
            </w:r>
            <w:r w:rsidR="00A1230F">
              <w:rPr>
                <w:noProof/>
                <w:webHidden/>
              </w:rPr>
            </w:r>
            <w:r w:rsidR="00A1230F">
              <w:rPr>
                <w:noProof/>
                <w:webHidden/>
              </w:rPr>
              <w:fldChar w:fldCharType="separate"/>
            </w:r>
            <w:r w:rsidR="00A1230F">
              <w:rPr>
                <w:noProof/>
                <w:webHidden/>
              </w:rPr>
              <w:t>29</w:t>
            </w:r>
            <w:r w:rsidR="00A1230F">
              <w:rPr>
                <w:noProof/>
                <w:webHidden/>
              </w:rPr>
              <w:fldChar w:fldCharType="end"/>
            </w:r>
          </w:hyperlink>
        </w:p>
        <w:p w14:paraId="501507CB" w14:textId="77777777" w:rsidR="00A1230F" w:rsidRDefault="008448BA">
          <w:pPr>
            <w:pStyle w:val="TOC2"/>
            <w:rPr>
              <w:rFonts w:eastAsiaTheme="minorEastAsia"/>
              <w:noProof/>
              <w:lang w:val="en-AU" w:eastAsia="en-AU"/>
            </w:rPr>
          </w:pPr>
          <w:hyperlink w:anchor="_Toc469573686" w:history="1">
            <w:r w:rsidR="00A1230F" w:rsidRPr="00E40432">
              <w:rPr>
                <w:rStyle w:val="Hyperlink"/>
                <w:noProof/>
              </w:rPr>
              <w:t>4.13 Submission 9 (Kororoit) – Moremac Property Group P/L</w:t>
            </w:r>
            <w:r w:rsidR="00A1230F">
              <w:rPr>
                <w:noProof/>
                <w:webHidden/>
              </w:rPr>
              <w:tab/>
            </w:r>
            <w:r w:rsidR="00A1230F">
              <w:rPr>
                <w:noProof/>
                <w:webHidden/>
              </w:rPr>
              <w:fldChar w:fldCharType="begin"/>
            </w:r>
            <w:r w:rsidR="00A1230F">
              <w:rPr>
                <w:noProof/>
                <w:webHidden/>
              </w:rPr>
              <w:instrText xml:space="preserve"> PAGEREF _Toc469573686 \h </w:instrText>
            </w:r>
            <w:r w:rsidR="00A1230F">
              <w:rPr>
                <w:noProof/>
                <w:webHidden/>
              </w:rPr>
            </w:r>
            <w:r w:rsidR="00A1230F">
              <w:rPr>
                <w:noProof/>
                <w:webHidden/>
              </w:rPr>
              <w:fldChar w:fldCharType="separate"/>
            </w:r>
            <w:r w:rsidR="00A1230F">
              <w:rPr>
                <w:noProof/>
                <w:webHidden/>
              </w:rPr>
              <w:t>29</w:t>
            </w:r>
            <w:r w:rsidR="00A1230F">
              <w:rPr>
                <w:noProof/>
                <w:webHidden/>
              </w:rPr>
              <w:fldChar w:fldCharType="end"/>
            </w:r>
          </w:hyperlink>
        </w:p>
        <w:p w14:paraId="51D8D1C9" w14:textId="77777777" w:rsidR="00A1230F" w:rsidRDefault="008448BA">
          <w:pPr>
            <w:pStyle w:val="TOC3"/>
            <w:tabs>
              <w:tab w:val="right" w:leader="dot" w:pos="9016"/>
            </w:tabs>
            <w:rPr>
              <w:rFonts w:eastAsiaTheme="minorEastAsia"/>
              <w:noProof/>
              <w:lang w:val="en-AU" w:eastAsia="en-AU"/>
            </w:rPr>
          </w:pPr>
          <w:hyperlink w:anchor="_Toc469573687" w:history="1">
            <w:r w:rsidR="00A1230F" w:rsidRPr="00E40432">
              <w:rPr>
                <w:rStyle w:val="Hyperlink"/>
                <w:noProof/>
              </w:rPr>
              <w:t>Overland flow path (north of SR-09)</w:t>
            </w:r>
            <w:r w:rsidR="00A1230F">
              <w:rPr>
                <w:noProof/>
                <w:webHidden/>
              </w:rPr>
              <w:tab/>
            </w:r>
            <w:r w:rsidR="00A1230F">
              <w:rPr>
                <w:noProof/>
                <w:webHidden/>
              </w:rPr>
              <w:fldChar w:fldCharType="begin"/>
            </w:r>
            <w:r w:rsidR="00A1230F">
              <w:rPr>
                <w:noProof/>
                <w:webHidden/>
              </w:rPr>
              <w:instrText xml:space="preserve"> PAGEREF _Toc469573687 \h </w:instrText>
            </w:r>
            <w:r w:rsidR="00A1230F">
              <w:rPr>
                <w:noProof/>
                <w:webHidden/>
              </w:rPr>
            </w:r>
            <w:r w:rsidR="00A1230F">
              <w:rPr>
                <w:noProof/>
                <w:webHidden/>
              </w:rPr>
              <w:fldChar w:fldCharType="separate"/>
            </w:r>
            <w:r w:rsidR="00A1230F">
              <w:rPr>
                <w:noProof/>
                <w:webHidden/>
              </w:rPr>
              <w:t>30</w:t>
            </w:r>
            <w:r w:rsidR="00A1230F">
              <w:rPr>
                <w:noProof/>
                <w:webHidden/>
              </w:rPr>
              <w:fldChar w:fldCharType="end"/>
            </w:r>
          </w:hyperlink>
        </w:p>
        <w:p w14:paraId="05F4DA19" w14:textId="77777777" w:rsidR="00A1230F" w:rsidRDefault="008448BA">
          <w:pPr>
            <w:pStyle w:val="TOC3"/>
            <w:tabs>
              <w:tab w:val="right" w:leader="dot" w:pos="9016"/>
            </w:tabs>
            <w:rPr>
              <w:rFonts w:eastAsiaTheme="minorEastAsia"/>
              <w:noProof/>
              <w:lang w:val="en-AU" w:eastAsia="en-AU"/>
            </w:rPr>
          </w:pPr>
          <w:hyperlink w:anchor="_Toc469573688" w:history="1">
            <w:r w:rsidR="00A1230F" w:rsidRPr="00E40432">
              <w:rPr>
                <w:rStyle w:val="Hyperlink"/>
                <w:noProof/>
              </w:rPr>
              <w:t>Pedestrian/ cyclist bridge PBR-08</w:t>
            </w:r>
            <w:r w:rsidR="00A1230F">
              <w:rPr>
                <w:noProof/>
                <w:webHidden/>
              </w:rPr>
              <w:tab/>
            </w:r>
            <w:r w:rsidR="00A1230F">
              <w:rPr>
                <w:noProof/>
                <w:webHidden/>
              </w:rPr>
              <w:fldChar w:fldCharType="begin"/>
            </w:r>
            <w:r w:rsidR="00A1230F">
              <w:rPr>
                <w:noProof/>
                <w:webHidden/>
              </w:rPr>
              <w:instrText xml:space="preserve"> PAGEREF _Toc469573688 \h </w:instrText>
            </w:r>
            <w:r w:rsidR="00A1230F">
              <w:rPr>
                <w:noProof/>
                <w:webHidden/>
              </w:rPr>
            </w:r>
            <w:r w:rsidR="00A1230F">
              <w:rPr>
                <w:noProof/>
                <w:webHidden/>
              </w:rPr>
              <w:fldChar w:fldCharType="separate"/>
            </w:r>
            <w:r w:rsidR="00A1230F">
              <w:rPr>
                <w:noProof/>
                <w:webHidden/>
              </w:rPr>
              <w:t>30</w:t>
            </w:r>
            <w:r w:rsidR="00A1230F">
              <w:rPr>
                <w:noProof/>
                <w:webHidden/>
              </w:rPr>
              <w:fldChar w:fldCharType="end"/>
            </w:r>
          </w:hyperlink>
        </w:p>
        <w:p w14:paraId="1D5FAEE6" w14:textId="77777777" w:rsidR="00A1230F" w:rsidRDefault="008448BA">
          <w:pPr>
            <w:pStyle w:val="TOC3"/>
            <w:tabs>
              <w:tab w:val="right" w:leader="dot" w:pos="9016"/>
            </w:tabs>
            <w:rPr>
              <w:rFonts w:eastAsiaTheme="minorEastAsia"/>
              <w:noProof/>
              <w:lang w:val="en-AU" w:eastAsia="en-AU"/>
            </w:rPr>
          </w:pPr>
          <w:hyperlink w:anchor="_Toc469573689" w:history="1">
            <w:r w:rsidR="00A1230F" w:rsidRPr="00E40432">
              <w:rPr>
                <w:rStyle w:val="Hyperlink"/>
                <w:noProof/>
              </w:rPr>
              <w:t>Clause 4.2</w:t>
            </w:r>
            <w:r w:rsidR="00A1230F">
              <w:rPr>
                <w:noProof/>
                <w:webHidden/>
              </w:rPr>
              <w:tab/>
            </w:r>
            <w:r w:rsidR="00A1230F">
              <w:rPr>
                <w:noProof/>
                <w:webHidden/>
              </w:rPr>
              <w:fldChar w:fldCharType="begin"/>
            </w:r>
            <w:r w:rsidR="00A1230F">
              <w:rPr>
                <w:noProof/>
                <w:webHidden/>
              </w:rPr>
              <w:instrText xml:space="preserve"> PAGEREF _Toc469573689 \h </w:instrText>
            </w:r>
            <w:r w:rsidR="00A1230F">
              <w:rPr>
                <w:noProof/>
                <w:webHidden/>
              </w:rPr>
            </w:r>
            <w:r w:rsidR="00A1230F">
              <w:rPr>
                <w:noProof/>
                <w:webHidden/>
              </w:rPr>
              <w:fldChar w:fldCharType="separate"/>
            </w:r>
            <w:r w:rsidR="00A1230F">
              <w:rPr>
                <w:noProof/>
                <w:webHidden/>
              </w:rPr>
              <w:t>31</w:t>
            </w:r>
            <w:r w:rsidR="00A1230F">
              <w:rPr>
                <w:noProof/>
                <w:webHidden/>
              </w:rPr>
              <w:fldChar w:fldCharType="end"/>
            </w:r>
          </w:hyperlink>
        </w:p>
        <w:p w14:paraId="7AC581C5" w14:textId="77777777" w:rsidR="00A1230F" w:rsidRDefault="008448BA">
          <w:pPr>
            <w:pStyle w:val="TOC3"/>
            <w:tabs>
              <w:tab w:val="right" w:leader="dot" w:pos="9016"/>
            </w:tabs>
            <w:rPr>
              <w:rFonts w:eastAsiaTheme="minorEastAsia"/>
              <w:noProof/>
              <w:lang w:val="en-AU" w:eastAsia="en-AU"/>
            </w:rPr>
          </w:pPr>
          <w:hyperlink w:anchor="_Toc469573690" w:history="1">
            <w:r w:rsidR="00A1230F" w:rsidRPr="00E40432">
              <w:rPr>
                <w:rStyle w:val="Hyperlink"/>
                <w:noProof/>
              </w:rPr>
              <w:t>Non-government school – Requirement 26</w:t>
            </w:r>
            <w:r w:rsidR="00A1230F">
              <w:rPr>
                <w:noProof/>
                <w:webHidden/>
              </w:rPr>
              <w:tab/>
            </w:r>
            <w:r w:rsidR="00A1230F">
              <w:rPr>
                <w:noProof/>
                <w:webHidden/>
              </w:rPr>
              <w:fldChar w:fldCharType="begin"/>
            </w:r>
            <w:r w:rsidR="00A1230F">
              <w:rPr>
                <w:noProof/>
                <w:webHidden/>
              </w:rPr>
              <w:instrText xml:space="preserve"> PAGEREF _Toc469573690 \h </w:instrText>
            </w:r>
            <w:r w:rsidR="00A1230F">
              <w:rPr>
                <w:noProof/>
                <w:webHidden/>
              </w:rPr>
            </w:r>
            <w:r w:rsidR="00A1230F">
              <w:rPr>
                <w:noProof/>
                <w:webHidden/>
              </w:rPr>
              <w:fldChar w:fldCharType="separate"/>
            </w:r>
            <w:r w:rsidR="00A1230F">
              <w:rPr>
                <w:noProof/>
                <w:webHidden/>
              </w:rPr>
              <w:t>31</w:t>
            </w:r>
            <w:r w:rsidR="00A1230F">
              <w:rPr>
                <w:noProof/>
                <w:webHidden/>
              </w:rPr>
              <w:fldChar w:fldCharType="end"/>
            </w:r>
          </w:hyperlink>
        </w:p>
        <w:p w14:paraId="06106911" w14:textId="77777777" w:rsidR="00A1230F" w:rsidRDefault="008448BA">
          <w:pPr>
            <w:pStyle w:val="TOC2"/>
            <w:rPr>
              <w:rFonts w:eastAsiaTheme="minorEastAsia"/>
              <w:noProof/>
              <w:lang w:val="en-AU" w:eastAsia="en-AU"/>
            </w:rPr>
          </w:pPr>
          <w:hyperlink w:anchor="_Toc469573691" w:history="1">
            <w:r w:rsidR="00A1230F" w:rsidRPr="00E40432">
              <w:rPr>
                <w:rStyle w:val="Hyperlink"/>
                <w:noProof/>
              </w:rPr>
              <w:t>Submission 15 (Kororoit) – Saviour and Lucy Debrincat</w:t>
            </w:r>
            <w:r w:rsidR="00A1230F">
              <w:rPr>
                <w:noProof/>
                <w:webHidden/>
              </w:rPr>
              <w:tab/>
            </w:r>
            <w:r w:rsidR="00A1230F">
              <w:rPr>
                <w:noProof/>
                <w:webHidden/>
              </w:rPr>
              <w:fldChar w:fldCharType="begin"/>
            </w:r>
            <w:r w:rsidR="00A1230F">
              <w:rPr>
                <w:noProof/>
                <w:webHidden/>
              </w:rPr>
              <w:instrText xml:space="preserve"> PAGEREF _Toc469573691 \h </w:instrText>
            </w:r>
            <w:r w:rsidR="00A1230F">
              <w:rPr>
                <w:noProof/>
                <w:webHidden/>
              </w:rPr>
            </w:r>
            <w:r w:rsidR="00A1230F">
              <w:rPr>
                <w:noProof/>
                <w:webHidden/>
              </w:rPr>
              <w:fldChar w:fldCharType="separate"/>
            </w:r>
            <w:r w:rsidR="00A1230F">
              <w:rPr>
                <w:noProof/>
                <w:webHidden/>
              </w:rPr>
              <w:t>31</w:t>
            </w:r>
            <w:r w:rsidR="00A1230F">
              <w:rPr>
                <w:noProof/>
                <w:webHidden/>
              </w:rPr>
              <w:fldChar w:fldCharType="end"/>
            </w:r>
          </w:hyperlink>
        </w:p>
        <w:p w14:paraId="3E9B6673" w14:textId="77777777" w:rsidR="00A1230F" w:rsidRDefault="008448BA">
          <w:pPr>
            <w:pStyle w:val="TOC1"/>
            <w:tabs>
              <w:tab w:val="right" w:leader="dot" w:pos="9016"/>
            </w:tabs>
            <w:rPr>
              <w:rFonts w:eastAsiaTheme="minorEastAsia"/>
              <w:noProof/>
              <w:lang w:val="en-AU" w:eastAsia="en-AU"/>
            </w:rPr>
          </w:pPr>
          <w:hyperlink w:anchor="_Toc469573692" w:history="1">
            <w:r w:rsidR="00A1230F" w:rsidRPr="00E40432">
              <w:rPr>
                <w:rStyle w:val="Hyperlink"/>
                <w:b/>
                <w:noProof/>
                <w:lang w:val="en-AU"/>
              </w:rPr>
              <w:t>5. Notes regarding submitters who did not appear</w:t>
            </w:r>
            <w:r w:rsidR="00A1230F">
              <w:rPr>
                <w:noProof/>
                <w:webHidden/>
              </w:rPr>
              <w:tab/>
            </w:r>
            <w:r w:rsidR="00A1230F">
              <w:rPr>
                <w:noProof/>
                <w:webHidden/>
              </w:rPr>
              <w:fldChar w:fldCharType="begin"/>
            </w:r>
            <w:r w:rsidR="00A1230F">
              <w:rPr>
                <w:noProof/>
                <w:webHidden/>
              </w:rPr>
              <w:instrText xml:space="preserve"> PAGEREF _Toc469573692 \h </w:instrText>
            </w:r>
            <w:r w:rsidR="00A1230F">
              <w:rPr>
                <w:noProof/>
                <w:webHidden/>
              </w:rPr>
            </w:r>
            <w:r w:rsidR="00A1230F">
              <w:rPr>
                <w:noProof/>
                <w:webHidden/>
              </w:rPr>
              <w:fldChar w:fldCharType="separate"/>
            </w:r>
            <w:r w:rsidR="00A1230F">
              <w:rPr>
                <w:noProof/>
                <w:webHidden/>
              </w:rPr>
              <w:t>33</w:t>
            </w:r>
            <w:r w:rsidR="00A1230F">
              <w:rPr>
                <w:noProof/>
                <w:webHidden/>
              </w:rPr>
              <w:fldChar w:fldCharType="end"/>
            </w:r>
          </w:hyperlink>
        </w:p>
        <w:p w14:paraId="6AB6293C" w14:textId="77777777" w:rsidR="00A1230F" w:rsidRDefault="008448BA">
          <w:pPr>
            <w:pStyle w:val="TOC2"/>
            <w:rPr>
              <w:rFonts w:eastAsiaTheme="minorEastAsia"/>
              <w:noProof/>
              <w:lang w:val="en-AU" w:eastAsia="en-AU"/>
            </w:rPr>
          </w:pPr>
          <w:hyperlink w:anchor="_Toc469573693" w:history="1">
            <w:r w:rsidR="00A1230F" w:rsidRPr="00E40432">
              <w:rPr>
                <w:rStyle w:val="Hyperlink"/>
                <w:noProof/>
              </w:rPr>
              <w:t>5.1 Submission 7 (Plumpton) – Urban Terrain</w:t>
            </w:r>
            <w:r w:rsidR="00A1230F">
              <w:rPr>
                <w:noProof/>
                <w:webHidden/>
              </w:rPr>
              <w:tab/>
            </w:r>
            <w:r w:rsidR="00A1230F">
              <w:rPr>
                <w:noProof/>
                <w:webHidden/>
              </w:rPr>
              <w:fldChar w:fldCharType="begin"/>
            </w:r>
            <w:r w:rsidR="00A1230F">
              <w:rPr>
                <w:noProof/>
                <w:webHidden/>
              </w:rPr>
              <w:instrText xml:space="preserve"> PAGEREF _Toc469573693 \h </w:instrText>
            </w:r>
            <w:r w:rsidR="00A1230F">
              <w:rPr>
                <w:noProof/>
                <w:webHidden/>
              </w:rPr>
            </w:r>
            <w:r w:rsidR="00A1230F">
              <w:rPr>
                <w:noProof/>
                <w:webHidden/>
              </w:rPr>
              <w:fldChar w:fldCharType="separate"/>
            </w:r>
            <w:r w:rsidR="00A1230F">
              <w:rPr>
                <w:noProof/>
                <w:webHidden/>
              </w:rPr>
              <w:t>33</w:t>
            </w:r>
            <w:r w:rsidR="00A1230F">
              <w:rPr>
                <w:noProof/>
                <w:webHidden/>
              </w:rPr>
              <w:fldChar w:fldCharType="end"/>
            </w:r>
          </w:hyperlink>
        </w:p>
        <w:p w14:paraId="6958CC5E" w14:textId="77777777" w:rsidR="00A1230F" w:rsidRDefault="008448BA">
          <w:pPr>
            <w:pStyle w:val="TOC2"/>
            <w:rPr>
              <w:rFonts w:eastAsiaTheme="minorEastAsia"/>
              <w:noProof/>
              <w:lang w:val="en-AU" w:eastAsia="en-AU"/>
            </w:rPr>
          </w:pPr>
          <w:hyperlink w:anchor="_Toc469573694" w:history="1">
            <w:r w:rsidR="00A1230F" w:rsidRPr="00E40432">
              <w:rPr>
                <w:rStyle w:val="Hyperlink"/>
                <w:noProof/>
              </w:rPr>
              <w:t>5.2 Submission 10 (Plumpton) – SJB Planning (on behalf of Landeq Pty Ltd)</w:t>
            </w:r>
            <w:r w:rsidR="00A1230F">
              <w:rPr>
                <w:noProof/>
                <w:webHidden/>
              </w:rPr>
              <w:tab/>
            </w:r>
            <w:r w:rsidR="00A1230F">
              <w:rPr>
                <w:noProof/>
                <w:webHidden/>
              </w:rPr>
              <w:fldChar w:fldCharType="begin"/>
            </w:r>
            <w:r w:rsidR="00A1230F">
              <w:rPr>
                <w:noProof/>
                <w:webHidden/>
              </w:rPr>
              <w:instrText xml:space="preserve"> PAGEREF _Toc469573694 \h </w:instrText>
            </w:r>
            <w:r w:rsidR="00A1230F">
              <w:rPr>
                <w:noProof/>
                <w:webHidden/>
              </w:rPr>
            </w:r>
            <w:r w:rsidR="00A1230F">
              <w:rPr>
                <w:noProof/>
                <w:webHidden/>
              </w:rPr>
              <w:fldChar w:fldCharType="separate"/>
            </w:r>
            <w:r w:rsidR="00A1230F">
              <w:rPr>
                <w:noProof/>
                <w:webHidden/>
              </w:rPr>
              <w:t>33</w:t>
            </w:r>
            <w:r w:rsidR="00A1230F">
              <w:rPr>
                <w:noProof/>
                <w:webHidden/>
              </w:rPr>
              <w:fldChar w:fldCharType="end"/>
            </w:r>
          </w:hyperlink>
        </w:p>
        <w:p w14:paraId="0EA52FBB" w14:textId="77777777" w:rsidR="00A1230F" w:rsidRDefault="008448BA">
          <w:pPr>
            <w:pStyle w:val="TOC3"/>
            <w:tabs>
              <w:tab w:val="right" w:leader="dot" w:pos="9016"/>
            </w:tabs>
            <w:rPr>
              <w:rFonts w:eastAsiaTheme="minorEastAsia"/>
              <w:noProof/>
              <w:lang w:val="en-AU" w:eastAsia="en-AU"/>
            </w:rPr>
          </w:pPr>
          <w:hyperlink w:anchor="_Toc469573695" w:history="1">
            <w:r w:rsidR="00A1230F" w:rsidRPr="00E40432">
              <w:rPr>
                <w:rStyle w:val="Hyperlink"/>
                <w:noProof/>
              </w:rPr>
              <w:t>Flexibility in location of local parks</w:t>
            </w:r>
            <w:r w:rsidR="00A1230F">
              <w:rPr>
                <w:noProof/>
                <w:webHidden/>
              </w:rPr>
              <w:tab/>
            </w:r>
            <w:r w:rsidR="00A1230F">
              <w:rPr>
                <w:noProof/>
                <w:webHidden/>
              </w:rPr>
              <w:fldChar w:fldCharType="begin"/>
            </w:r>
            <w:r w:rsidR="00A1230F">
              <w:rPr>
                <w:noProof/>
                <w:webHidden/>
              </w:rPr>
              <w:instrText xml:space="preserve"> PAGEREF _Toc469573695 \h </w:instrText>
            </w:r>
            <w:r w:rsidR="00A1230F">
              <w:rPr>
                <w:noProof/>
                <w:webHidden/>
              </w:rPr>
            </w:r>
            <w:r w:rsidR="00A1230F">
              <w:rPr>
                <w:noProof/>
                <w:webHidden/>
              </w:rPr>
              <w:fldChar w:fldCharType="separate"/>
            </w:r>
            <w:r w:rsidR="00A1230F">
              <w:rPr>
                <w:noProof/>
                <w:webHidden/>
              </w:rPr>
              <w:t>33</w:t>
            </w:r>
            <w:r w:rsidR="00A1230F">
              <w:rPr>
                <w:noProof/>
                <w:webHidden/>
              </w:rPr>
              <w:fldChar w:fldCharType="end"/>
            </w:r>
          </w:hyperlink>
        </w:p>
        <w:p w14:paraId="7224DCE4" w14:textId="77777777" w:rsidR="00A1230F" w:rsidRDefault="008448BA">
          <w:pPr>
            <w:pStyle w:val="TOC2"/>
            <w:tabs>
              <w:tab w:val="left" w:pos="660"/>
            </w:tabs>
            <w:rPr>
              <w:rFonts w:eastAsiaTheme="minorEastAsia"/>
              <w:noProof/>
              <w:lang w:val="en-AU" w:eastAsia="en-AU"/>
            </w:rPr>
          </w:pPr>
          <w:hyperlink w:anchor="_Toc469573696" w:history="1">
            <w:r w:rsidR="00A1230F" w:rsidRPr="00E40432">
              <w:rPr>
                <w:rStyle w:val="Hyperlink"/>
                <w:noProof/>
              </w:rPr>
              <w:t>5.3</w:t>
            </w:r>
            <w:r w:rsidR="00A1230F">
              <w:rPr>
                <w:rFonts w:eastAsiaTheme="minorEastAsia"/>
                <w:noProof/>
                <w:lang w:val="en-AU" w:eastAsia="en-AU"/>
              </w:rPr>
              <w:tab/>
            </w:r>
            <w:r w:rsidR="00A1230F" w:rsidRPr="00E40432">
              <w:rPr>
                <w:rStyle w:val="Hyperlink"/>
                <w:noProof/>
              </w:rPr>
              <w:t>Submission 24 (Kororoit) – Select Group (on behalf of Aldi)</w:t>
            </w:r>
            <w:r w:rsidR="00A1230F">
              <w:rPr>
                <w:noProof/>
                <w:webHidden/>
              </w:rPr>
              <w:tab/>
            </w:r>
            <w:r w:rsidR="00A1230F">
              <w:rPr>
                <w:noProof/>
                <w:webHidden/>
              </w:rPr>
              <w:fldChar w:fldCharType="begin"/>
            </w:r>
            <w:r w:rsidR="00A1230F">
              <w:rPr>
                <w:noProof/>
                <w:webHidden/>
              </w:rPr>
              <w:instrText xml:space="preserve"> PAGEREF _Toc469573696 \h </w:instrText>
            </w:r>
            <w:r w:rsidR="00A1230F">
              <w:rPr>
                <w:noProof/>
                <w:webHidden/>
              </w:rPr>
            </w:r>
            <w:r w:rsidR="00A1230F">
              <w:rPr>
                <w:noProof/>
                <w:webHidden/>
              </w:rPr>
              <w:fldChar w:fldCharType="separate"/>
            </w:r>
            <w:r w:rsidR="00A1230F">
              <w:rPr>
                <w:noProof/>
                <w:webHidden/>
              </w:rPr>
              <w:t>34</w:t>
            </w:r>
            <w:r w:rsidR="00A1230F">
              <w:rPr>
                <w:noProof/>
                <w:webHidden/>
              </w:rPr>
              <w:fldChar w:fldCharType="end"/>
            </w:r>
          </w:hyperlink>
        </w:p>
        <w:p w14:paraId="0B3B0D5E" w14:textId="77777777" w:rsidR="00A1230F" w:rsidRDefault="008448BA">
          <w:pPr>
            <w:pStyle w:val="TOC3"/>
            <w:tabs>
              <w:tab w:val="right" w:leader="dot" w:pos="9016"/>
            </w:tabs>
            <w:rPr>
              <w:rFonts w:eastAsiaTheme="minorEastAsia"/>
              <w:noProof/>
              <w:lang w:val="en-AU" w:eastAsia="en-AU"/>
            </w:rPr>
          </w:pPr>
          <w:hyperlink w:anchor="_Toc469573697" w:history="1">
            <w:r w:rsidR="00A1230F" w:rsidRPr="00E40432">
              <w:rPr>
                <w:rStyle w:val="Hyperlink"/>
                <w:noProof/>
              </w:rPr>
              <w:t>Local Town Centres</w:t>
            </w:r>
            <w:r w:rsidR="00A1230F">
              <w:rPr>
                <w:noProof/>
                <w:webHidden/>
              </w:rPr>
              <w:tab/>
            </w:r>
            <w:r w:rsidR="00A1230F">
              <w:rPr>
                <w:noProof/>
                <w:webHidden/>
              </w:rPr>
              <w:fldChar w:fldCharType="begin"/>
            </w:r>
            <w:r w:rsidR="00A1230F">
              <w:rPr>
                <w:noProof/>
                <w:webHidden/>
              </w:rPr>
              <w:instrText xml:space="preserve"> PAGEREF _Toc469573697 \h </w:instrText>
            </w:r>
            <w:r w:rsidR="00A1230F">
              <w:rPr>
                <w:noProof/>
                <w:webHidden/>
              </w:rPr>
            </w:r>
            <w:r w:rsidR="00A1230F">
              <w:rPr>
                <w:noProof/>
                <w:webHidden/>
              </w:rPr>
              <w:fldChar w:fldCharType="separate"/>
            </w:r>
            <w:r w:rsidR="00A1230F">
              <w:rPr>
                <w:noProof/>
                <w:webHidden/>
              </w:rPr>
              <w:t>34</w:t>
            </w:r>
            <w:r w:rsidR="00A1230F">
              <w:rPr>
                <w:noProof/>
                <w:webHidden/>
              </w:rPr>
              <w:fldChar w:fldCharType="end"/>
            </w:r>
          </w:hyperlink>
        </w:p>
        <w:p w14:paraId="737C9068" w14:textId="77777777" w:rsidR="00A1230F" w:rsidRDefault="008448BA">
          <w:pPr>
            <w:pStyle w:val="TOC3"/>
            <w:tabs>
              <w:tab w:val="right" w:leader="dot" w:pos="9016"/>
            </w:tabs>
            <w:rPr>
              <w:rFonts w:eastAsiaTheme="minorEastAsia"/>
              <w:noProof/>
              <w:lang w:val="en-AU" w:eastAsia="en-AU"/>
            </w:rPr>
          </w:pPr>
          <w:hyperlink w:anchor="_Toc469573698" w:history="1">
            <w:r w:rsidR="00A1230F" w:rsidRPr="00E40432">
              <w:rPr>
                <w:rStyle w:val="Hyperlink"/>
                <w:noProof/>
              </w:rPr>
              <w:t>Commercial 2 zoned land forming part of designated business areas</w:t>
            </w:r>
            <w:r w:rsidR="00A1230F">
              <w:rPr>
                <w:noProof/>
                <w:webHidden/>
              </w:rPr>
              <w:tab/>
            </w:r>
            <w:r w:rsidR="00A1230F">
              <w:rPr>
                <w:noProof/>
                <w:webHidden/>
              </w:rPr>
              <w:fldChar w:fldCharType="begin"/>
            </w:r>
            <w:r w:rsidR="00A1230F">
              <w:rPr>
                <w:noProof/>
                <w:webHidden/>
              </w:rPr>
              <w:instrText xml:space="preserve"> PAGEREF _Toc469573698 \h </w:instrText>
            </w:r>
            <w:r w:rsidR="00A1230F">
              <w:rPr>
                <w:noProof/>
                <w:webHidden/>
              </w:rPr>
            </w:r>
            <w:r w:rsidR="00A1230F">
              <w:rPr>
                <w:noProof/>
                <w:webHidden/>
              </w:rPr>
              <w:fldChar w:fldCharType="separate"/>
            </w:r>
            <w:r w:rsidR="00A1230F">
              <w:rPr>
                <w:noProof/>
                <w:webHidden/>
              </w:rPr>
              <w:t>34</w:t>
            </w:r>
            <w:r w:rsidR="00A1230F">
              <w:rPr>
                <w:noProof/>
                <w:webHidden/>
              </w:rPr>
              <w:fldChar w:fldCharType="end"/>
            </w:r>
          </w:hyperlink>
        </w:p>
        <w:p w14:paraId="0CBCEE01" w14:textId="77777777" w:rsidR="00A1230F" w:rsidRDefault="008448BA">
          <w:pPr>
            <w:pStyle w:val="TOC3"/>
            <w:tabs>
              <w:tab w:val="right" w:leader="dot" w:pos="9016"/>
            </w:tabs>
            <w:rPr>
              <w:rFonts w:eastAsiaTheme="minorEastAsia"/>
              <w:noProof/>
              <w:lang w:val="en-AU" w:eastAsia="en-AU"/>
            </w:rPr>
          </w:pPr>
          <w:hyperlink w:anchor="_Toc469573699" w:history="1">
            <w:r w:rsidR="00A1230F" w:rsidRPr="00E40432">
              <w:rPr>
                <w:rStyle w:val="Hyperlink"/>
                <w:noProof/>
              </w:rPr>
              <w:t>Local Convenience Centres</w:t>
            </w:r>
            <w:r w:rsidR="00A1230F">
              <w:rPr>
                <w:noProof/>
                <w:webHidden/>
              </w:rPr>
              <w:tab/>
            </w:r>
            <w:r w:rsidR="00A1230F">
              <w:rPr>
                <w:noProof/>
                <w:webHidden/>
              </w:rPr>
              <w:fldChar w:fldCharType="begin"/>
            </w:r>
            <w:r w:rsidR="00A1230F">
              <w:rPr>
                <w:noProof/>
                <w:webHidden/>
              </w:rPr>
              <w:instrText xml:space="preserve"> PAGEREF _Toc469573699 \h </w:instrText>
            </w:r>
            <w:r w:rsidR="00A1230F">
              <w:rPr>
                <w:noProof/>
                <w:webHidden/>
              </w:rPr>
            </w:r>
            <w:r w:rsidR="00A1230F">
              <w:rPr>
                <w:noProof/>
                <w:webHidden/>
              </w:rPr>
              <w:fldChar w:fldCharType="separate"/>
            </w:r>
            <w:r w:rsidR="00A1230F">
              <w:rPr>
                <w:noProof/>
                <w:webHidden/>
              </w:rPr>
              <w:t>34</w:t>
            </w:r>
            <w:r w:rsidR="00A1230F">
              <w:rPr>
                <w:noProof/>
                <w:webHidden/>
              </w:rPr>
              <w:fldChar w:fldCharType="end"/>
            </w:r>
          </w:hyperlink>
        </w:p>
        <w:p w14:paraId="47035888" w14:textId="77777777" w:rsidR="00A1230F" w:rsidRDefault="008448BA">
          <w:pPr>
            <w:pStyle w:val="TOC3"/>
            <w:tabs>
              <w:tab w:val="right" w:leader="dot" w:pos="9016"/>
            </w:tabs>
            <w:rPr>
              <w:rFonts w:eastAsiaTheme="minorEastAsia"/>
              <w:noProof/>
              <w:lang w:val="en-AU" w:eastAsia="en-AU"/>
            </w:rPr>
          </w:pPr>
          <w:hyperlink w:anchor="_Toc469573700" w:history="1">
            <w:r w:rsidR="00A1230F" w:rsidRPr="00E40432">
              <w:rPr>
                <w:rStyle w:val="Hyperlink"/>
                <w:noProof/>
              </w:rPr>
              <w:t>Sequential test</w:t>
            </w:r>
            <w:r w:rsidR="00A1230F">
              <w:rPr>
                <w:noProof/>
                <w:webHidden/>
              </w:rPr>
              <w:tab/>
            </w:r>
            <w:r w:rsidR="00A1230F">
              <w:rPr>
                <w:noProof/>
                <w:webHidden/>
              </w:rPr>
              <w:fldChar w:fldCharType="begin"/>
            </w:r>
            <w:r w:rsidR="00A1230F">
              <w:rPr>
                <w:noProof/>
                <w:webHidden/>
              </w:rPr>
              <w:instrText xml:space="preserve"> PAGEREF _Toc469573700 \h </w:instrText>
            </w:r>
            <w:r w:rsidR="00A1230F">
              <w:rPr>
                <w:noProof/>
                <w:webHidden/>
              </w:rPr>
            </w:r>
            <w:r w:rsidR="00A1230F">
              <w:rPr>
                <w:noProof/>
                <w:webHidden/>
              </w:rPr>
              <w:fldChar w:fldCharType="separate"/>
            </w:r>
            <w:r w:rsidR="00A1230F">
              <w:rPr>
                <w:noProof/>
                <w:webHidden/>
              </w:rPr>
              <w:t>35</w:t>
            </w:r>
            <w:r w:rsidR="00A1230F">
              <w:rPr>
                <w:noProof/>
                <w:webHidden/>
              </w:rPr>
              <w:fldChar w:fldCharType="end"/>
            </w:r>
          </w:hyperlink>
        </w:p>
        <w:p w14:paraId="66682DC6" w14:textId="77777777" w:rsidR="00A1230F" w:rsidRDefault="008448BA">
          <w:pPr>
            <w:pStyle w:val="TOC2"/>
            <w:rPr>
              <w:rFonts w:eastAsiaTheme="minorEastAsia"/>
              <w:noProof/>
              <w:lang w:val="en-AU" w:eastAsia="en-AU"/>
            </w:rPr>
          </w:pPr>
          <w:hyperlink w:anchor="_Toc469573701" w:history="1">
            <w:r w:rsidR="00A1230F" w:rsidRPr="00E40432">
              <w:rPr>
                <w:rStyle w:val="Hyperlink"/>
                <w:noProof/>
                <w:spacing w:val="-1"/>
              </w:rPr>
              <w:t>5.4 Submission 27 (Plumpton)</w:t>
            </w:r>
            <w:r w:rsidR="00A1230F" w:rsidRPr="00E40432">
              <w:rPr>
                <w:rStyle w:val="Hyperlink"/>
                <w:noProof/>
                <w:spacing w:val="-2"/>
              </w:rPr>
              <w:t xml:space="preserve"> </w:t>
            </w:r>
            <w:r w:rsidR="00A1230F" w:rsidRPr="00E40432">
              <w:rPr>
                <w:rStyle w:val="Hyperlink"/>
                <w:noProof/>
              </w:rPr>
              <w:t>–</w:t>
            </w:r>
            <w:r w:rsidR="00A1230F" w:rsidRPr="00E40432">
              <w:rPr>
                <w:rStyle w:val="Hyperlink"/>
                <w:noProof/>
                <w:spacing w:val="-2"/>
              </w:rPr>
              <w:t xml:space="preserve"> </w:t>
            </w:r>
            <w:r w:rsidR="00A1230F" w:rsidRPr="00E40432">
              <w:rPr>
                <w:rStyle w:val="Hyperlink"/>
                <w:noProof/>
              </w:rPr>
              <w:t>Zoran Trimcevski (on behalf of Mirjana Mihaljevic)</w:t>
            </w:r>
            <w:r w:rsidR="00A1230F">
              <w:rPr>
                <w:noProof/>
                <w:webHidden/>
              </w:rPr>
              <w:tab/>
            </w:r>
            <w:r w:rsidR="00A1230F">
              <w:rPr>
                <w:noProof/>
                <w:webHidden/>
              </w:rPr>
              <w:fldChar w:fldCharType="begin"/>
            </w:r>
            <w:r w:rsidR="00A1230F">
              <w:rPr>
                <w:noProof/>
                <w:webHidden/>
              </w:rPr>
              <w:instrText xml:space="preserve"> PAGEREF _Toc469573701 \h </w:instrText>
            </w:r>
            <w:r w:rsidR="00A1230F">
              <w:rPr>
                <w:noProof/>
                <w:webHidden/>
              </w:rPr>
            </w:r>
            <w:r w:rsidR="00A1230F">
              <w:rPr>
                <w:noProof/>
                <w:webHidden/>
              </w:rPr>
              <w:fldChar w:fldCharType="separate"/>
            </w:r>
            <w:r w:rsidR="00A1230F">
              <w:rPr>
                <w:noProof/>
                <w:webHidden/>
              </w:rPr>
              <w:t>35</w:t>
            </w:r>
            <w:r w:rsidR="00A1230F">
              <w:rPr>
                <w:noProof/>
                <w:webHidden/>
              </w:rPr>
              <w:fldChar w:fldCharType="end"/>
            </w:r>
          </w:hyperlink>
        </w:p>
        <w:p w14:paraId="45B0F300" w14:textId="77777777" w:rsidR="00A1230F" w:rsidRDefault="008448BA">
          <w:pPr>
            <w:pStyle w:val="TOC2"/>
            <w:rPr>
              <w:rFonts w:eastAsiaTheme="minorEastAsia"/>
              <w:noProof/>
              <w:lang w:val="en-AU" w:eastAsia="en-AU"/>
            </w:rPr>
          </w:pPr>
          <w:hyperlink w:anchor="_Toc469573702" w:history="1">
            <w:r w:rsidR="00A1230F" w:rsidRPr="00E40432">
              <w:rPr>
                <w:rStyle w:val="Hyperlink"/>
                <w:noProof/>
              </w:rPr>
              <w:t>5.5 Submission 14 (Kororoit) – Tract (on behalf of Sekhon)</w:t>
            </w:r>
            <w:r w:rsidR="00A1230F">
              <w:rPr>
                <w:noProof/>
                <w:webHidden/>
              </w:rPr>
              <w:tab/>
            </w:r>
            <w:r w:rsidR="00A1230F">
              <w:rPr>
                <w:noProof/>
                <w:webHidden/>
              </w:rPr>
              <w:fldChar w:fldCharType="begin"/>
            </w:r>
            <w:r w:rsidR="00A1230F">
              <w:rPr>
                <w:noProof/>
                <w:webHidden/>
              </w:rPr>
              <w:instrText xml:space="preserve"> PAGEREF _Toc469573702 \h </w:instrText>
            </w:r>
            <w:r w:rsidR="00A1230F">
              <w:rPr>
                <w:noProof/>
                <w:webHidden/>
              </w:rPr>
            </w:r>
            <w:r w:rsidR="00A1230F">
              <w:rPr>
                <w:noProof/>
                <w:webHidden/>
              </w:rPr>
              <w:fldChar w:fldCharType="separate"/>
            </w:r>
            <w:r w:rsidR="00A1230F">
              <w:rPr>
                <w:noProof/>
                <w:webHidden/>
              </w:rPr>
              <w:t>35</w:t>
            </w:r>
            <w:r w:rsidR="00A1230F">
              <w:rPr>
                <w:noProof/>
                <w:webHidden/>
              </w:rPr>
              <w:fldChar w:fldCharType="end"/>
            </w:r>
          </w:hyperlink>
        </w:p>
        <w:p w14:paraId="30671A52" w14:textId="77777777" w:rsidR="00A1230F" w:rsidRDefault="008448BA">
          <w:pPr>
            <w:pStyle w:val="TOC2"/>
            <w:rPr>
              <w:rFonts w:eastAsiaTheme="minorEastAsia"/>
              <w:noProof/>
              <w:lang w:val="en-AU" w:eastAsia="en-AU"/>
            </w:rPr>
          </w:pPr>
          <w:hyperlink w:anchor="_Toc469573703" w:history="1">
            <w:r w:rsidR="00A1230F" w:rsidRPr="00E40432">
              <w:rPr>
                <w:rStyle w:val="Hyperlink"/>
                <w:noProof/>
              </w:rPr>
              <w:t>5.6 Submission 16 (Kororoit) – Breese Pitt Dixon (BPD) (on behalf of landowner)</w:t>
            </w:r>
            <w:r w:rsidR="00A1230F">
              <w:rPr>
                <w:noProof/>
                <w:webHidden/>
              </w:rPr>
              <w:tab/>
            </w:r>
            <w:r w:rsidR="00A1230F">
              <w:rPr>
                <w:noProof/>
                <w:webHidden/>
              </w:rPr>
              <w:fldChar w:fldCharType="begin"/>
            </w:r>
            <w:r w:rsidR="00A1230F">
              <w:rPr>
                <w:noProof/>
                <w:webHidden/>
              </w:rPr>
              <w:instrText xml:space="preserve"> PAGEREF _Toc469573703 \h </w:instrText>
            </w:r>
            <w:r w:rsidR="00A1230F">
              <w:rPr>
                <w:noProof/>
                <w:webHidden/>
              </w:rPr>
            </w:r>
            <w:r w:rsidR="00A1230F">
              <w:rPr>
                <w:noProof/>
                <w:webHidden/>
              </w:rPr>
              <w:fldChar w:fldCharType="separate"/>
            </w:r>
            <w:r w:rsidR="00A1230F">
              <w:rPr>
                <w:noProof/>
                <w:webHidden/>
              </w:rPr>
              <w:t>35</w:t>
            </w:r>
            <w:r w:rsidR="00A1230F">
              <w:rPr>
                <w:noProof/>
                <w:webHidden/>
              </w:rPr>
              <w:fldChar w:fldCharType="end"/>
            </w:r>
          </w:hyperlink>
        </w:p>
        <w:p w14:paraId="35D01BFF" w14:textId="196108F5" w:rsidR="00395014" w:rsidRPr="00030A5F" w:rsidRDefault="00395014" w:rsidP="00AF505E">
          <w:pPr>
            <w:spacing w:after="0" w:line="276" w:lineRule="auto"/>
          </w:pPr>
          <w:r w:rsidRPr="009B7BC5">
            <w:rPr>
              <w:b/>
              <w:bCs/>
              <w:noProof/>
            </w:rPr>
            <w:fldChar w:fldCharType="end"/>
          </w:r>
        </w:p>
      </w:sdtContent>
    </w:sdt>
    <w:p w14:paraId="0BCEE8D8" w14:textId="77777777" w:rsidR="00D417C5" w:rsidRPr="00030A5F" w:rsidRDefault="00D417C5" w:rsidP="00AF505E">
      <w:pPr>
        <w:spacing w:after="0" w:line="276" w:lineRule="auto"/>
        <w:rPr>
          <w:b/>
          <w:color w:val="2F5496" w:themeColor="accent5" w:themeShade="BF"/>
        </w:rPr>
      </w:pPr>
      <w:r w:rsidRPr="00030A5F">
        <w:rPr>
          <w:b/>
          <w:color w:val="2F5496" w:themeColor="accent5" w:themeShade="BF"/>
        </w:rPr>
        <w:br w:type="page"/>
      </w:r>
    </w:p>
    <w:p w14:paraId="1BC76CD4" w14:textId="77777777" w:rsidR="00206001" w:rsidRPr="00030A5F" w:rsidRDefault="004E7C29" w:rsidP="00AF505E">
      <w:pPr>
        <w:pStyle w:val="Heading1"/>
        <w:spacing w:line="276" w:lineRule="auto"/>
        <w:rPr>
          <w:b/>
          <w:sz w:val="36"/>
          <w:lang w:val="en-AU"/>
        </w:rPr>
      </w:pPr>
      <w:bookmarkStart w:id="1" w:name="_Toc469573637"/>
      <w:r w:rsidRPr="00030A5F">
        <w:rPr>
          <w:b/>
          <w:sz w:val="36"/>
          <w:lang w:val="en-AU"/>
        </w:rPr>
        <w:lastRenderedPageBreak/>
        <w:t>1. Introduction</w:t>
      </w:r>
      <w:bookmarkEnd w:id="1"/>
    </w:p>
    <w:p w14:paraId="4CA6C9FF" w14:textId="77777777" w:rsidR="001930AF" w:rsidRDefault="00564DDF" w:rsidP="00736861">
      <w:pPr>
        <w:pStyle w:val="ListParagraph"/>
        <w:numPr>
          <w:ilvl w:val="0"/>
          <w:numId w:val="9"/>
        </w:numPr>
        <w:spacing w:before="120" w:after="0" w:line="240" w:lineRule="auto"/>
        <w:ind w:left="1021" w:hanging="1021"/>
        <w:jc w:val="both"/>
      </w:pPr>
      <w:r w:rsidRPr="00111E06">
        <w:t xml:space="preserve">These closing submissions are made on behalf of the Victorian Planning Authority (VPA), as Planning Authority for </w:t>
      </w:r>
      <w:r w:rsidR="00385A5C">
        <w:t xml:space="preserve">Melton </w:t>
      </w:r>
      <w:r w:rsidRPr="00111E06">
        <w:t>Amendment</w:t>
      </w:r>
      <w:r w:rsidR="00385A5C">
        <w:t>’s</w:t>
      </w:r>
      <w:r w:rsidRPr="00111E06">
        <w:t xml:space="preserve"> C1</w:t>
      </w:r>
      <w:r w:rsidR="00385A5C">
        <w:t>46 and C147</w:t>
      </w:r>
      <w:r w:rsidRPr="00111E06">
        <w:t>.</w:t>
      </w:r>
    </w:p>
    <w:p w14:paraId="35A01254" w14:textId="77777777" w:rsidR="001930AF" w:rsidRDefault="001930AF" w:rsidP="00AF505E">
      <w:pPr>
        <w:pStyle w:val="ListParagraph"/>
        <w:spacing w:before="120" w:after="0" w:line="240" w:lineRule="auto"/>
        <w:ind w:left="1021"/>
        <w:jc w:val="both"/>
      </w:pPr>
    </w:p>
    <w:p w14:paraId="58EC006C" w14:textId="77777777" w:rsidR="001930AF" w:rsidRDefault="00564DDF" w:rsidP="00736861">
      <w:pPr>
        <w:pStyle w:val="ListParagraph"/>
        <w:numPr>
          <w:ilvl w:val="0"/>
          <w:numId w:val="9"/>
        </w:numPr>
        <w:spacing w:before="120" w:after="0" w:line="240" w:lineRule="auto"/>
        <w:ind w:left="1021" w:hanging="1021"/>
        <w:jc w:val="both"/>
      </w:pPr>
      <w:r w:rsidRPr="00111E06">
        <w:t>The general background and strategic basis of the Amendment are set out in the VPA’s Part A submissions. This</w:t>
      </w:r>
      <w:r w:rsidR="00E36144">
        <w:t xml:space="preserve"> wa</w:t>
      </w:r>
      <w:r w:rsidRPr="00111E06">
        <w:t>s expanded in the VPA’s Part</w:t>
      </w:r>
      <w:r>
        <w:t xml:space="preserve"> B S</w:t>
      </w:r>
      <w:r w:rsidRPr="00111E06">
        <w:t xml:space="preserve">ubmission, </w:t>
      </w:r>
      <w:r w:rsidR="00E36144">
        <w:t>which</w:t>
      </w:r>
      <w:r w:rsidRPr="00111E06">
        <w:t xml:space="preserve"> </w:t>
      </w:r>
      <w:r w:rsidR="00E36144">
        <w:t xml:space="preserve">also </w:t>
      </w:r>
      <w:r w:rsidR="00E36144" w:rsidRPr="00111E06">
        <w:t>address</w:t>
      </w:r>
      <w:r w:rsidR="00E36144">
        <w:t>ed</w:t>
      </w:r>
      <w:r w:rsidR="00E36144" w:rsidRPr="00111E06">
        <w:t xml:space="preserve"> </w:t>
      </w:r>
      <w:r w:rsidRPr="00111E06">
        <w:t>in</w:t>
      </w:r>
      <w:r w:rsidR="001930AF">
        <w:t>dividual unresolved submissions.</w:t>
      </w:r>
    </w:p>
    <w:p w14:paraId="70D91C41" w14:textId="77777777" w:rsidR="001930AF" w:rsidRDefault="001930AF" w:rsidP="00AF505E">
      <w:pPr>
        <w:pStyle w:val="ListParagraph"/>
        <w:spacing w:before="120" w:after="0" w:line="240" w:lineRule="auto"/>
        <w:ind w:left="1021"/>
        <w:jc w:val="both"/>
      </w:pPr>
    </w:p>
    <w:p w14:paraId="541DCE77" w14:textId="77777777" w:rsidR="001930AF" w:rsidRDefault="00385A5C" w:rsidP="00736861">
      <w:pPr>
        <w:pStyle w:val="ListParagraph"/>
        <w:numPr>
          <w:ilvl w:val="0"/>
          <w:numId w:val="9"/>
        </w:numPr>
        <w:spacing w:before="120" w:after="0" w:line="240" w:lineRule="auto"/>
        <w:ind w:left="1021" w:hanging="1021"/>
        <w:jc w:val="both"/>
      </w:pPr>
      <w:r>
        <w:t xml:space="preserve">A total of </w:t>
      </w:r>
      <w:r w:rsidR="00564DDF" w:rsidRPr="00385A5C">
        <w:t>1</w:t>
      </w:r>
      <w:r w:rsidRPr="00385A5C">
        <w:t>9</w:t>
      </w:r>
      <w:r w:rsidR="00564DDF" w:rsidRPr="00385A5C">
        <w:t xml:space="preserve"> submitters have appeared before this panel and </w:t>
      </w:r>
      <w:r w:rsidR="00E36144">
        <w:t>filed</w:t>
      </w:r>
      <w:r w:rsidR="00E36144" w:rsidRPr="00385A5C">
        <w:t xml:space="preserve"> </w:t>
      </w:r>
      <w:r w:rsidR="00564DDF" w:rsidRPr="00385A5C">
        <w:t xml:space="preserve">evidence on </w:t>
      </w:r>
      <w:r w:rsidRPr="00385A5C">
        <w:t>economic</w:t>
      </w:r>
      <w:r w:rsidR="00564DDF" w:rsidRPr="00385A5C">
        <w:t>, traffic, planning,</w:t>
      </w:r>
      <w:r w:rsidRPr="00385A5C">
        <w:t xml:space="preserve"> urban design,</w:t>
      </w:r>
      <w:r w:rsidR="00564DDF" w:rsidRPr="00385A5C">
        <w:t xml:space="preserve"> ecology, drainage</w:t>
      </w:r>
      <w:r w:rsidRPr="00385A5C">
        <w:t>, and quantity surveying</w:t>
      </w:r>
      <w:r w:rsidR="00E36144">
        <w:t xml:space="preserve"> matters</w:t>
      </w:r>
      <w:r w:rsidR="00564DDF" w:rsidRPr="00385A5C">
        <w:t>.</w:t>
      </w:r>
      <w:r>
        <w:t xml:space="preserve"> </w:t>
      </w:r>
      <w:r w:rsidR="00564DDF" w:rsidRPr="00385A5C">
        <w:t>The submissions and evidence generally demonstrate a high level of co-operation and narrowing of issues between the parties.</w:t>
      </w:r>
    </w:p>
    <w:p w14:paraId="168697F4" w14:textId="77777777" w:rsidR="001930AF" w:rsidRDefault="001930AF" w:rsidP="00AF505E">
      <w:pPr>
        <w:pStyle w:val="ListParagraph"/>
        <w:spacing w:after="0"/>
      </w:pPr>
    </w:p>
    <w:p w14:paraId="4480349F" w14:textId="77777777" w:rsidR="00E36144" w:rsidRDefault="00E36144" w:rsidP="00736861">
      <w:pPr>
        <w:pStyle w:val="ListParagraph"/>
        <w:numPr>
          <w:ilvl w:val="0"/>
          <w:numId w:val="9"/>
        </w:numPr>
        <w:spacing w:before="120" w:after="0" w:line="240" w:lineRule="auto"/>
        <w:ind w:left="1021" w:hanging="1021"/>
        <w:jc w:val="both"/>
      </w:pPr>
      <w:r>
        <w:t>The structure of this closing submission is as follows:</w:t>
      </w:r>
    </w:p>
    <w:p w14:paraId="056F8E75" w14:textId="77777777" w:rsidR="00E36144" w:rsidRDefault="00E36144" w:rsidP="00AF505E">
      <w:pPr>
        <w:pStyle w:val="ListParagraph"/>
        <w:numPr>
          <w:ilvl w:val="1"/>
          <w:numId w:val="1"/>
        </w:numPr>
        <w:spacing w:before="120" w:after="0" w:line="240" w:lineRule="auto"/>
        <w:ind w:left="1985" w:hanging="397"/>
        <w:contextualSpacing w:val="0"/>
        <w:jc w:val="both"/>
      </w:pPr>
      <w:r>
        <w:t>Response to Panel questions arising in the hearing, including:</w:t>
      </w:r>
    </w:p>
    <w:p w14:paraId="23B8D80D" w14:textId="77777777" w:rsidR="00E15162" w:rsidRDefault="00E36144" w:rsidP="00AF505E">
      <w:pPr>
        <w:pStyle w:val="ListParagraph"/>
        <w:numPr>
          <w:ilvl w:val="2"/>
          <w:numId w:val="1"/>
        </w:numPr>
        <w:spacing w:before="120" w:after="0" w:line="240" w:lineRule="auto"/>
        <w:ind w:left="2552" w:hanging="397"/>
        <w:contextualSpacing w:val="0"/>
        <w:jc w:val="both"/>
      </w:pPr>
      <w:r>
        <w:t>Delivery of Hopkins Road;</w:t>
      </w:r>
    </w:p>
    <w:p w14:paraId="05453162" w14:textId="77777777" w:rsidR="00E15162" w:rsidRDefault="00E15162" w:rsidP="00AF505E">
      <w:pPr>
        <w:pStyle w:val="ListParagraph"/>
        <w:numPr>
          <w:ilvl w:val="2"/>
          <w:numId w:val="1"/>
        </w:numPr>
        <w:spacing w:before="120" w:after="0" w:line="240" w:lineRule="auto"/>
        <w:ind w:left="2552" w:hanging="397"/>
        <w:contextualSpacing w:val="0"/>
        <w:jc w:val="both"/>
      </w:pPr>
      <w:r>
        <w:t>Infrastructure Contribution Plan (ICP)</w:t>
      </w:r>
      <w:r w:rsidR="00E36144">
        <w:t>;</w:t>
      </w:r>
    </w:p>
    <w:p w14:paraId="4A843B17" w14:textId="77777777" w:rsidR="00E15162" w:rsidRDefault="00E36144" w:rsidP="00AF505E">
      <w:pPr>
        <w:pStyle w:val="ListParagraph"/>
        <w:numPr>
          <w:ilvl w:val="2"/>
          <w:numId w:val="1"/>
        </w:numPr>
        <w:spacing w:before="120" w:after="0" w:line="240" w:lineRule="auto"/>
        <w:ind w:left="2552" w:hanging="397"/>
        <w:contextualSpacing w:val="0"/>
        <w:jc w:val="both"/>
      </w:pPr>
      <w:r>
        <w:t>Landlocked parcels;</w:t>
      </w:r>
    </w:p>
    <w:p w14:paraId="4DDBCDED" w14:textId="77777777" w:rsidR="00E15162" w:rsidRDefault="00E36144" w:rsidP="00AF505E">
      <w:pPr>
        <w:pStyle w:val="ListParagraph"/>
        <w:numPr>
          <w:ilvl w:val="2"/>
          <w:numId w:val="1"/>
        </w:numPr>
        <w:spacing w:before="120" w:after="0" w:line="240" w:lineRule="auto"/>
        <w:ind w:left="2552" w:hanging="397"/>
        <w:contextualSpacing w:val="0"/>
        <w:jc w:val="both"/>
      </w:pPr>
      <w:r>
        <w:t xml:space="preserve">Triangular shaped land east of the Aquatic Centre; </w:t>
      </w:r>
    </w:p>
    <w:p w14:paraId="0477DE82" w14:textId="77777777" w:rsidR="00E15162" w:rsidRDefault="00A16820" w:rsidP="00AF505E">
      <w:pPr>
        <w:pStyle w:val="ListParagraph"/>
        <w:numPr>
          <w:ilvl w:val="2"/>
          <w:numId w:val="1"/>
        </w:numPr>
        <w:spacing w:before="120" w:after="0" w:line="240" w:lineRule="auto"/>
        <w:ind w:left="2552" w:hanging="397"/>
        <w:contextualSpacing w:val="0"/>
        <w:jc w:val="both"/>
      </w:pPr>
      <w:r>
        <w:t xml:space="preserve">Strip of land to the south of Taylors Road, adjacent to the Sports Reserve, in </w:t>
      </w:r>
      <w:proofErr w:type="spellStart"/>
      <w:r>
        <w:t>Kororoit</w:t>
      </w:r>
      <w:proofErr w:type="spellEnd"/>
      <w:r>
        <w:t xml:space="preserve">; </w:t>
      </w:r>
      <w:r w:rsidR="00E36144">
        <w:t>and</w:t>
      </w:r>
    </w:p>
    <w:p w14:paraId="059FD9CD" w14:textId="77777777" w:rsidR="00E36144" w:rsidRDefault="00E36144" w:rsidP="00AF505E">
      <w:pPr>
        <w:pStyle w:val="ListParagraph"/>
        <w:numPr>
          <w:ilvl w:val="2"/>
          <w:numId w:val="1"/>
        </w:numPr>
        <w:spacing w:before="120" w:after="0" w:line="240" w:lineRule="auto"/>
        <w:ind w:left="2552" w:hanging="397"/>
        <w:contextualSpacing w:val="0"/>
        <w:jc w:val="both"/>
      </w:pPr>
      <w:r>
        <w:t>Dealing with the Urban Floodway Zone</w:t>
      </w:r>
      <w:r w:rsidR="00E15162">
        <w:t>.</w:t>
      </w:r>
    </w:p>
    <w:p w14:paraId="60734644" w14:textId="77777777" w:rsidR="00E36144" w:rsidRDefault="00E36144" w:rsidP="00AF505E">
      <w:pPr>
        <w:pStyle w:val="ListParagraph"/>
        <w:numPr>
          <w:ilvl w:val="1"/>
          <w:numId w:val="1"/>
        </w:numPr>
        <w:spacing w:before="120" w:after="0" w:line="240" w:lineRule="auto"/>
        <w:ind w:left="1985" w:hanging="397"/>
        <w:contextualSpacing w:val="0"/>
        <w:jc w:val="both"/>
      </w:pPr>
      <w:r>
        <w:t>Response to issues raised by multiple submitters, including:</w:t>
      </w:r>
    </w:p>
    <w:p w14:paraId="415B92C4" w14:textId="77777777" w:rsidR="00E15162" w:rsidRDefault="00E36144" w:rsidP="00AF505E">
      <w:pPr>
        <w:pStyle w:val="ListParagraph"/>
        <w:numPr>
          <w:ilvl w:val="2"/>
          <w:numId w:val="1"/>
        </w:numPr>
        <w:spacing w:before="120" w:after="0" w:line="240" w:lineRule="auto"/>
        <w:ind w:left="2552" w:hanging="397"/>
        <w:contextualSpacing w:val="0"/>
        <w:jc w:val="both"/>
      </w:pPr>
      <w:r>
        <w:t>Treatment of land within the Pipeline Measurement Length; and</w:t>
      </w:r>
    </w:p>
    <w:p w14:paraId="711A50E7" w14:textId="77777777" w:rsidR="00E36144" w:rsidRDefault="00E36144" w:rsidP="00AF505E">
      <w:pPr>
        <w:pStyle w:val="ListParagraph"/>
        <w:numPr>
          <w:ilvl w:val="2"/>
          <w:numId w:val="1"/>
        </w:numPr>
        <w:spacing w:before="120" w:after="0" w:line="240" w:lineRule="auto"/>
        <w:ind w:left="2552" w:hanging="397"/>
        <w:contextualSpacing w:val="0"/>
        <w:jc w:val="both"/>
      </w:pPr>
      <w:r>
        <w:t>R</w:t>
      </w:r>
      <w:r w:rsidR="00E15162">
        <w:t>esidential zones and densities.</w:t>
      </w:r>
    </w:p>
    <w:p w14:paraId="199E96BF" w14:textId="77777777" w:rsidR="00E36144" w:rsidRPr="00385A5C" w:rsidRDefault="00E36144" w:rsidP="00AF505E">
      <w:pPr>
        <w:pStyle w:val="ListParagraph"/>
        <w:numPr>
          <w:ilvl w:val="1"/>
          <w:numId w:val="1"/>
        </w:numPr>
        <w:spacing w:before="120" w:after="0" w:line="240" w:lineRule="auto"/>
        <w:ind w:left="1985" w:hanging="397"/>
        <w:contextualSpacing w:val="0"/>
        <w:jc w:val="both"/>
      </w:pPr>
      <w:r>
        <w:t xml:space="preserve">Finally, response to issues raised by individual submitters, in order of presentation. </w:t>
      </w:r>
    </w:p>
    <w:p w14:paraId="2011F0D9" w14:textId="77777777" w:rsidR="00F756CC" w:rsidRDefault="00F756CC" w:rsidP="00AF505E">
      <w:pPr>
        <w:spacing w:after="0"/>
        <w:rPr>
          <w:rFonts w:eastAsiaTheme="majorEastAsia" w:cstheme="majorBidi"/>
          <w:b/>
          <w:sz w:val="36"/>
          <w:szCs w:val="32"/>
          <w:lang w:val="en-AU"/>
        </w:rPr>
      </w:pPr>
      <w:r>
        <w:rPr>
          <w:b/>
          <w:sz w:val="36"/>
          <w:lang w:val="en-AU"/>
        </w:rPr>
        <w:br w:type="page"/>
      </w:r>
    </w:p>
    <w:p w14:paraId="7409D55B" w14:textId="7CCB5893" w:rsidR="00E36144" w:rsidRDefault="000479CB" w:rsidP="00AF505E">
      <w:pPr>
        <w:pStyle w:val="Heading1"/>
        <w:spacing w:line="276" w:lineRule="auto"/>
        <w:rPr>
          <w:b/>
          <w:sz w:val="36"/>
          <w:lang w:val="en-AU"/>
        </w:rPr>
      </w:pPr>
      <w:bookmarkStart w:id="2" w:name="_Toc469573638"/>
      <w:r w:rsidRPr="00385A5C">
        <w:rPr>
          <w:b/>
          <w:sz w:val="36"/>
          <w:lang w:val="en-AU"/>
        </w:rPr>
        <w:lastRenderedPageBreak/>
        <w:t xml:space="preserve">2. </w:t>
      </w:r>
      <w:r w:rsidR="00E36144">
        <w:rPr>
          <w:b/>
          <w:sz w:val="36"/>
          <w:lang w:val="en-AU"/>
        </w:rPr>
        <w:t>Response to Panel questions arising in the hearing</w:t>
      </w:r>
      <w:bookmarkEnd w:id="2"/>
      <w:r w:rsidR="00E36144">
        <w:rPr>
          <w:b/>
          <w:sz w:val="36"/>
          <w:lang w:val="en-AU"/>
        </w:rPr>
        <w:t xml:space="preserve"> </w:t>
      </w:r>
    </w:p>
    <w:p w14:paraId="35A5EB5D" w14:textId="1AC0D02C" w:rsidR="00D20334" w:rsidRPr="00D20334" w:rsidRDefault="009E6769" w:rsidP="00AF505E">
      <w:pPr>
        <w:pStyle w:val="Heading2"/>
      </w:pPr>
      <w:bookmarkStart w:id="3" w:name="_Toc469573639"/>
      <w:r>
        <w:t xml:space="preserve">2.1 </w:t>
      </w:r>
      <w:r w:rsidR="008E6E8C" w:rsidRPr="00F756CC">
        <w:t>Delivery of Hopkins Road</w:t>
      </w:r>
      <w:bookmarkEnd w:id="3"/>
      <w:r w:rsidR="008E6E8C" w:rsidRPr="00F756CC">
        <w:t xml:space="preserve"> </w:t>
      </w:r>
    </w:p>
    <w:p w14:paraId="0D9A83D4" w14:textId="77777777" w:rsidR="00E15162" w:rsidRPr="00E15162" w:rsidRDefault="008E6E8C" w:rsidP="00736861">
      <w:pPr>
        <w:pStyle w:val="ListParagraph"/>
        <w:widowControl w:val="0"/>
        <w:numPr>
          <w:ilvl w:val="0"/>
          <w:numId w:val="9"/>
        </w:numPr>
        <w:autoSpaceDE w:val="0"/>
        <w:autoSpaceDN w:val="0"/>
        <w:adjustRightInd w:val="0"/>
        <w:spacing w:after="0" w:line="240" w:lineRule="auto"/>
        <w:ind w:left="1021" w:hanging="1021"/>
        <w:rPr>
          <w:rFonts w:cs="Times New Roman"/>
          <w:lang w:val="en-US"/>
        </w:rPr>
      </w:pPr>
      <w:r w:rsidRPr="00E15162">
        <w:rPr>
          <w:rFonts w:cs="Tahoma"/>
          <w:lang w:val="en-US"/>
        </w:rPr>
        <w:t>The Panel asked</w:t>
      </w:r>
      <w:r w:rsidR="00E15162">
        <w:rPr>
          <w:rFonts w:cs="Tahoma"/>
          <w:lang w:val="en-US"/>
        </w:rPr>
        <w:t xml:space="preserve"> the</w:t>
      </w:r>
      <w:r w:rsidRPr="00E15162">
        <w:rPr>
          <w:rFonts w:cs="Tahoma"/>
          <w:lang w:val="en-US"/>
        </w:rPr>
        <w:t xml:space="preserve"> VPA and Council whether consideration was given to</w:t>
      </w:r>
      <w:r w:rsidR="000C60B5" w:rsidRPr="00E15162">
        <w:rPr>
          <w:rFonts w:cs="Tahoma"/>
          <w:lang w:val="en-US"/>
        </w:rPr>
        <w:t xml:space="preserve"> how to achieve</w:t>
      </w:r>
      <w:r w:rsidRPr="00E15162">
        <w:rPr>
          <w:rFonts w:cs="Tahoma"/>
          <w:lang w:val="en-US"/>
        </w:rPr>
        <w:t xml:space="preserve"> the early delivery of Hopkins Road. </w:t>
      </w:r>
    </w:p>
    <w:p w14:paraId="7BC00C0B" w14:textId="77777777" w:rsidR="00E15162" w:rsidRPr="00E15162" w:rsidRDefault="00E15162" w:rsidP="00AF505E">
      <w:pPr>
        <w:pStyle w:val="ListParagraph"/>
        <w:widowControl w:val="0"/>
        <w:autoSpaceDE w:val="0"/>
        <w:autoSpaceDN w:val="0"/>
        <w:adjustRightInd w:val="0"/>
        <w:spacing w:after="0" w:line="240" w:lineRule="auto"/>
        <w:ind w:left="1021"/>
        <w:rPr>
          <w:rFonts w:cs="Times New Roman"/>
          <w:lang w:val="en-US"/>
        </w:rPr>
      </w:pPr>
    </w:p>
    <w:p w14:paraId="119AEC66" w14:textId="45C1886D" w:rsidR="00E15162" w:rsidRPr="00E15162" w:rsidRDefault="00E15162" w:rsidP="00736861">
      <w:pPr>
        <w:pStyle w:val="ListParagraph"/>
        <w:widowControl w:val="0"/>
        <w:numPr>
          <w:ilvl w:val="0"/>
          <w:numId w:val="9"/>
        </w:numPr>
        <w:autoSpaceDE w:val="0"/>
        <w:autoSpaceDN w:val="0"/>
        <w:adjustRightInd w:val="0"/>
        <w:spacing w:after="0" w:line="240" w:lineRule="auto"/>
        <w:ind w:left="1021" w:hanging="1021"/>
        <w:rPr>
          <w:rFonts w:cs="Times New Roman"/>
          <w:lang w:val="en-US"/>
        </w:rPr>
      </w:pPr>
      <w:r>
        <w:rPr>
          <w:rFonts w:cs="Tahoma"/>
          <w:lang w:val="en-US"/>
        </w:rPr>
        <w:t xml:space="preserve">The </w:t>
      </w:r>
      <w:r w:rsidR="008E6E8C" w:rsidRPr="00E15162">
        <w:rPr>
          <w:rFonts w:cs="Tahoma"/>
          <w:lang w:val="en-US"/>
        </w:rPr>
        <w:t>VPA has considered the issue of the timely delivery of Hopkins R</w:t>
      </w:r>
      <w:r w:rsidR="009416F4">
        <w:rPr>
          <w:rFonts w:cs="Tahoma"/>
          <w:lang w:val="en-US"/>
        </w:rPr>
        <w:t>oa</w:t>
      </w:r>
      <w:r w:rsidR="008E6E8C" w:rsidRPr="00E15162">
        <w:rPr>
          <w:rFonts w:cs="Tahoma"/>
          <w:lang w:val="en-US"/>
        </w:rPr>
        <w:t>d in the preparation of these</w:t>
      </w:r>
      <w:r w:rsidR="009416F4">
        <w:rPr>
          <w:rFonts w:cs="Tahoma"/>
          <w:lang w:val="en-US"/>
        </w:rPr>
        <w:t xml:space="preserve"> Precinct Structure Plan</w:t>
      </w:r>
      <w:r w:rsidR="008E6E8C" w:rsidRPr="00E15162">
        <w:rPr>
          <w:rFonts w:cs="Tahoma"/>
          <w:lang w:val="en-US"/>
        </w:rPr>
        <w:t xml:space="preserve"> </w:t>
      </w:r>
      <w:r w:rsidR="009416F4">
        <w:rPr>
          <w:rFonts w:cs="Tahoma"/>
          <w:lang w:val="en-US"/>
        </w:rPr>
        <w:t>(</w:t>
      </w:r>
      <w:r w:rsidR="008E6E8C" w:rsidRPr="00E15162">
        <w:rPr>
          <w:rFonts w:cs="Tahoma"/>
          <w:lang w:val="en-US"/>
        </w:rPr>
        <w:t>PSPs</w:t>
      </w:r>
      <w:r w:rsidR="009416F4">
        <w:rPr>
          <w:rFonts w:cs="Tahoma"/>
          <w:lang w:val="en-US"/>
        </w:rPr>
        <w:t>)</w:t>
      </w:r>
      <w:r w:rsidR="008E6E8C" w:rsidRPr="00E15162">
        <w:rPr>
          <w:rFonts w:cs="Tahoma"/>
          <w:lang w:val="en-US"/>
        </w:rPr>
        <w:t xml:space="preserve">. </w:t>
      </w:r>
    </w:p>
    <w:p w14:paraId="7F6BB5D4" w14:textId="77777777" w:rsidR="00E15162" w:rsidRPr="00E15162" w:rsidRDefault="00E15162" w:rsidP="00AF505E">
      <w:pPr>
        <w:pStyle w:val="ListParagraph"/>
        <w:spacing w:after="0"/>
        <w:rPr>
          <w:rFonts w:cs="Tahoma"/>
          <w:lang w:val="en-US"/>
        </w:rPr>
      </w:pPr>
    </w:p>
    <w:p w14:paraId="622B8FBB" w14:textId="0B0D8A3F" w:rsidR="00E15162" w:rsidRPr="00E15162" w:rsidRDefault="008E6E8C" w:rsidP="00736861">
      <w:pPr>
        <w:pStyle w:val="ListParagraph"/>
        <w:widowControl w:val="0"/>
        <w:numPr>
          <w:ilvl w:val="0"/>
          <w:numId w:val="9"/>
        </w:numPr>
        <w:autoSpaceDE w:val="0"/>
        <w:autoSpaceDN w:val="0"/>
        <w:adjustRightInd w:val="0"/>
        <w:spacing w:after="0" w:line="240" w:lineRule="auto"/>
        <w:ind w:left="1021" w:hanging="1021"/>
        <w:rPr>
          <w:rFonts w:cs="Times New Roman"/>
          <w:lang w:val="en-US"/>
        </w:rPr>
      </w:pPr>
      <w:r w:rsidRPr="00E15162">
        <w:rPr>
          <w:rFonts w:cs="Tahoma"/>
          <w:lang w:val="en-US"/>
        </w:rPr>
        <w:t xml:space="preserve">During the preparation of the PSPs, </w:t>
      </w:r>
      <w:r w:rsidR="00E15162" w:rsidRPr="00E15162">
        <w:rPr>
          <w:rFonts w:cs="Tahoma"/>
          <w:lang w:val="en-US"/>
        </w:rPr>
        <w:t xml:space="preserve">the </w:t>
      </w:r>
      <w:r w:rsidRPr="00E15162">
        <w:rPr>
          <w:rFonts w:cs="Tahoma"/>
          <w:lang w:val="en-US"/>
        </w:rPr>
        <w:t>VPA and Melton Council officers did discuss and consider the application of a Public Acquisition Overlay</w:t>
      </w:r>
      <w:r w:rsidR="009416F4">
        <w:rPr>
          <w:rFonts w:cs="Tahoma"/>
          <w:lang w:val="en-US"/>
        </w:rPr>
        <w:t xml:space="preserve"> (PAO)</w:t>
      </w:r>
      <w:r w:rsidRPr="00E15162">
        <w:rPr>
          <w:rFonts w:cs="Tahoma"/>
          <w:lang w:val="en-US"/>
        </w:rPr>
        <w:t xml:space="preserve"> to land within the proposed alignment of Hopkins Road.</w:t>
      </w:r>
      <w:r w:rsidR="000C60B5" w:rsidRPr="00E15162">
        <w:rPr>
          <w:rFonts w:cs="Times New Roman"/>
          <w:lang w:val="en-US"/>
        </w:rPr>
        <w:t xml:space="preserve">  </w:t>
      </w:r>
      <w:r w:rsidRPr="00E15162">
        <w:rPr>
          <w:rFonts w:cs="Tahoma"/>
          <w:lang w:val="en-US"/>
        </w:rPr>
        <w:t xml:space="preserve">However, </w:t>
      </w:r>
      <w:r w:rsidR="00E15162" w:rsidRPr="00E15162">
        <w:rPr>
          <w:rFonts w:cs="Tahoma"/>
          <w:lang w:val="en-US"/>
        </w:rPr>
        <w:t xml:space="preserve">the </w:t>
      </w:r>
      <w:r w:rsidRPr="00E15162">
        <w:rPr>
          <w:rFonts w:cs="Tahoma"/>
          <w:lang w:val="en-US"/>
        </w:rPr>
        <w:t>VPA and Council did not believe that a PAO over the alignment is necessary at this early stage as:</w:t>
      </w:r>
    </w:p>
    <w:p w14:paraId="3C35F3BE" w14:textId="77777777" w:rsidR="00E15162" w:rsidRPr="00E15162" w:rsidRDefault="00E15162" w:rsidP="00AF505E">
      <w:pPr>
        <w:pStyle w:val="ListParagraph"/>
        <w:spacing w:after="0"/>
        <w:rPr>
          <w:rFonts w:cs="Tahoma"/>
          <w:lang w:val="en-US"/>
        </w:rPr>
      </w:pPr>
    </w:p>
    <w:p w14:paraId="7CD48EB2" w14:textId="77777777" w:rsidR="00E15162" w:rsidRPr="00E15162" w:rsidRDefault="00E15162" w:rsidP="00736861">
      <w:pPr>
        <w:pStyle w:val="ListParagraph"/>
        <w:widowControl w:val="0"/>
        <w:numPr>
          <w:ilvl w:val="1"/>
          <w:numId w:val="9"/>
        </w:numPr>
        <w:autoSpaceDE w:val="0"/>
        <w:autoSpaceDN w:val="0"/>
        <w:adjustRightInd w:val="0"/>
        <w:spacing w:after="0" w:line="240" w:lineRule="auto"/>
        <w:ind w:left="1985" w:hanging="397"/>
        <w:rPr>
          <w:rFonts w:cs="Times New Roman"/>
          <w:lang w:val="en-US"/>
        </w:rPr>
      </w:pPr>
      <w:r>
        <w:rPr>
          <w:rFonts w:cs="Tahoma"/>
          <w:lang w:val="en-US"/>
        </w:rPr>
        <w:t>A</w:t>
      </w:r>
      <w:r w:rsidR="008E6E8C" w:rsidRPr="00E15162">
        <w:rPr>
          <w:rFonts w:cs="Tahoma"/>
          <w:lang w:val="en-US"/>
        </w:rPr>
        <w:t>lthough fragmented, most of the land required for Hopkins Rd is under the control of developers or owned by landowners who are in negotiation with developers. At this stage the only gaps appear to be at properties 19, 22-R, 23</w:t>
      </w:r>
      <w:r w:rsidR="007B7CE2" w:rsidRPr="00E15162">
        <w:rPr>
          <w:rFonts w:cs="Tahoma"/>
          <w:lang w:val="en-US"/>
        </w:rPr>
        <w:t>, 13-R</w:t>
      </w:r>
      <w:r w:rsidR="008E6E8C" w:rsidRPr="00E15162">
        <w:rPr>
          <w:rFonts w:cs="Tahoma"/>
          <w:lang w:val="en-US"/>
        </w:rPr>
        <w:t> and 25 (</w:t>
      </w:r>
      <w:proofErr w:type="spellStart"/>
      <w:r w:rsidR="008E6E8C" w:rsidRPr="00E15162">
        <w:rPr>
          <w:rFonts w:cs="Tahoma"/>
          <w:lang w:val="en-US"/>
        </w:rPr>
        <w:t>Kororoit</w:t>
      </w:r>
      <w:proofErr w:type="spellEnd"/>
      <w:r w:rsidR="008E6E8C" w:rsidRPr="00E15162">
        <w:rPr>
          <w:rFonts w:cs="Tahoma"/>
          <w:lang w:val="en-US"/>
        </w:rPr>
        <w:t>) and property 1</w:t>
      </w:r>
      <w:r w:rsidR="007B7CE2" w:rsidRPr="00E15162">
        <w:rPr>
          <w:rFonts w:cs="Tahoma"/>
          <w:lang w:val="en-US"/>
        </w:rPr>
        <w:t>4</w:t>
      </w:r>
      <w:r w:rsidR="008E6E8C" w:rsidRPr="00E15162">
        <w:rPr>
          <w:rFonts w:cs="Tahoma"/>
          <w:lang w:val="en-US"/>
        </w:rPr>
        <w:t> (</w:t>
      </w:r>
      <w:proofErr w:type="spellStart"/>
      <w:r w:rsidR="008E6E8C" w:rsidRPr="00E15162">
        <w:rPr>
          <w:rFonts w:cs="Tahoma"/>
          <w:lang w:val="en-US"/>
        </w:rPr>
        <w:t>Plumpton</w:t>
      </w:r>
      <w:proofErr w:type="spellEnd"/>
      <w:r w:rsidR="008E6E8C" w:rsidRPr="00E15162">
        <w:rPr>
          <w:rFonts w:cs="Tahoma"/>
          <w:lang w:val="en-US"/>
        </w:rPr>
        <w:t>). </w:t>
      </w:r>
    </w:p>
    <w:p w14:paraId="0173383B" w14:textId="6692066E" w:rsidR="00E15162" w:rsidRPr="00E15162" w:rsidRDefault="00E15162" w:rsidP="00736861">
      <w:pPr>
        <w:pStyle w:val="ListParagraph"/>
        <w:widowControl w:val="0"/>
        <w:numPr>
          <w:ilvl w:val="1"/>
          <w:numId w:val="9"/>
        </w:numPr>
        <w:autoSpaceDE w:val="0"/>
        <w:autoSpaceDN w:val="0"/>
        <w:adjustRightInd w:val="0"/>
        <w:spacing w:after="0" w:line="240" w:lineRule="auto"/>
        <w:ind w:left="1985" w:hanging="397"/>
        <w:rPr>
          <w:rFonts w:cs="Times New Roman"/>
          <w:lang w:val="en-US"/>
        </w:rPr>
      </w:pPr>
      <w:r>
        <w:rPr>
          <w:rFonts w:cs="Tahoma"/>
          <w:lang w:val="en-US"/>
        </w:rPr>
        <w:t>S</w:t>
      </w:r>
      <w:r w:rsidR="008E6E8C" w:rsidRPr="00E15162">
        <w:rPr>
          <w:rFonts w:cs="Tahoma"/>
          <w:lang w:val="en-US"/>
        </w:rPr>
        <w:t xml:space="preserve">ecuring the land from developer proponents through </w:t>
      </w:r>
      <w:r w:rsidR="009416F4">
        <w:rPr>
          <w:rFonts w:cs="Tahoma"/>
          <w:lang w:val="en-US"/>
        </w:rPr>
        <w:t>Infrastructure Contribution Plan (</w:t>
      </w:r>
      <w:r w:rsidR="008E6E8C" w:rsidRPr="00E15162">
        <w:rPr>
          <w:rFonts w:cs="Tahoma"/>
          <w:lang w:val="en-US"/>
        </w:rPr>
        <w:t>ICP</w:t>
      </w:r>
      <w:r w:rsidR="009416F4">
        <w:rPr>
          <w:rFonts w:cs="Tahoma"/>
          <w:lang w:val="en-US"/>
        </w:rPr>
        <w:t>)</w:t>
      </w:r>
      <w:r w:rsidR="008E6E8C" w:rsidRPr="00E15162">
        <w:rPr>
          <w:rFonts w:cs="Tahoma"/>
          <w:lang w:val="en-US"/>
        </w:rPr>
        <w:t xml:space="preserve"> works-in-kind early subdivision and provision of the land through ICP works-in-kind is the most efficient, simplest way for Council to secure the land.</w:t>
      </w:r>
    </w:p>
    <w:p w14:paraId="3C40E2C3" w14:textId="77777777" w:rsidR="00E15162" w:rsidRPr="00E15162" w:rsidRDefault="00E15162" w:rsidP="00736861">
      <w:pPr>
        <w:pStyle w:val="ListParagraph"/>
        <w:widowControl w:val="0"/>
        <w:numPr>
          <w:ilvl w:val="1"/>
          <w:numId w:val="9"/>
        </w:numPr>
        <w:autoSpaceDE w:val="0"/>
        <w:autoSpaceDN w:val="0"/>
        <w:adjustRightInd w:val="0"/>
        <w:spacing w:after="0" w:line="240" w:lineRule="auto"/>
        <w:ind w:left="1985" w:hanging="397"/>
        <w:rPr>
          <w:rFonts w:cs="Times New Roman"/>
          <w:lang w:val="en-US"/>
        </w:rPr>
      </w:pPr>
      <w:r>
        <w:rPr>
          <w:rFonts w:cs="Tahoma"/>
          <w:lang w:val="en-US"/>
        </w:rPr>
        <w:t>S</w:t>
      </w:r>
      <w:r w:rsidR="008E6E8C" w:rsidRPr="00E15162">
        <w:rPr>
          <w:rFonts w:cs="Tahoma"/>
          <w:lang w:val="en-US"/>
        </w:rPr>
        <w:t>hould the remaining properties not wish to develop for some time, landowners may still wish to subdivide the Hopkins Rd part of the land and sell this to Council. </w:t>
      </w:r>
    </w:p>
    <w:p w14:paraId="20481694" w14:textId="217D5606" w:rsidR="008E6E8C" w:rsidRPr="00E15162" w:rsidRDefault="00E15162" w:rsidP="00736861">
      <w:pPr>
        <w:pStyle w:val="ListParagraph"/>
        <w:widowControl w:val="0"/>
        <w:numPr>
          <w:ilvl w:val="1"/>
          <w:numId w:val="9"/>
        </w:numPr>
        <w:autoSpaceDE w:val="0"/>
        <w:autoSpaceDN w:val="0"/>
        <w:adjustRightInd w:val="0"/>
        <w:spacing w:after="0" w:line="240" w:lineRule="auto"/>
        <w:ind w:left="1985" w:hanging="397"/>
        <w:rPr>
          <w:rFonts w:cs="Times New Roman"/>
          <w:lang w:val="en-US"/>
        </w:rPr>
      </w:pPr>
      <w:r w:rsidRPr="00E15162">
        <w:rPr>
          <w:rFonts w:cs="Tahoma"/>
          <w:lang w:val="en-US"/>
        </w:rPr>
        <w:t>S</w:t>
      </w:r>
      <w:r w:rsidR="008E6E8C" w:rsidRPr="00E15162">
        <w:rPr>
          <w:rFonts w:cs="Tahoma"/>
          <w:lang w:val="en-US"/>
        </w:rPr>
        <w:t>hould the remaining properties not wish to subdivide to allow access to Hopkins R</w:t>
      </w:r>
      <w:r w:rsidR="009416F4">
        <w:rPr>
          <w:rFonts w:cs="Tahoma"/>
          <w:lang w:val="en-US"/>
        </w:rPr>
        <w:t>oa</w:t>
      </w:r>
      <w:r w:rsidR="008E6E8C" w:rsidRPr="00E15162">
        <w:rPr>
          <w:rFonts w:cs="Tahoma"/>
          <w:lang w:val="en-US"/>
        </w:rPr>
        <w:t>d for some time, then Council could apply a PAO over relevant short stretches of the road alignment at that time.</w:t>
      </w:r>
    </w:p>
    <w:p w14:paraId="0896F280" w14:textId="77777777" w:rsidR="008E6E8C" w:rsidRPr="0000098E" w:rsidRDefault="008E6E8C" w:rsidP="00AF505E">
      <w:pPr>
        <w:widowControl w:val="0"/>
        <w:autoSpaceDE w:val="0"/>
        <w:autoSpaceDN w:val="0"/>
        <w:adjustRightInd w:val="0"/>
        <w:spacing w:after="0" w:line="240" w:lineRule="auto"/>
        <w:ind w:left="720"/>
        <w:rPr>
          <w:rFonts w:cs="Times New Roman"/>
          <w:lang w:val="en-US"/>
        </w:rPr>
      </w:pPr>
    </w:p>
    <w:p w14:paraId="21E1DDF6" w14:textId="77777777" w:rsidR="00E15162" w:rsidRDefault="008E6E8C" w:rsidP="00736861">
      <w:pPr>
        <w:pStyle w:val="ListParagraph"/>
        <w:widowControl w:val="0"/>
        <w:numPr>
          <w:ilvl w:val="0"/>
          <w:numId w:val="9"/>
        </w:numPr>
        <w:autoSpaceDE w:val="0"/>
        <w:autoSpaceDN w:val="0"/>
        <w:adjustRightInd w:val="0"/>
        <w:spacing w:after="0" w:line="240" w:lineRule="auto"/>
        <w:ind w:left="1021" w:hanging="1021"/>
        <w:rPr>
          <w:rFonts w:cs="Tahoma"/>
          <w:lang w:val="en-US"/>
        </w:rPr>
      </w:pPr>
      <w:r w:rsidRPr="00E15162">
        <w:rPr>
          <w:rFonts w:cs="Tahoma"/>
          <w:lang w:val="en-US"/>
        </w:rPr>
        <w:t xml:space="preserve">By way of example, </w:t>
      </w:r>
      <w:r w:rsidR="00E15162">
        <w:rPr>
          <w:rFonts w:cs="Tahoma"/>
          <w:lang w:val="en-US"/>
        </w:rPr>
        <w:t xml:space="preserve">the </w:t>
      </w:r>
      <w:r w:rsidRPr="00E15162">
        <w:rPr>
          <w:rFonts w:cs="Tahoma"/>
          <w:lang w:val="en-US"/>
        </w:rPr>
        <w:t xml:space="preserve">VPA understands that Council is already in discussions with relevant landowners to secure the alignment of Hopkins Road between Neale Road and the </w:t>
      </w:r>
      <w:proofErr w:type="spellStart"/>
      <w:r w:rsidRPr="00E15162">
        <w:rPr>
          <w:rFonts w:cs="Tahoma"/>
          <w:lang w:val="en-US"/>
        </w:rPr>
        <w:t>Kororoit</w:t>
      </w:r>
      <w:proofErr w:type="spellEnd"/>
      <w:r w:rsidRPr="00E15162">
        <w:rPr>
          <w:rFonts w:cs="Tahoma"/>
          <w:lang w:val="en-US"/>
        </w:rPr>
        <w:t xml:space="preserve"> Creek.</w:t>
      </w:r>
    </w:p>
    <w:p w14:paraId="710CE874" w14:textId="77777777" w:rsidR="00E15162" w:rsidRDefault="00E15162" w:rsidP="00AF505E">
      <w:pPr>
        <w:pStyle w:val="ListParagraph"/>
        <w:widowControl w:val="0"/>
        <w:autoSpaceDE w:val="0"/>
        <w:autoSpaceDN w:val="0"/>
        <w:adjustRightInd w:val="0"/>
        <w:spacing w:after="0" w:line="240" w:lineRule="auto"/>
        <w:ind w:left="1021"/>
        <w:rPr>
          <w:rFonts w:cs="Tahoma"/>
          <w:lang w:val="en-US"/>
        </w:rPr>
      </w:pPr>
    </w:p>
    <w:p w14:paraId="173E8BED" w14:textId="77777777" w:rsidR="00E15162" w:rsidRDefault="00E15162" w:rsidP="00736861">
      <w:pPr>
        <w:pStyle w:val="ListParagraph"/>
        <w:widowControl w:val="0"/>
        <w:numPr>
          <w:ilvl w:val="0"/>
          <w:numId w:val="9"/>
        </w:numPr>
        <w:autoSpaceDE w:val="0"/>
        <w:autoSpaceDN w:val="0"/>
        <w:adjustRightInd w:val="0"/>
        <w:spacing w:after="0" w:line="240" w:lineRule="auto"/>
        <w:ind w:left="1021" w:hanging="1021"/>
        <w:rPr>
          <w:rFonts w:cs="Tahoma"/>
          <w:lang w:val="en-US"/>
        </w:rPr>
      </w:pPr>
      <w:r>
        <w:rPr>
          <w:rFonts w:cs="Tahoma"/>
          <w:lang w:val="en-US"/>
        </w:rPr>
        <w:t xml:space="preserve">The </w:t>
      </w:r>
      <w:r w:rsidR="000C60B5" w:rsidRPr="00E15162">
        <w:rPr>
          <w:rFonts w:cs="Tahoma"/>
          <w:lang w:val="en-US"/>
        </w:rPr>
        <w:t xml:space="preserve">VPA considers that the orderly and early delivery of Hopkins Road will be achievable with the PSP as exhibited. </w:t>
      </w:r>
    </w:p>
    <w:p w14:paraId="558AB839" w14:textId="77777777" w:rsidR="00E15162" w:rsidRPr="00E15162" w:rsidRDefault="00E15162" w:rsidP="00AF505E">
      <w:pPr>
        <w:pStyle w:val="ListParagraph"/>
        <w:spacing w:after="0"/>
        <w:rPr>
          <w:rFonts w:cs="Tahoma"/>
          <w:lang w:val="en-US"/>
        </w:rPr>
      </w:pPr>
    </w:p>
    <w:p w14:paraId="45CA343B" w14:textId="77777777" w:rsidR="000C60B5" w:rsidRPr="00E15162" w:rsidRDefault="00E15162" w:rsidP="00736861">
      <w:pPr>
        <w:pStyle w:val="ListParagraph"/>
        <w:widowControl w:val="0"/>
        <w:numPr>
          <w:ilvl w:val="0"/>
          <w:numId w:val="9"/>
        </w:numPr>
        <w:autoSpaceDE w:val="0"/>
        <w:autoSpaceDN w:val="0"/>
        <w:adjustRightInd w:val="0"/>
        <w:spacing w:after="0" w:line="240" w:lineRule="auto"/>
        <w:ind w:left="1021" w:hanging="1021"/>
        <w:rPr>
          <w:rFonts w:cs="Tahoma"/>
          <w:lang w:val="en-US"/>
        </w:rPr>
      </w:pPr>
      <w:r>
        <w:rPr>
          <w:rFonts w:cs="Tahoma"/>
          <w:lang w:val="en-US"/>
        </w:rPr>
        <w:t xml:space="preserve">The </w:t>
      </w:r>
      <w:r w:rsidR="000C60B5" w:rsidRPr="00E15162">
        <w:rPr>
          <w:rFonts w:cs="Tahoma"/>
          <w:lang w:val="en-US"/>
        </w:rPr>
        <w:t xml:space="preserve">VPA does not seek any particular recommendation from the Panel in relation to this issue. </w:t>
      </w:r>
    </w:p>
    <w:p w14:paraId="4295FDB2" w14:textId="77777777" w:rsidR="00F756CC" w:rsidRPr="009E6769" w:rsidRDefault="00F756CC" w:rsidP="00AF505E">
      <w:pPr>
        <w:pStyle w:val="Heading2"/>
        <w:rPr>
          <w:sz w:val="22"/>
          <w:szCs w:val="22"/>
          <w:lang w:val="en-AU"/>
        </w:rPr>
      </w:pPr>
    </w:p>
    <w:p w14:paraId="394328DA" w14:textId="6082F368" w:rsidR="00D20334" w:rsidRPr="00D20334" w:rsidRDefault="009E6769" w:rsidP="00AF505E">
      <w:pPr>
        <w:pStyle w:val="Heading2"/>
      </w:pPr>
      <w:bookmarkStart w:id="4" w:name="_Toc469573640"/>
      <w:r>
        <w:t xml:space="preserve">2.2 </w:t>
      </w:r>
      <w:r w:rsidR="008E6E8C" w:rsidRPr="009E6769">
        <w:t>ICP</w:t>
      </w:r>
      <w:bookmarkEnd w:id="4"/>
    </w:p>
    <w:p w14:paraId="083D88F0" w14:textId="77777777" w:rsidR="009F6945" w:rsidRPr="0000098E" w:rsidRDefault="009F6945" w:rsidP="00AF505E">
      <w:pPr>
        <w:pStyle w:val="Heading3"/>
        <w:rPr>
          <w:lang w:val="en-US"/>
        </w:rPr>
      </w:pPr>
      <w:bookmarkStart w:id="5" w:name="_Toc469573641"/>
      <w:r>
        <w:rPr>
          <w:lang w:val="en-US"/>
        </w:rPr>
        <w:t>Items to be included within the ICP</w:t>
      </w:r>
      <w:bookmarkEnd w:id="5"/>
    </w:p>
    <w:p w14:paraId="3BBB03FA" w14:textId="6059F46D" w:rsidR="00E15162" w:rsidRDefault="008E6E8C" w:rsidP="00736861">
      <w:pPr>
        <w:pStyle w:val="ListParagraph"/>
        <w:numPr>
          <w:ilvl w:val="0"/>
          <w:numId w:val="9"/>
        </w:numPr>
        <w:spacing w:after="0"/>
        <w:ind w:left="1021" w:hanging="1021"/>
        <w:rPr>
          <w:lang w:val="en-US"/>
        </w:rPr>
      </w:pPr>
      <w:r w:rsidRPr="00E15162">
        <w:rPr>
          <w:lang w:val="en-US"/>
        </w:rPr>
        <w:t xml:space="preserve">The Panel asked the VPA to make clear whether it is seeking that the Panel recommend that certain items be "Included in </w:t>
      </w:r>
      <w:r w:rsidR="009416F4">
        <w:rPr>
          <w:lang w:val="en-US"/>
        </w:rPr>
        <w:t xml:space="preserve">the </w:t>
      </w:r>
      <w:r w:rsidRPr="00E15162">
        <w:rPr>
          <w:lang w:val="en-US"/>
        </w:rPr>
        <w:t xml:space="preserve">ICP"; or whether </w:t>
      </w:r>
      <w:r w:rsidR="00E15162">
        <w:rPr>
          <w:lang w:val="en-US"/>
        </w:rPr>
        <w:t xml:space="preserve">the </w:t>
      </w:r>
      <w:r w:rsidRPr="00E15162">
        <w:rPr>
          <w:lang w:val="en-US"/>
        </w:rPr>
        <w:t>VPA is seeking that the Panel simply make a finding that certain items are strategically justified.  </w:t>
      </w:r>
    </w:p>
    <w:p w14:paraId="10946EC8" w14:textId="77777777" w:rsidR="00E15162" w:rsidRDefault="00E15162" w:rsidP="00AF505E">
      <w:pPr>
        <w:pStyle w:val="ListParagraph"/>
        <w:spacing w:after="0"/>
        <w:ind w:left="1021"/>
        <w:rPr>
          <w:lang w:val="en-US"/>
        </w:rPr>
      </w:pPr>
    </w:p>
    <w:p w14:paraId="296AA3C8" w14:textId="77777777" w:rsidR="008E6E8C" w:rsidRPr="00E15162" w:rsidRDefault="00E15162" w:rsidP="00736861">
      <w:pPr>
        <w:pStyle w:val="ListParagraph"/>
        <w:numPr>
          <w:ilvl w:val="0"/>
          <w:numId w:val="9"/>
        </w:numPr>
        <w:spacing w:after="0"/>
        <w:ind w:left="1021" w:hanging="1021"/>
        <w:rPr>
          <w:lang w:val="en-US"/>
        </w:rPr>
      </w:pPr>
      <w:r w:rsidRPr="00E15162">
        <w:rPr>
          <w:lang w:val="en-US"/>
        </w:rPr>
        <w:t xml:space="preserve">The </w:t>
      </w:r>
      <w:r w:rsidR="008E6E8C" w:rsidRPr="00E15162">
        <w:rPr>
          <w:lang w:val="en-US"/>
        </w:rPr>
        <w:t>VPA requests that the Panel does make recommendations that the items are both:</w:t>
      </w:r>
    </w:p>
    <w:p w14:paraId="7B1A012D" w14:textId="77777777" w:rsidR="008E6E8C" w:rsidRPr="00E15162" w:rsidRDefault="00E15162" w:rsidP="00736861">
      <w:pPr>
        <w:pStyle w:val="ListParagraph"/>
        <w:widowControl w:val="0"/>
        <w:numPr>
          <w:ilvl w:val="1"/>
          <w:numId w:val="9"/>
        </w:numPr>
        <w:autoSpaceDE w:val="0"/>
        <w:autoSpaceDN w:val="0"/>
        <w:adjustRightInd w:val="0"/>
        <w:spacing w:after="0" w:line="240" w:lineRule="auto"/>
        <w:ind w:left="1985" w:hanging="397"/>
        <w:rPr>
          <w:rFonts w:cs="Tahoma"/>
          <w:lang w:val="en-US"/>
        </w:rPr>
      </w:pPr>
      <w:r>
        <w:rPr>
          <w:lang w:val="en-US"/>
        </w:rPr>
        <w:t>S</w:t>
      </w:r>
      <w:r w:rsidR="008E6E8C" w:rsidRPr="00E15162">
        <w:rPr>
          <w:rFonts w:cs="Tahoma"/>
          <w:lang w:val="en-US"/>
        </w:rPr>
        <w:t>trategically justified; and</w:t>
      </w:r>
    </w:p>
    <w:p w14:paraId="2FAC0D2A" w14:textId="77777777" w:rsidR="00E15162" w:rsidRDefault="00E15162" w:rsidP="00736861">
      <w:pPr>
        <w:pStyle w:val="ListParagraph"/>
        <w:widowControl w:val="0"/>
        <w:numPr>
          <w:ilvl w:val="1"/>
          <w:numId w:val="9"/>
        </w:numPr>
        <w:autoSpaceDE w:val="0"/>
        <w:autoSpaceDN w:val="0"/>
        <w:adjustRightInd w:val="0"/>
        <w:spacing w:after="0" w:line="240" w:lineRule="auto"/>
        <w:ind w:left="1985" w:hanging="397"/>
        <w:rPr>
          <w:rFonts w:cs="Tahoma"/>
          <w:lang w:val="en-US"/>
        </w:rPr>
      </w:pPr>
      <w:r>
        <w:rPr>
          <w:rFonts w:cs="Tahoma"/>
          <w:lang w:val="en-US"/>
        </w:rPr>
        <w:t>S</w:t>
      </w:r>
      <w:r w:rsidR="008E6E8C" w:rsidRPr="00E15162">
        <w:rPr>
          <w:rFonts w:cs="Tahoma"/>
          <w:lang w:val="en-US"/>
        </w:rPr>
        <w:t>hould be included in the ICP. </w:t>
      </w:r>
    </w:p>
    <w:p w14:paraId="7681DACC" w14:textId="77777777" w:rsidR="00E15162" w:rsidRPr="00E15162" w:rsidRDefault="00E15162" w:rsidP="00AF505E">
      <w:pPr>
        <w:pStyle w:val="ListParagraph"/>
        <w:widowControl w:val="0"/>
        <w:autoSpaceDE w:val="0"/>
        <w:autoSpaceDN w:val="0"/>
        <w:adjustRightInd w:val="0"/>
        <w:spacing w:after="0" w:line="240" w:lineRule="auto"/>
        <w:ind w:left="1985"/>
        <w:rPr>
          <w:rFonts w:cs="Tahoma"/>
          <w:lang w:val="en-US"/>
        </w:rPr>
      </w:pPr>
    </w:p>
    <w:p w14:paraId="6EB3BC71" w14:textId="77777777" w:rsidR="00E15162" w:rsidRDefault="00E15162" w:rsidP="00736861">
      <w:pPr>
        <w:pStyle w:val="ListParagraph"/>
        <w:numPr>
          <w:ilvl w:val="0"/>
          <w:numId w:val="9"/>
        </w:numPr>
        <w:spacing w:after="0"/>
        <w:ind w:left="1021" w:hanging="1021"/>
        <w:rPr>
          <w:lang w:val="en-US"/>
        </w:rPr>
      </w:pPr>
      <w:r>
        <w:rPr>
          <w:lang w:val="en-US"/>
        </w:rPr>
        <w:lastRenderedPageBreak/>
        <w:t xml:space="preserve">The </w:t>
      </w:r>
      <w:r w:rsidR="008E6E8C" w:rsidRPr="008E6E8C">
        <w:rPr>
          <w:lang w:val="en-US"/>
        </w:rPr>
        <w:t>VPA anticipates that for the majority of items included within the relevant Table 9, this will not give rise to any difficulty.  </w:t>
      </w:r>
    </w:p>
    <w:p w14:paraId="00513078" w14:textId="77777777" w:rsidR="00E15162" w:rsidRDefault="00E15162" w:rsidP="00AF505E">
      <w:pPr>
        <w:pStyle w:val="ListParagraph"/>
        <w:spacing w:after="0"/>
        <w:ind w:left="1021"/>
        <w:rPr>
          <w:lang w:val="en-US"/>
        </w:rPr>
      </w:pPr>
    </w:p>
    <w:p w14:paraId="45BD10FC" w14:textId="77777777" w:rsidR="000C60B5" w:rsidRPr="00DD54A9" w:rsidRDefault="008E6E8C" w:rsidP="00736861">
      <w:pPr>
        <w:pStyle w:val="ListParagraph"/>
        <w:numPr>
          <w:ilvl w:val="0"/>
          <w:numId w:val="9"/>
        </w:numPr>
        <w:spacing w:after="0"/>
        <w:ind w:left="1021" w:hanging="1021"/>
        <w:rPr>
          <w:lang w:val="en-US"/>
        </w:rPr>
      </w:pPr>
      <w:r w:rsidRPr="00E15162">
        <w:rPr>
          <w:lang w:val="en-US"/>
        </w:rPr>
        <w:t xml:space="preserve">There are a limited number of particular items which have been raised by submitters, </w:t>
      </w:r>
      <w:r w:rsidRPr="00DD54A9">
        <w:rPr>
          <w:lang w:val="en-US"/>
        </w:rPr>
        <w:t>and which will</w:t>
      </w:r>
      <w:r w:rsidR="000C60B5" w:rsidRPr="00DD54A9">
        <w:rPr>
          <w:lang w:val="en-US"/>
        </w:rPr>
        <w:t xml:space="preserve"> therefore</w:t>
      </w:r>
      <w:r w:rsidRPr="00DD54A9">
        <w:rPr>
          <w:lang w:val="en-US"/>
        </w:rPr>
        <w:t xml:space="preserve"> require closer attention from the Panel </w:t>
      </w:r>
      <w:r w:rsidR="000C60B5" w:rsidRPr="00DD54A9">
        <w:rPr>
          <w:lang w:val="en-US"/>
        </w:rPr>
        <w:t>–</w:t>
      </w:r>
      <w:r w:rsidRPr="00DD54A9">
        <w:rPr>
          <w:lang w:val="en-US"/>
        </w:rPr>
        <w:t xml:space="preserve"> namely</w:t>
      </w:r>
      <w:r w:rsidR="000C60B5" w:rsidRPr="00DD54A9">
        <w:rPr>
          <w:lang w:val="en-US"/>
        </w:rPr>
        <w:t>:</w:t>
      </w:r>
      <w:r w:rsidRPr="00DD54A9">
        <w:rPr>
          <w:lang w:val="en-US"/>
        </w:rPr>
        <w:t xml:space="preserve"> </w:t>
      </w:r>
    </w:p>
    <w:p w14:paraId="01415F88" w14:textId="77777777" w:rsidR="000C60B5" w:rsidRPr="00DD54A9" w:rsidRDefault="008E6E8C" w:rsidP="00736861">
      <w:pPr>
        <w:pStyle w:val="ListParagraph"/>
        <w:numPr>
          <w:ilvl w:val="0"/>
          <w:numId w:val="6"/>
        </w:numPr>
        <w:spacing w:after="0"/>
        <w:rPr>
          <w:lang w:val="en-US"/>
        </w:rPr>
      </w:pPr>
      <w:r w:rsidRPr="00DD54A9">
        <w:rPr>
          <w:lang w:val="en-US"/>
        </w:rPr>
        <w:t xml:space="preserve">the proposed aquatic </w:t>
      </w:r>
      <w:proofErr w:type="spellStart"/>
      <w:r w:rsidRPr="00DD54A9">
        <w:rPr>
          <w:lang w:val="en-US"/>
        </w:rPr>
        <w:t>centre</w:t>
      </w:r>
      <w:proofErr w:type="spellEnd"/>
      <w:r w:rsidRPr="00DD54A9">
        <w:rPr>
          <w:lang w:val="en-US"/>
        </w:rPr>
        <w:t xml:space="preserve">; </w:t>
      </w:r>
    </w:p>
    <w:p w14:paraId="43FA86F3" w14:textId="77777777" w:rsidR="000C60B5" w:rsidRPr="00DD54A9" w:rsidRDefault="008E6E8C" w:rsidP="00736861">
      <w:pPr>
        <w:pStyle w:val="ListParagraph"/>
        <w:numPr>
          <w:ilvl w:val="0"/>
          <w:numId w:val="6"/>
        </w:numPr>
        <w:spacing w:after="0"/>
        <w:rPr>
          <w:lang w:val="en-US"/>
        </w:rPr>
      </w:pPr>
      <w:proofErr w:type="spellStart"/>
      <w:r w:rsidRPr="00DD54A9">
        <w:rPr>
          <w:lang w:val="en-US"/>
        </w:rPr>
        <w:t>Sinclairs</w:t>
      </w:r>
      <w:proofErr w:type="spellEnd"/>
      <w:r w:rsidRPr="00DD54A9">
        <w:rPr>
          <w:lang w:val="en-US"/>
        </w:rPr>
        <w:t xml:space="preserve"> Rd widening; </w:t>
      </w:r>
    </w:p>
    <w:p w14:paraId="7D17E800" w14:textId="77777777" w:rsidR="000C60B5" w:rsidRPr="00DD54A9" w:rsidRDefault="000C60B5" w:rsidP="00736861">
      <w:pPr>
        <w:pStyle w:val="ListParagraph"/>
        <w:numPr>
          <w:ilvl w:val="0"/>
          <w:numId w:val="6"/>
        </w:numPr>
        <w:spacing w:after="0"/>
        <w:rPr>
          <w:lang w:val="en-US"/>
        </w:rPr>
      </w:pPr>
      <w:r w:rsidRPr="00DD54A9">
        <w:rPr>
          <w:lang w:val="en-US"/>
        </w:rPr>
        <w:t>Bridges 1 and 3;</w:t>
      </w:r>
    </w:p>
    <w:p w14:paraId="192C377F" w14:textId="32725A9F" w:rsidR="000C60B5" w:rsidRPr="00DD54A9" w:rsidRDefault="000C60B5" w:rsidP="00736861">
      <w:pPr>
        <w:pStyle w:val="ListParagraph"/>
        <w:numPr>
          <w:ilvl w:val="0"/>
          <w:numId w:val="6"/>
        </w:numPr>
        <w:spacing w:after="0"/>
        <w:rPr>
          <w:lang w:val="en-US"/>
        </w:rPr>
      </w:pPr>
      <w:r w:rsidRPr="00DD54A9">
        <w:rPr>
          <w:lang w:val="en-US"/>
        </w:rPr>
        <w:t>P</w:t>
      </w:r>
      <w:r w:rsidR="008E6E8C" w:rsidRPr="00DD54A9">
        <w:rPr>
          <w:lang w:val="en-US"/>
        </w:rPr>
        <w:t>edestrian bridge</w:t>
      </w:r>
      <w:r w:rsidRPr="00DD54A9">
        <w:rPr>
          <w:lang w:val="en-US"/>
        </w:rPr>
        <w:t>s</w:t>
      </w:r>
      <w:r w:rsidR="008E6E8C" w:rsidRPr="00DD54A9">
        <w:rPr>
          <w:lang w:val="en-US"/>
        </w:rPr>
        <w:t xml:space="preserve"> PBR-02</w:t>
      </w:r>
      <w:r w:rsidR="00DD54A9">
        <w:rPr>
          <w:lang w:val="en-US"/>
        </w:rPr>
        <w:t>, PBR-03</w:t>
      </w:r>
      <w:r w:rsidRPr="00DD54A9">
        <w:rPr>
          <w:lang w:val="en-US"/>
        </w:rPr>
        <w:t xml:space="preserve"> and</w:t>
      </w:r>
      <w:r w:rsidR="008E6E8C" w:rsidRPr="00DD54A9">
        <w:rPr>
          <w:lang w:val="en-US"/>
        </w:rPr>
        <w:t xml:space="preserve"> PBR</w:t>
      </w:r>
      <w:r w:rsidR="009F6945" w:rsidRPr="00DD54A9">
        <w:rPr>
          <w:lang w:val="en-US"/>
        </w:rPr>
        <w:t>-</w:t>
      </w:r>
      <w:r w:rsidR="008E6E8C" w:rsidRPr="00DD54A9">
        <w:rPr>
          <w:lang w:val="en-US"/>
        </w:rPr>
        <w:t xml:space="preserve">08; </w:t>
      </w:r>
    </w:p>
    <w:p w14:paraId="5059C167" w14:textId="3ED7A20F" w:rsidR="000C60B5" w:rsidRPr="00DD54A9" w:rsidRDefault="000C60B5" w:rsidP="00736861">
      <w:pPr>
        <w:pStyle w:val="ListParagraph"/>
        <w:numPr>
          <w:ilvl w:val="0"/>
          <w:numId w:val="6"/>
        </w:numPr>
        <w:spacing w:after="0"/>
        <w:rPr>
          <w:lang w:val="en-US"/>
        </w:rPr>
      </w:pPr>
      <w:r w:rsidRPr="00DD54A9">
        <w:rPr>
          <w:lang w:val="en-US"/>
        </w:rPr>
        <w:t>T</w:t>
      </w:r>
      <w:r w:rsidR="008E6E8C" w:rsidRPr="00DD54A9">
        <w:rPr>
          <w:lang w:val="en-US"/>
        </w:rPr>
        <w:t>wo proposed new intersect</w:t>
      </w:r>
      <w:r w:rsidRPr="00DD54A9">
        <w:rPr>
          <w:lang w:val="en-US"/>
        </w:rPr>
        <w:t xml:space="preserve">ions to access the </w:t>
      </w:r>
      <w:proofErr w:type="spellStart"/>
      <w:r w:rsidRPr="00DD54A9">
        <w:rPr>
          <w:lang w:val="en-US"/>
        </w:rPr>
        <w:t>Kororoit</w:t>
      </w:r>
      <w:proofErr w:type="spellEnd"/>
      <w:r w:rsidR="00122099" w:rsidRPr="00DD54A9">
        <w:rPr>
          <w:lang w:val="en-US"/>
        </w:rPr>
        <w:t xml:space="preserve"> Local Town Centre</w:t>
      </w:r>
      <w:r w:rsidRPr="00DD54A9">
        <w:rPr>
          <w:lang w:val="en-US"/>
        </w:rPr>
        <w:t xml:space="preserve"> </w:t>
      </w:r>
      <w:r w:rsidR="00122099" w:rsidRPr="00DD54A9">
        <w:rPr>
          <w:lang w:val="en-US"/>
        </w:rPr>
        <w:t>(</w:t>
      </w:r>
      <w:r w:rsidRPr="00DD54A9">
        <w:rPr>
          <w:lang w:val="en-US"/>
        </w:rPr>
        <w:t>LTC</w:t>
      </w:r>
      <w:r w:rsidR="00122099" w:rsidRPr="00DD54A9">
        <w:rPr>
          <w:lang w:val="en-US"/>
        </w:rPr>
        <w:t>)</w:t>
      </w:r>
      <w:r w:rsidRPr="00DD54A9">
        <w:rPr>
          <w:lang w:val="en-US"/>
        </w:rPr>
        <w:t>;</w:t>
      </w:r>
      <w:r w:rsidR="008E6E8C" w:rsidRPr="00DD54A9">
        <w:rPr>
          <w:lang w:val="en-US"/>
        </w:rPr>
        <w:t xml:space="preserve"> </w:t>
      </w:r>
    </w:p>
    <w:p w14:paraId="1E5D6416" w14:textId="77777777" w:rsidR="000C60B5" w:rsidRPr="00DD54A9" w:rsidRDefault="000C60B5" w:rsidP="00736861">
      <w:pPr>
        <w:pStyle w:val="ListParagraph"/>
        <w:numPr>
          <w:ilvl w:val="0"/>
          <w:numId w:val="6"/>
        </w:numPr>
        <w:spacing w:after="0"/>
        <w:rPr>
          <w:lang w:val="en-US"/>
        </w:rPr>
      </w:pPr>
      <w:r w:rsidRPr="00DD54A9">
        <w:rPr>
          <w:lang w:val="en-US"/>
        </w:rPr>
        <w:t>N</w:t>
      </w:r>
      <w:r w:rsidR="008E6E8C" w:rsidRPr="00DD54A9">
        <w:rPr>
          <w:lang w:val="en-US"/>
        </w:rPr>
        <w:t xml:space="preserve">ew pedestrian signals on Hopkins Rd close to CU-05; </w:t>
      </w:r>
    </w:p>
    <w:p w14:paraId="7FD56765" w14:textId="77777777" w:rsidR="000C60B5" w:rsidRPr="00DD54A9" w:rsidRDefault="000C60B5" w:rsidP="00736861">
      <w:pPr>
        <w:pStyle w:val="ListParagraph"/>
        <w:numPr>
          <w:ilvl w:val="0"/>
          <w:numId w:val="6"/>
        </w:numPr>
        <w:spacing w:after="0"/>
        <w:rPr>
          <w:lang w:val="en-US"/>
        </w:rPr>
      </w:pPr>
      <w:r w:rsidRPr="00DD54A9">
        <w:rPr>
          <w:lang w:val="en-US"/>
        </w:rPr>
        <w:t>Arterial roads over pipeline easement;</w:t>
      </w:r>
    </w:p>
    <w:p w14:paraId="38EC91DE" w14:textId="77777777" w:rsidR="000C60B5" w:rsidRPr="00DD54A9" w:rsidRDefault="008E6E8C" w:rsidP="00736861">
      <w:pPr>
        <w:pStyle w:val="ListParagraph"/>
        <w:numPr>
          <w:ilvl w:val="0"/>
          <w:numId w:val="6"/>
        </w:numPr>
        <w:spacing w:after="0"/>
        <w:rPr>
          <w:lang w:val="en-US"/>
        </w:rPr>
      </w:pPr>
      <w:proofErr w:type="spellStart"/>
      <w:r w:rsidRPr="00DD54A9">
        <w:rPr>
          <w:lang w:val="en-US"/>
        </w:rPr>
        <w:t>Beattys</w:t>
      </w:r>
      <w:proofErr w:type="spellEnd"/>
      <w:r w:rsidRPr="00DD54A9">
        <w:rPr>
          <w:lang w:val="en-US"/>
        </w:rPr>
        <w:t xml:space="preserve"> Rd road</w:t>
      </w:r>
      <w:r w:rsidR="005E7E1A" w:rsidRPr="00DD54A9">
        <w:rPr>
          <w:lang w:val="en-US"/>
        </w:rPr>
        <w:t>s</w:t>
      </w:r>
      <w:r w:rsidRPr="00DD54A9">
        <w:rPr>
          <w:lang w:val="en-US"/>
        </w:rPr>
        <w:t xml:space="preserve"> and landscaping works; and </w:t>
      </w:r>
    </w:p>
    <w:p w14:paraId="66A4B502" w14:textId="77777777" w:rsidR="008E6E8C" w:rsidRPr="00DD54A9" w:rsidRDefault="009F6945" w:rsidP="00736861">
      <w:pPr>
        <w:pStyle w:val="ListParagraph"/>
        <w:numPr>
          <w:ilvl w:val="0"/>
          <w:numId w:val="6"/>
        </w:numPr>
        <w:spacing w:after="0"/>
        <w:rPr>
          <w:lang w:val="en-US"/>
        </w:rPr>
      </w:pPr>
      <w:r w:rsidRPr="00DD54A9">
        <w:rPr>
          <w:lang w:val="en-US"/>
        </w:rPr>
        <w:t>T</w:t>
      </w:r>
      <w:r w:rsidR="008E6E8C" w:rsidRPr="00DD54A9">
        <w:rPr>
          <w:lang w:val="en-US"/>
        </w:rPr>
        <w:t>he shared path in powerlines easement. </w:t>
      </w:r>
    </w:p>
    <w:p w14:paraId="57C0F2E1" w14:textId="77777777" w:rsidR="003F335D" w:rsidRPr="00DD54A9" w:rsidRDefault="003F335D" w:rsidP="00AF505E">
      <w:pPr>
        <w:pStyle w:val="ListParagraph"/>
        <w:spacing w:after="0"/>
        <w:rPr>
          <w:lang w:val="en-US"/>
        </w:rPr>
      </w:pPr>
    </w:p>
    <w:p w14:paraId="203283D2" w14:textId="77777777" w:rsidR="000C60B5" w:rsidRPr="00DD54A9" w:rsidRDefault="008E6E8C" w:rsidP="0073197B">
      <w:pPr>
        <w:pStyle w:val="ListParagraph"/>
        <w:spacing w:after="0"/>
        <w:ind w:left="1021"/>
        <w:rPr>
          <w:lang w:val="en-US"/>
        </w:rPr>
      </w:pPr>
      <w:r w:rsidRPr="00DD54A9">
        <w:rPr>
          <w:lang w:val="en-US"/>
        </w:rPr>
        <w:t xml:space="preserve">In relation to these items, </w:t>
      </w:r>
      <w:r w:rsidR="003F335D" w:rsidRPr="00DD54A9">
        <w:rPr>
          <w:lang w:val="en-US"/>
        </w:rPr>
        <w:t xml:space="preserve">the </w:t>
      </w:r>
      <w:r w:rsidRPr="00DD54A9">
        <w:rPr>
          <w:lang w:val="en-US"/>
        </w:rPr>
        <w:t>VPA requests that the Panel make recommendations both that these items are strategically justified, and also, that they should or should not be included in the ICP (where this was VPA's submission in respect of a particular item).</w:t>
      </w:r>
    </w:p>
    <w:p w14:paraId="4B7E90D5" w14:textId="77777777" w:rsidR="00282BC1" w:rsidRDefault="00282BC1" w:rsidP="00AF505E">
      <w:pPr>
        <w:spacing w:after="0"/>
        <w:rPr>
          <w:lang w:val="en-US"/>
        </w:rPr>
      </w:pPr>
    </w:p>
    <w:p w14:paraId="4CF7E036" w14:textId="77777777" w:rsidR="000C60B5" w:rsidRDefault="000C60B5" w:rsidP="0073197B">
      <w:pPr>
        <w:pStyle w:val="ListParagraph"/>
        <w:numPr>
          <w:ilvl w:val="0"/>
          <w:numId w:val="9"/>
        </w:numPr>
        <w:spacing w:after="0"/>
        <w:ind w:left="1021" w:hanging="1021"/>
        <w:rPr>
          <w:lang w:val="en-US"/>
        </w:rPr>
      </w:pPr>
      <w:r w:rsidRPr="00DD54A9">
        <w:rPr>
          <w:lang w:val="en-US"/>
        </w:rPr>
        <w:t xml:space="preserve">For the </w:t>
      </w:r>
      <w:r w:rsidR="009F6945" w:rsidRPr="00DD54A9">
        <w:rPr>
          <w:lang w:val="en-US"/>
        </w:rPr>
        <w:t>assistance of the Panel, VPA has created a table</w:t>
      </w:r>
      <w:r w:rsidRPr="00DD54A9">
        <w:rPr>
          <w:lang w:val="en-US"/>
        </w:rPr>
        <w:t xml:space="preserve"> </w:t>
      </w:r>
      <w:r w:rsidR="009F6945" w:rsidRPr="00DD54A9">
        <w:rPr>
          <w:lang w:val="en-US"/>
        </w:rPr>
        <w:t>to provide a “ready reckoner” for each item</w:t>
      </w:r>
      <w:r w:rsidRPr="00DD54A9">
        <w:rPr>
          <w:lang w:val="en-US"/>
        </w:rPr>
        <w:t>:</w:t>
      </w:r>
    </w:p>
    <w:p w14:paraId="51872853" w14:textId="77777777" w:rsidR="00282BC1" w:rsidRDefault="00282BC1" w:rsidP="00AF505E">
      <w:pPr>
        <w:spacing w:after="0"/>
        <w:rPr>
          <w:lang w:val="en-US"/>
        </w:rPr>
      </w:pPr>
    </w:p>
    <w:tbl>
      <w:tblPr>
        <w:tblStyle w:val="TableGrid"/>
        <w:tblW w:w="0" w:type="auto"/>
        <w:tblLook w:val="04A0" w:firstRow="1" w:lastRow="0" w:firstColumn="1" w:lastColumn="0" w:noHBand="0" w:noVBand="1"/>
      </w:tblPr>
      <w:tblGrid>
        <w:gridCol w:w="2995"/>
        <w:gridCol w:w="2999"/>
        <w:gridCol w:w="3022"/>
      </w:tblGrid>
      <w:tr w:rsidR="009F6945" w14:paraId="6D61CCBA" w14:textId="77777777" w:rsidTr="009F6945">
        <w:tc>
          <w:tcPr>
            <w:tcW w:w="3080" w:type="dxa"/>
          </w:tcPr>
          <w:p w14:paraId="5C61580C" w14:textId="77777777" w:rsidR="009F6945" w:rsidRPr="0000098E" w:rsidRDefault="009F6945" w:rsidP="00AF505E">
            <w:pPr>
              <w:rPr>
                <w:b/>
                <w:lang w:val="en-US"/>
              </w:rPr>
            </w:pPr>
            <w:r>
              <w:rPr>
                <w:b/>
                <w:lang w:val="en-US"/>
              </w:rPr>
              <w:t>Item</w:t>
            </w:r>
          </w:p>
        </w:tc>
        <w:tc>
          <w:tcPr>
            <w:tcW w:w="3081" w:type="dxa"/>
          </w:tcPr>
          <w:p w14:paraId="1D7BBBCC" w14:textId="77777777" w:rsidR="009F6945" w:rsidRPr="0000098E" w:rsidRDefault="009F6945" w:rsidP="00AF505E">
            <w:pPr>
              <w:rPr>
                <w:b/>
                <w:lang w:val="en-US"/>
              </w:rPr>
            </w:pPr>
            <w:r>
              <w:rPr>
                <w:b/>
                <w:lang w:val="en-US"/>
              </w:rPr>
              <w:t>Raised by Submitter</w:t>
            </w:r>
          </w:p>
        </w:tc>
        <w:tc>
          <w:tcPr>
            <w:tcW w:w="3081" w:type="dxa"/>
          </w:tcPr>
          <w:p w14:paraId="2EE0491E" w14:textId="77777777" w:rsidR="009F6945" w:rsidRPr="0000098E" w:rsidRDefault="009F6945" w:rsidP="00AF505E">
            <w:pPr>
              <w:rPr>
                <w:b/>
                <w:lang w:val="en-US"/>
              </w:rPr>
            </w:pPr>
            <w:r>
              <w:rPr>
                <w:b/>
                <w:lang w:val="en-US"/>
              </w:rPr>
              <w:t>VPA’s position</w:t>
            </w:r>
          </w:p>
        </w:tc>
      </w:tr>
      <w:tr w:rsidR="009F6945" w14:paraId="03E2056C" w14:textId="77777777" w:rsidTr="009F6945">
        <w:tc>
          <w:tcPr>
            <w:tcW w:w="3080" w:type="dxa"/>
          </w:tcPr>
          <w:p w14:paraId="5BF7EAB0" w14:textId="77777777" w:rsidR="009F6945" w:rsidRDefault="009F6945" w:rsidP="00AF505E">
            <w:pPr>
              <w:rPr>
                <w:lang w:val="en-US"/>
              </w:rPr>
            </w:pPr>
            <w:r>
              <w:rPr>
                <w:lang w:val="en-US"/>
              </w:rPr>
              <w:t>Aquatic Centre</w:t>
            </w:r>
          </w:p>
        </w:tc>
        <w:tc>
          <w:tcPr>
            <w:tcW w:w="3081" w:type="dxa"/>
          </w:tcPr>
          <w:p w14:paraId="50F34A29" w14:textId="77777777" w:rsidR="009F6945" w:rsidRDefault="009F6945" w:rsidP="00AF505E">
            <w:pPr>
              <w:rPr>
                <w:lang w:val="en-US"/>
              </w:rPr>
            </w:pPr>
            <w:r>
              <w:rPr>
                <w:lang w:val="en-US"/>
              </w:rPr>
              <w:t xml:space="preserve">Council, </w:t>
            </w:r>
            <w:r w:rsidR="007A0F6E">
              <w:rPr>
                <w:lang w:val="en-US"/>
              </w:rPr>
              <w:t xml:space="preserve">which </w:t>
            </w:r>
            <w:r>
              <w:rPr>
                <w:lang w:val="en-US"/>
              </w:rPr>
              <w:t>wants the Aquatic Centre included in the ICP “In part”</w:t>
            </w:r>
          </w:p>
        </w:tc>
        <w:tc>
          <w:tcPr>
            <w:tcW w:w="3081" w:type="dxa"/>
          </w:tcPr>
          <w:p w14:paraId="2070FA23" w14:textId="77777777" w:rsidR="009F6945" w:rsidRDefault="00F615A4" w:rsidP="00AF505E">
            <w:pPr>
              <w:rPr>
                <w:lang w:val="en-US"/>
              </w:rPr>
            </w:pPr>
            <w:r>
              <w:rPr>
                <w:lang w:val="en-US"/>
              </w:rPr>
              <w:t>The Aquatic Centre land can be included in the ICP “In part”</w:t>
            </w:r>
          </w:p>
          <w:p w14:paraId="2938D221" w14:textId="77777777" w:rsidR="00F615A4" w:rsidRDefault="00F615A4" w:rsidP="00AF505E">
            <w:pPr>
              <w:rPr>
                <w:lang w:val="en-US"/>
              </w:rPr>
            </w:pPr>
            <w:r w:rsidRPr="007A0F6E">
              <w:rPr>
                <w:lang w:val="en-US"/>
              </w:rPr>
              <w:t xml:space="preserve">The construction of the Aquatic Centre cannot be included in the ICP as it is not </w:t>
            </w:r>
            <w:r w:rsidR="00D06534">
              <w:rPr>
                <w:lang w:val="en-US"/>
              </w:rPr>
              <w:t xml:space="preserve">in the list of </w:t>
            </w:r>
            <w:r w:rsidRPr="007A0F6E">
              <w:rPr>
                <w:lang w:val="en-US"/>
              </w:rPr>
              <w:t>“Allowable item</w:t>
            </w:r>
            <w:r w:rsidR="00D06534">
              <w:rPr>
                <w:lang w:val="en-US"/>
              </w:rPr>
              <w:t>s” in the ICP Guidelines (Table 1, p45)</w:t>
            </w:r>
          </w:p>
        </w:tc>
      </w:tr>
      <w:tr w:rsidR="009F6945" w14:paraId="1B982EF8" w14:textId="77777777" w:rsidTr="009F6945">
        <w:tc>
          <w:tcPr>
            <w:tcW w:w="3080" w:type="dxa"/>
          </w:tcPr>
          <w:p w14:paraId="10F6B403" w14:textId="77777777" w:rsidR="009F6945" w:rsidRDefault="009F6945" w:rsidP="00AF505E">
            <w:pPr>
              <w:rPr>
                <w:lang w:val="en-US"/>
              </w:rPr>
            </w:pPr>
            <w:r>
              <w:rPr>
                <w:lang w:val="en-US"/>
              </w:rPr>
              <w:t>Sinclair’s Road widening</w:t>
            </w:r>
          </w:p>
        </w:tc>
        <w:tc>
          <w:tcPr>
            <w:tcW w:w="3081" w:type="dxa"/>
          </w:tcPr>
          <w:p w14:paraId="63649E45" w14:textId="37CC8B42" w:rsidR="009F6945" w:rsidRDefault="003C01BF" w:rsidP="00AF505E">
            <w:pPr>
              <w:rPr>
                <w:lang w:val="en-US"/>
              </w:rPr>
            </w:pPr>
            <w:r>
              <w:rPr>
                <w:lang w:val="en-US"/>
              </w:rPr>
              <w:t>Villa W</w:t>
            </w:r>
            <w:r w:rsidR="007A0F6E">
              <w:rPr>
                <w:lang w:val="en-US"/>
              </w:rPr>
              <w:t>orld</w:t>
            </w:r>
            <w:r w:rsidR="00722E2B">
              <w:rPr>
                <w:lang w:val="en-US"/>
              </w:rPr>
              <w:t>, which wants this item included in the ICP</w:t>
            </w:r>
          </w:p>
        </w:tc>
        <w:tc>
          <w:tcPr>
            <w:tcW w:w="3081" w:type="dxa"/>
          </w:tcPr>
          <w:p w14:paraId="2618AC56" w14:textId="6E0B1A12" w:rsidR="009F6945" w:rsidRDefault="00722E2B" w:rsidP="00AF505E">
            <w:pPr>
              <w:rPr>
                <w:lang w:val="en-US"/>
              </w:rPr>
            </w:pPr>
            <w:r>
              <w:rPr>
                <w:lang w:val="en-US"/>
              </w:rPr>
              <w:t>This should be developer works, and not an ICP item.</w:t>
            </w:r>
          </w:p>
        </w:tc>
      </w:tr>
      <w:tr w:rsidR="009F6945" w14:paraId="0CE0C908" w14:textId="77777777" w:rsidTr="009F6945">
        <w:tc>
          <w:tcPr>
            <w:tcW w:w="3080" w:type="dxa"/>
          </w:tcPr>
          <w:p w14:paraId="384E9DC3" w14:textId="77777777" w:rsidR="009F6945" w:rsidRDefault="009F6945" w:rsidP="00AF505E">
            <w:pPr>
              <w:rPr>
                <w:lang w:val="en-US"/>
              </w:rPr>
            </w:pPr>
            <w:r>
              <w:rPr>
                <w:lang w:val="en-US"/>
              </w:rPr>
              <w:t>Bridges</w:t>
            </w:r>
            <w:r w:rsidR="003F6E86">
              <w:rPr>
                <w:lang w:val="en-US"/>
              </w:rPr>
              <w:t xml:space="preserve"> BR-0</w:t>
            </w:r>
            <w:r>
              <w:rPr>
                <w:lang w:val="en-US"/>
              </w:rPr>
              <w:t xml:space="preserve">1 and </w:t>
            </w:r>
            <w:r w:rsidR="003F6E86">
              <w:rPr>
                <w:lang w:val="en-US"/>
              </w:rPr>
              <w:t>BR-</w:t>
            </w:r>
            <w:r>
              <w:rPr>
                <w:lang w:val="en-US"/>
              </w:rPr>
              <w:t>03</w:t>
            </w:r>
          </w:p>
        </w:tc>
        <w:tc>
          <w:tcPr>
            <w:tcW w:w="3081" w:type="dxa"/>
          </w:tcPr>
          <w:p w14:paraId="3B070820" w14:textId="77777777" w:rsidR="009F6945" w:rsidRDefault="009F6945" w:rsidP="00AF505E">
            <w:pPr>
              <w:rPr>
                <w:lang w:val="en-US"/>
              </w:rPr>
            </w:pPr>
            <w:proofErr w:type="spellStart"/>
            <w:r>
              <w:rPr>
                <w:lang w:val="en-US"/>
              </w:rPr>
              <w:t>Moremac</w:t>
            </w:r>
            <w:proofErr w:type="spellEnd"/>
            <w:r>
              <w:rPr>
                <w:lang w:val="en-US"/>
              </w:rPr>
              <w:t xml:space="preserve">, </w:t>
            </w:r>
            <w:r w:rsidR="007A0F6E">
              <w:rPr>
                <w:lang w:val="en-US"/>
              </w:rPr>
              <w:t>which</w:t>
            </w:r>
            <w:r>
              <w:rPr>
                <w:lang w:val="en-US"/>
              </w:rPr>
              <w:t xml:space="preserve"> wants these bridges excluded from an ICP</w:t>
            </w:r>
          </w:p>
        </w:tc>
        <w:tc>
          <w:tcPr>
            <w:tcW w:w="3081" w:type="dxa"/>
          </w:tcPr>
          <w:p w14:paraId="17CF75A4" w14:textId="77777777" w:rsidR="009F6945" w:rsidRDefault="009F6945" w:rsidP="00AF505E">
            <w:pPr>
              <w:rPr>
                <w:lang w:val="en-US"/>
              </w:rPr>
            </w:pPr>
            <w:r>
              <w:rPr>
                <w:lang w:val="en-US"/>
              </w:rPr>
              <w:t xml:space="preserve">These items should be recommended for inclusion in the ICP. </w:t>
            </w:r>
          </w:p>
        </w:tc>
      </w:tr>
      <w:tr w:rsidR="009F6945" w14:paraId="434033ED" w14:textId="77777777" w:rsidTr="009F6945">
        <w:tc>
          <w:tcPr>
            <w:tcW w:w="3080" w:type="dxa"/>
          </w:tcPr>
          <w:p w14:paraId="268CF114" w14:textId="77777777" w:rsidR="009F6945" w:rsidRDefault="003F6E86" w:rsidP="00AF505E">
            <w:pPr>
              <w:rPr>
                <w:lang w:val="en-US"/>
              </w:rPr>
            </w:pPr>
            <w:r>
              <w:rPr>
                <w:lang w:val="en-US"/>
              </w:rPr>
              <w:t>Pedestrian bridge PBR-02</w:t>
            </w:r>
          </w:p>
        </w:tc>
        <w:tc>
          <w:tcPr>
            <w:tcW w:w="3081" w:type="dxa"/>
          </w:tcPr>
          <w:p w14:paraId="08095673" w14:textId="77777777" w:rsidR="009F6945" w:rsidRDefault="003F6E86" w:rsidP="00AF505E">
            <w:pPr>
              <w:rPr>
                <w:lang w:val="en-US"/>
              </w:rPr>
            </w:pPr>
            <w:proofErr w:type="spellStart"/>
            <w:r>
              <w:rPr>
                <w:lang w:val="en-US"/>
              </w:rPr>
              <w:t>Dahua</w:t>
            </w:r>
            <w:proofErr w:type="spellEnd"/>
            <w:r>
              <w:rPr>
                <w:lang w:val="en-US"/>
              </w:rPr>
              <w:t xml:space="preserve"> </w:t>
            </w:r>
            <w:proofErr w:type="spellStart"/>
            <w:r>
              <w:rPr>
                <w:lang w:val="en-US"/>
              </w:rPr>
              <w:t>Dacland</w:t>
            </w:r>
            <w:proofErr w:type="spellEnd"/>
            <w:r>
              <w:rPr>
                <w:lang w:val="en-US"/>
              </w:rPr>
              <w:t xml:space="preserve"> seeks to delete as developer works</w:t>
            </w:r>
          </w:p>
        </w:tc>
        <w:tc>
          <w:tcPr>
            <w:tcW w:w="3081" w:type="dxa"/>
          </w:tcPr>
          <w:p w14:paraId="69462682" w14:textId="77777777" w:rsidR="009F6945" w:rsidRDefault="003F6E86" w:rsidP="00AF505E">
            <w:pPr>
              <w:rPr>
                <w:lang w:val="en-US"/>
              </w:rPr>
            </w:pPr>
            <w:r>
              <w:rPr>
                <w:lang w:val="en-US"/>
              </w:rPr>
              <w:t>This item should be recommended for inclusion in the ICP.</w:t>
            </w:r>
          </w:p>
        </w:tc>
      </w:tr>
      <w:tr w:rsidR="003F6E86" w14:paraId="2BCA109A" w14:textId="77777777" w:rsidTr="009F6945">
        <w:tc>
          <w:tcPr>
            <w:tcW w:w="3080" w:type="dxa"/>
          </w:tcPr>
          <w:p w14:paraId="1114D7C1" w14:textId="77777777" w:rsidR="003F6E86" w:rsidRDefault="003F6E86" w:rsidP="00AF505E">
            <w:pPr>
              <w:rPr>
                <w:lang w:val="en-US"/>
              </w:rPr>
            </w:pPr>
            <w:r>
              <w:rPr>
                <w:lang w:val="en-US"/>
              </w:rPr>
              <w:t>Pedestrian bridge PBR-03</w:t>
            </w:r>
          </w:p>
        </w:tc>
        <w:tc>
          <w:tcPr>
            <w:tcW w:w="3081" w:type="dxa"/>
          </w:tcPr>
          <w:p w14:paraId="67A5B39E" w14:textId="528C7543" w:rsidR="003F6E86" w:rsidRDefault="00DD54A9" w:rsidP="00DD54A9">
            <w:pPr>
              <w:rPr>
                <w:lang w:val="en-US"/>
              </w:rPr>
            </w:pPr>
            <w:r>
              <w:rPr>
                <w:lang w:val="en-US"/>
              </w:rPr>
              <w:t>Council</w:t>
            </w:r>
          </w:p>
        </w:tc>
        <w:tc>
          <w:tcPr>
            <w:tcW w:w="3081" w:type="dxa"/>
          </w:tcPr>
          <w:p w14:paraId="5AE8B08E" w14:textId="77777777" w:rsidR="003F6E86" w:rsidRDefault="00A76258" w:rsidP="00AF505E">
            <w:pPr>
              <w:rPr>
                <w:lang w:val="en-US"/>
              </w:rPr>
            </w:pPr>
            <w:r>
              <w:rPr>
                <w:lang w:val="en-US"/>
              </w:rPr>
              <w:t>This item no longer required as connector road and local park have moved north.</w:t>
            </w:r>
          </w:p>
        </w:tc>
      </w:tr>
      <w:tr w:rsidR="009F6945" w14:paraId="008639A2" w14:textId="77777777" w:rsidTr="009F6945">
        <w:tc>
          <w:tcPr>
            <w:tcW w:w="3080" w:type="dxa"/>
          </w:tcPr>
          <w:p w14:paraId="01EBB5B2" w14:textId="77777777" w:rsidR="009F6945" w:rsidRDefault="009F6945" w:rsidP="00AF505E">
            <w:pPr>
              <w:rPr>
                <w:lang w:val="en-US"/>
              </w:rPr>
            </w:pPr>
            <w:r>
              <w:rPr>
                <w:lang w:val="en-US"/>
              </w:rPr>
              <w:t>Pedestrian bridge</w:t>
            </w:r>
            <w:r w:rsidR="003F6E86">
              <w:rPr>
                <w:lang w:val="en-US"/>
              </w:rPr>
              <w:t xml:space="preserve"> PBR-</w:t>
            </w:r>
            <w:r>
              <w:rPr>
                <w:lang w:val="en-US"/>
              </w:rPr>
              <w:t>08</w:t>
            </w:r>
          </w:p>
        </w:tc>
        <w:tc>
          <w:tcPr>
            <w:tcW w:w="3081" w:type="dxa"/>
          </w:tcPr>
          <w:p w14:paraId="4AA627A9" w14:textId="77777777" w:rsidR="009F6945" w:rsidRDefault="009F6945" w:rsidP="00AF505E">
            <w:pPr>
              <w:rPr>
                <w:lang w:val="en-US"/>
              </w:rPr>
            </w:pPr>
            <w:proofErr w:type="spellStart"/>
            <w:r>
              <w:rPr>
                <w:lang w:val="en-US"/>
              </w:rPr>
              <w:t>Moremac</w:t>
            </w:r>
            <w:proofErr w:type="spellEnd"/>
            <w:r>
              <w:rPr>
                <w:lang w:val="en-US"/>
              </w:rPr>
              <w:t xml:space="preserve">, </w:t>
            </w:r>
            <w:r w:rsidR="007A0F6E">
              <w:rPr>
                <w:lang w:val="en-US"/>
              </w:rPr>
              <w:t>which</w:t>
            </w:r>
            <w:r>
              <w:rPr>
                <w:lang w:val="en-US"/>
              </w:rPr>
              <w:t xml:space="preserve"> wants this bridge excluded from an ICP</w:t>
            </w:r>
          </w:p>
        </w:tc>
        <w:tc>
          <w:tcPr>
            <w:tcW w:w="3081" w:type="dxa"/>
          </w:tcPr>
          <w:p w14:paraId="634C4880" w14:textId="77777777" w:rsidR="009F6945" w:rsidRDefault="009F6945" w:rsidP="00AF505E">
            <w:pPr>
              <w:rPr>
                <w:lang w:val="en-US"/>
              </w:rPr>
            </w:pPr>
            <w:r>
              <w:rPr>
                <w:lang w:val="en-US"/>
              </w:rPr>
              <w:t>This item should be recomm</w:t>
            </w:r>
            <w:r w:rsidR="00F7351C">
              <w:rPr>
                <w:lang w:val="en-US"/>
              </w:rPr>
              <w:t xml:space="preserve">ended for inclusion in the ICP (apportioned 40/60 (Mt Atkinson/ </w:t>
            </w:r>
            <w:proofErr w:type="spellStart"/>
            <w:r w:rsidR="00F7351C">
              <w:rPr>
                <w:lang w:val="en-US"/>
              </w:rPr>
              <w:t>Plumpton</w:t>
            </w:r>
            <w:proofErr w:type="spellEnd"/>
            <w:r w:rsidR="00F7351C">
              <w:rPr>
                <w:lang w:val="en-US"/>
              </w:rPr>
              <w:t xml:space="preserve"> and </w:t>
            </w:r>
            <w:proofErr w:type="spellStart"/>
            <w:r w:rsidR="00F7351C">
              <w:rPr>
                <w:lang w:val="en-US"/>
              </w:rPr>
              <w:t>Kororoit</w:t>
            </w:r>
            <w:proofErr w:type="spellEnd"/>
            <w:r w:rsidR="00F7351C">
              <w:rPr>
                <w:lang w:val="en-US"/>
              </w:rPr>
              <w:t>) as per Mt Atkinson Panel recommendation).</w:t>
            </w:r>
          </w:p>
        </w:tc>
      </w:tr>
      <w:tr w:rsidR="009F6945" w14:paraId="2154E4C5" w14:textId="77777777" w:rsidTr="009F6945">
        <w:tc>
          <w:tcPr>
            <w:tcW w:w="3080" w:type="dxa"/>
          </w:tcPr>
          <w:p w14:paraId="385DBB3E" w14:textId="15BF0938" w:rsidR="009F6945" w:rsidRDefault="009F6945" w:rsidP="00AF505E">
            <w:pPr>
              <w:rPr>
                <w:lang w:val="en-US"/>
              </w:rPr>
            </w:pPr>
            <w:r>
              <w:rPr>
                <w:lang w:val="en-US"/>
              </w:rPr>
              <w:lastRenderedPageBreak/>
              <w:t xml:space="preserve">Two new intersections to access the </w:t>
            </w:r>
            <w:proofErr w:type="spellStart"/>
            <w:r>
              <w:rPr>
                <w:lang w:val="en-US"/>
              </w:rPr>
              <w:t>Kororoit</w:t>
            </w:r>
            <w:proofErr w:type="spellEnd"/>
            <w:r>
              <w:rPr>
                <w:lang w:val="en-US"/>
              </w:rPr>
              <w:t xml:space="preserve"> </w:t>
            </w:r>
            <w:r w:rsidR="00122099">
              <w:rPr>
                <w:lang w:val="en-US"/>
              </w:rPr>
              <w:t>Local Town Centre (</w:t>
            </w:r>
            <w:r>
              <w:rPr>
                <w:lang w:val="en-US"/>
              </w:rPr>
              <w:t>LTC</w:t>
            </w:r>
            <w:r w:rsidR="00122099">
              <w:rPr>
                <w:lang w:val="en-US"/>
              </w:rPr>
              <w:t>)</w:t>
            </w:r>
          </w:p>
        </w:tc>
        <w:tc>
          <w:tcPr>
            <w:tcW w:w="3081" w:type="dxa"/>
          </w:tcPr>
          <w:p w14:paraId="7EE5069F" w14:textId="77777777" w:rsidR="009F6945" w:rsidRDefault="009F6945" w:rsidP="00AF505E">
            <w:pPr>
              <w:rPr>
                <w:lang w:val="en-US"/>
              </w:rPr>
            </w:pPr>
            <w:r>
              <w:rPr>
                <w:lang w:val="en-US"/>
              </w:rPr>
              <w:t xml:space="preserve">Coles, </w:t>
            </w:r>
            <w:r w:rsidR="00F7351C">
              <w:rPr>
                <w:lang w:val="en-US"/>
              </w:rPr>
              <w:t>which</w:t>
            </w:r>
            <w:r>
              <w:rPr>
                <w:lang w:val="en-US"/>
              </w:rPr>
              <w:t xml:space="preserve"> wants these intersections included in an ICP</w:t>
            </w:r>
          </w:p>
        </w:tc>
        <w:tc>
          <w:tcPr>
            <w:tcW w:w="3081" w:type="dxa"/>
          </w:tcPr>
          <w:p w14:paraId="333C09E8" w14:textId="77777777" w:rsidR="009F6945" w:rsidRDefault="009F6945" w:rsidP="00AF505E">
            <w:pPr>
              <w:rPr>
                <w:lang w:val="en-US"/>
              </w:rPr>
            </w:pPr>
            <w:r>
              <w:rPr>
                <w:lang w:val="en-US"/>
              </w:rPr>
              <w:t xml:space="preserve">These items should be recommended for inclusion in the ICP. </w:t>
            </w:r>
          </w:p>
        </w:tc>
      </w:tr>
      <w:tr w:rsidR="009F6945" w14:paraId="6B35B61F" w14:textId="77777777" w:rsidTr="009F6945">
        <w:tc>
          <w:tcPr>
            <w:tcW w:w="3080" w:type="dxa"/>
          </w:tcPr>
          <w:p w14:paraId="50D92B16" w14:textId="77777777" w:rsidR="009F6945" w:rsidRDefault="009F6945" w:rsidP="00AF505E">
            <w:pPr>
              <w:rPr>
                <w:lang w:val="en-US"/>
              </w:rPr>
            </w:pPr>
            <w:r>
              <w:rPr>
                <w:lang w:val="en-US"/>
              </w:rPr>
              <w:t>New pedestrian signals on Hopkins Road close to CU-05</w:t>
            </w:r>
          </w:p>
        </w:tc>
        <w:tc>
          <w:tcPr>
            <w:tcW w:w="3081" w:type="dxa"/>
          </w:tcPr>
          <w:p w14:paraId="3656DCCF" w14:textId="77777777" w:rsidR="009F6945" w:rsidRDefault="009F6945" w:rsidP="00AF505E">
            <w:pPr>
              <w:rPr>
                <w:lang w:val="en-US"/>
              </w:rPr>
            </w:pPr>
            <w:r>
              <w:rPr>
                <w:lang w:val="en-US"/>
              </w:rPr>
              <w:t xml:space="preserve">Council, </w:t>
            </w:r>
            <w:r w:rsidR="00F7351C">
              <w:rPr>
                <w:lang w:val="en-US"/>
              </w:rPr>
              <w:t>which</w:t>
            </w:r>
            <w:r>
              <w:rPr>
                <w:lang w:val="en-US"/>
              </w:rPr>
              <w:t xml:space="preserve"> wants this item included in the PSP and in an ICP</w:t>
            </w:r>
          </w:p>
        </w:tc>
        <w:tc>
          <w:tcPr>
            <w:tcW w:w="3081" w:type="dxa"/>
          </w:tcPr>
          <w:p w14:paraId="3D61C7AB" w14:textId="77777777" w:rsidR="009F6945" w:rsidRDefault="009F6945" w:rsidP="00AF505E">
            <w:pPr>
              <w:rPr>
                <w:lang w:val="en-US"/>
              </w:rPr>
            </w:pPr>
            <w:r>
              <w:rPr>
                <w:lang w:val="en-US"/>
              </w:rPr>
              <w:t>This item is unnecessary</w:t>
            </w:r>
            <w:r w:rsidR="00F615A4">
              <w:rPr>
                <w:lang w:val="en-US"/>
              </w:rPr>
              <w:t xml:space="preserve"> and should not be included</w:t>
            </w:r>
            <w:r>
              <w:rPr>
                <w:lang w:val="en-US"/>
              </w:rPr>
              <w:t xml:space="preserve">. </w:t>
            </w:r>
          </w:p>
        </w:tc>
      </w:tr>
      <w:tr w:rsidR="009F6945" w14:paraId="52D28279" w14:textId="77777777" w:rsidTr="009F6945">
        <w:tc>
          <w:tcPr>
            <w:tcW w:w="3080" w:type="dxa"/>
          </w:tcPr>
          <w:p w14:paraId="0698BCA6" w14:textId="77777777" w:rsidR="009F6945" w:rsidRDefault="009F6945" w:rsidP="00AF505E">
            <w:pPr>
              <w:rPr>
                <w:lang w:val="en-US"/>
              </w:rPr>
            </w:pPr>
            <w:r>
              <w:rPr>
                <w:lang w:val="en-US"/>
              </w:rPr>
              <w:t>Arterial roads over pipeline easement</w:t>
            </w:r>
          </w:p>
        </w:tc>
        <w:tc>
          <w:tcPr>
            <w:tcW w:w="3081" w:type="dxa"/>
          </w:tcPr>
          <w:p w14:paraId="2C89E9AC" w14:textId="77777777" w:rsidR="009F6945" w:rsidRDefault="009F6945" w:rsidP="00AF505E">
            <w:pPr>
              <w:rPr>
                <w:lang w:val="en-US"/>
              </w:rPr>
            </w:pPr>
            <w:r>
              <w:rPr>
                <w:lang w:val="en-US"/>
              </w:rPr>
              <w:t xml:space="preserve">Council, </w:t>
            </w:r>
            <w:r w:rsidR="00F7351C">
              <w:rPr>
                <w:lang w:val="en-US"/>
              </w:rPr>
              <w:t>which</w:t>
            </w:r>
            <w:r>
              <w:rPr>
                <w:lang w:val="en-US"/>
              </w:rPr>
              <w:t xml:space="preserve"> wants this item included in an ICP</w:t>
            </w:r>
          </w:p>
        </w:tc>
        <w:tc>
          <w:tcPr>
            <w:tcW w:w="3081" w:type="dxa"/>
          </w:tcPr>
          <w:p w14:paraId="41D63C42" w14:textId="77777777" w:rsidR="009F6945" w:rsidRDefault="009F6945" w:rsidP="00AF505E">
            <w:pPr>
              <w:rPr>
                <w:lang w:val="en-US"/>
              </w:rPr>
            </w:pPr>
            <w:r>
              <w:rPr>
                <w:lang w:val="en-US"/>
              </w:rPr>
              <w:t xml:space="preserve">This item can be included in the ICP </w:t>
            </w:r>
            <w:r w:rsidR="00F7351C">
              <w:rPr>
                <w:lang w:val="en-US"/>
              </w:rPr>
              <w:t xml:space="preserve">as part of the project description </w:t>
            </w:r>
            <w:r>
              <w:rPr>
                <w:lang w:val="en-US"/>
              </w:rPr>
              <w:t xml:space="preserve">– with costings to be determined at the ICP stage. </w:t>
            </w:r>
          </w:p>
        </w:tc>
      </w:tr>
      <w:tr w:rsidR="009F6945" w14:paraId="1BACB46D" w14:textId="77777777" w:rsidTr="009F6945">
        <w:tc>
          <w:tcPr>
            <w:tcW w:w="3080" w:type="dxa"/>
          </w:tcPr>
          <w:p w14:paraId="70E43545" w14:textId="3D072F8E" w:rsidR="009F6945" w:rsidRDefault="009F6945" w:rsidP="00AF505E">
            <w:pPr>
              <w:rPr>
                <w:lang w:val="en-US"/>
              </w:rPr>
            </w:pPr>
            <w:r>
              <w:rPr>
                <w:lang w:val="en-US"/>
              </w:rPr>
              <w:t>Beatty’s Road and landscaping works</w:t>
            </w:r>
          </w:p>
        </w:tc>
        <w:tc>
          <w:tcPr>
            <w:tcW w:w="3081" w:type="dxa"/>
          </w:tcPr>
          <w:p w14:paraId="7DDC85AF" w14:textId="77777777" w:rsidR="009F6945" w:rsidRDefault="009F6945" w:rsidP="00AF505E">
            <w:pPr>
              <w:rPr>
                <w:lang w:val="en-US"/>
              </w:rPr>
            </w:pPr>
            <w:r>
              <w:rPr>
                <w:lang w:val="en-US"/>
              </w:rPr>
              <w:t>Numerous submitters queried delivery</w:t>
            </w:r>
            <w:r w:rsidR="00F7351C">
              <w:rPr>
                <w:lang w:val="en-US"/>
              </w:rPr>
              <w:t>.</w:t>
            </w:r>
          </w:p>
          <w:p w14:paraId="100180E4" w14:textId="77777777" w:rsidR="00F7351C" w:rsidRDefault="00F7351C" w:rsidP="00AF505E">
            <w:pPr>
              <w:rPr>
                <w:lang w:val="en-US"/>
              </w:rPr>
            </w:pPr>
            <w:proofErr w:type="spellStart"/>
            <w:r>
              <w:rPr>
                <w:lang w:val="en-US"/>
              </w:rPr>
              <w:t>Villawood</w:t>
            </w:r>
            <w:proofErr w:type="spellEnd"/>
            <w:r>
              <w:rPr>
                <w:lang w:val="en-US"/>
              </w:rPr>
              <w:t xml:space="preserve"> seeks as ICP item.</w:t>
            </w:r>
          </w:p>
        </w:tc>
        <w:tc>
          <w:tcPr>
            <w:tcW w:w="3081" w:type="dxa"/>
          </w:tcPr>
          <w:p w14:paraId="24BA571D" w14:textId="77777777" w:rsidR="009F6945" w:rsidRDefault="009F6945" w:rsidP="00AF505E">
            <w:pPr>
              <w:rPr>
                <w:lang w:val="en-US"/>
              </w:rPr>
            </w:pPr>
            <w:r>
              <w:rPr>
                <w:lang w:val="en-US"/>
              </w:rPr>
              <w:t>Refer Part B submission – not an ICP item</w:t>
            </w:r>
          </w:p>
        </w:tc>
      </w:tr>
      <w:tr w:rsidR="009F6945" w14:paraId="2D638F09" w14:textId="77777777" w:rsidTr="009F6945">
        <w:tc>
          <w:tcPr>
            <w:tcW w:w="3080" w:type="dxa"/>
          </w:tcPr>
          <w:p w14:paraId="4B92789D" w14:textId="77777777" w:rsidR="009F6945" w:rsidRDefault="009F6945" w:rsidP="00AF505E">
            <w:pPr>
              <w:rPr>
                <w:lang w:val="en-US"/>
              </w:rPr>
            </w:pPr>
            <w:r>
              <w:rPr>
                <w:lang w:val="en-US"/>
              </w:rPr>
              <w:t>Shared path in powerlines easement</w:t>
            </w:r>
          </w:p>
        </w:tc>
        <w:tc>
          <w:tcPr>
            <w:tcW w:w="3081" w:type="dxa"/>
          </w:tcPr>
          <w:p w14:paraId="4D29EFA8" w14:textId="77777777" w:rsidR="009F6945" w:rsidRDefault="00F7351C" w:rsidP="00AF505E">
            <w:pPr>
              <w:rPr>
                <w:lang w:val="en-US"/>
              </w:rPr>
            </w:pPr>
            <w:r>
              <w:rPr>
                <w:lang w:val="en-US"/>
              </w:rPr>
              <w:t>ID Land seeks</w:t>
            </w:r>
            <w:r w:rsidR="00D06534">
              <w:rPr>
                <w:lang w:val="en-US"/>
              </w:rPr>
              <w:t xml:space="preserve"> possible consideration</w:t>
            </w:r>
            <w:r>
              <w:rPr>
                <w:lang w:val="en-US"/>
              </w:rPr>
              <w:t xml:space="preserve"> as ICP item</w:t>
            </w:r>
            <w:r w:rsidR="00D06534">
              <w:rPr>
                <w:lang w:val="en-US"/>
              </w:rPr>
              <w:t xml:space="preserve"> </w:t>
            </w:r>
          </w:p>
          <w:p w14:paraId="5CDBEAF4" w14:textId="77777777" w:rsidR="00D06534" w:rsidRDefault="00D06534" w:rsidP="00AF505E">
            <w:pPr>
              <w:rPr>
                <w:lang w:val="en-US"/>
              </w:rPr>
            </w:pPr>
            <w:proofErr w:type="spellStart"/>
            <w:r>
              <w:rPr>
                <w:lang w:val="en-US"/>
              </w:rPr>
              <w:t>Villawood</w:t>
            </w:r>
            <w:proofErr w:type="spellEnd"/>
            <w:r>
              <w:rPr>
                <w:lang w:val="en-US"/>
              </w:rPr>
              <w:t xml:space="preserve"> seeks as ICP item</w:t>
            </w:r>
          </w:p>
        </w:tc>
        <w:tc>
          <w:tcPr>
            <w:tcW w:w="3081" w:type="dxa"/>
          </w:tcPr>
          <w:p w14:paraId="7BD17432" w14:textId="77777777" w:rsidR="009F6945" w:rsidRDefault="00F7351C" w:rsidP="00AF505E">
            <w:pPr>
              <w:rPr>
                <w:lang w:val="en-US"/>
              </w:rPr>
            </w:pPr>
            <w:r>
              <w:rPr>
                <w:lang w:val="en-US"/>
              </w:rPr>
              <w:t>Refer Part B submission – not an ICP item</w:t>
            </w:r>
          </w:p>
        </w:tc>
      </w:tr>
    </w:tbl>
    <w:p w14:paraId="5F732342" w14:textId="77777777" w:rsidR="000C60B5" w:rsidRDefault="000C60B5" w:rsidP="00AF505E">
      <w:pPr>
        <w:spacing w:after="0"/>
        <w:rPr>
          <w:lang w:val="en-US"/>
        </w:rPr>
      </w:pPr>
    </w:p>
    <w:p w14:paraId="66D06D03" w14:textId="77777777" w:rsidR="003F335D" w:rsidRDefault="003F335D" w:rsidP="00AF505E">
      <w:pPr>
        <w:pStyle w:val="ListParagraph"/>
        <w:spacing w:after="0"/>
        <w:ind w:left="1021"/>
        <w:rPr>
          <w:lang w:val="en-US"/>
        </w:rPr>
      </w:pPr>
    </w:p>
    <w:p w14:paraId="64F2F271" w14:textId="515DFA86" w:rsidR="003F335D" w:rsidRDefault="008E6E8C" w:rsidP="00736861">
      <w:pPr>
        <w:pStyle w:val="ListParagraph"/>
        <w:numPr>
          <w:ilvl w:val="0"/>
          <w:numId w:val="9"/>
        </w:numPr>
        <w:spacing w:after="0"/>
        <w:ind w:left="1021" w:hanging="1021"/>
        <w:rPr>
          <w:lang w:val="en-US"/>
        </w:rPr>
      </w:pPr>
      <w:r w:rsidRPr="003F335D">
        <w:rPr>
          <w:lang w:val="en-US"/>
        </w:rPr>
        <w:t>Should the Panel be of the view in relation to a particular item, that it would benefit from further consideration at the ICP stage when costings are known (in the case of</w:t>
      </w:r>
      <w:r w:rsidR="00722E2B">
        <w:rPr>
          <w:lang w:val="en-US"/>
        </w:rPr>
        <w:t xml:space="preserve"> items triggering</w:t>
      </w:r>
      <w:r w:rsidRPr="003F335D">
        <w:rPr>
          <w:lang w:val="en-US"/>
        </w:rPr>
        <w:t xml:space="preserve"> a supplementary levy), then the </w:t>
      </w:r>
      <w:r w:rsidRPr="003F335D">
        <w:rPr>
          <w:b/>
          <w:lang w:val="en-US"/>
        </w:rPr>
        <w:t>VPA requests that the Panel make a recommendation</w:t>
      </w:r>
      <w:r w:rsidRPr="003F335D">
        <w:rPr>
          <w:lang w:val="en-US"/>
        </w:rPr>
        <w:t xml:space="preserve"> that the particular item be listed in Table 9 as "</w:t>
      </w:r>
      <w:r w:rsidRPr="003F335D">
        <w:rPr>
          <w:u w:val="single"/>
          <w:lang w:val="en-US"/>
        </w:rPr>
        <w:t>For consideration</w:t>
      </w:r>
      <w:r w:rsidRPr="003F335D">
        <w:rPr>
          <w:lang w:val="en-US"/>
        </w:rPr>
        <w:t xml:space="preserve"> in the ICP"</w:t>
      </w:r>
      <w:r w:rsidR="000C60B5" w:rsidRPr="003F335D">
        <w:rPr>
          <w:lang w:val="en-US"/>
        </w:rPr>
        <w:t>.</w:t>
      </w:r>
      <w:r w:rsidRPr="003F335D">
        <w:rPr>
          <w:lang w:val="en-US"/>
        </w:rPr>
        <w:t> </w:t>
      </w:r>
    </w:p>
    <w:p w14:paraId="574BB789" w14:textId="77777777" w:rsidR="003F335D" w:rsidRPr="003F335D" w:rsidRDefault="003F335D" w:rsidP="00AF505E">
      <w:pPr>
        <w:pStyle w:val="ListParagraph"/>
        <w:spacing w:after="0"/>
        <w:rPr>
          <w:lang w:val="en-US"/>
        </w:rPr>
      </w:pPr>
    </w:p>
    <w:p w14:paraId="0ECCDE7C" w14:textId="59E74CF2" w:rsidR="003F335D" w:rsidRDefault="003F335D" w:rsidP="00736861">
      <w:pPr>
        <w:pStyle w:val="ListParagraph"/>
        <w:numPr>
          <w:ilvl w:val="0"/>
          <w:numId w:val="9"/>
        </w:numPr>
        <w:spacing w:after="0"/>
        <w:ind w:left="1021" w:hanging="1021"/>
        <w:rPr>
          <w:lang w:val="en-US"/>
        </w:rPr>
      </w:pPr>
      <w:r w:rsidRPr="003F335D">
        <w:rPr>
          <w:lang w:val="en-US"/>
        </w:rPr>
        <w:t xml:space="preserve">The </w:t>
      </w:r>
      <w:r w:rsidR="000C60B5" w:rsidRPr="003F335D">
        <w:rPr>
          <w:lang w:val="en-US"/>
        </w:rPr>
        <w:t>VPA does</w:t>
      </w:r>
      <w:r w:rsidR="008E6E8C" w:rsidRPr="003F335D">
        <w:rPr>
          <w:lang w:val="en-US"/>
        </w:rPr>
        <w:t xml:space="preserve"> not seek recommendations on whether an item </w:t>
      </w:r>
      <w:r w:rsidR="00722E2B">
        <w:rPr>
          <w:lang w:val="en-US"/>
        </w:rPr>
        <w:t>will be covered by a</w:t>
      </w:r>
      <w:r w:rsidR="008E6E8C" w:rsidRPr="003F335D">
        <w:rPr>
          <w:lang w:val="en-US"/>
        </w:rPr>
        <w:t xml:space="preserve"> supplementary or standard</w:t>
      </w:r>
      <w:r w:rsidR="00722E2B">
        <w:rPr>
          <w:lang w:val="en-US"/>
        </w:rPr>
        <w:t xml:space="preserve"> levy</w:t>
      </w:r>
      <w:r w:rsidR="008E6E8C" w:rsidRPr="003F335D">
        <w:rPr>
          <w:lang w:val="en-US"/>
        </w:rPr>
        <w:t xml:space="preserve"> as this can be considered as part of the ICP process.</w:t>
      </w:r>
    </w:p>
    <w:p w14:paraId="647FFB1C" w14:textId="77777777" w:rsidR="003F335D" w:rsidRPr="003F335D" w:rsidRDefault="003F335D" w:rsidP="00AF505E">
      <w:pPr>
        <w:pStyle w:val="ListParagraph"/>
        <w:spacing w:after="0"/>
        <w:rPr>
          <w:lang w:val="en-US"/>
        </w:rPr>
      </w:pPr>
    </w:p>
    <w:p w14:paraId="1CD146A1" w14:textId="77777777" w:rsidR="003F335D" w:rsidRDefault="008E6E8C" w:rsidP="00736861">
      <w:pPr>
        <w:pStyle w:val="ListParagraph"/>
        <w:numPr>
          <w:ilvl w:val="0"/>
          <w:numId w:val="9"/>
        </w:numPr>
        <w:spacing w:after="0"/>
        <w:ind w:left="1021" w:hanging="1021"/>
        <w:rPr>
          <w:lang w:val="en-US"/>
        </w:rPr>
      </w:pPr>
      <w:r w:rsidRPr="003F335D">
        <w:rPr>
          <w:lang w:val="en-US"/>
        </w:rPr>
        <w:t>The VPA submits that the above approach would be of assistance in enabling a clearer path forward for the preparation of the ICP, and would be a similar approach to that adopted by the C162 Panel.</w:t>
      </w:r>
    </w:p>
    <w:p w14:paraId="238F3FB8" w14:textId="77777777" w:rsidR="003F335D" w:rsidRPr="003F335D" w:rsidRDefault="003F335D" w:rsidP="00AF505E">
      <w:pPr>
        <w:pStyle w:val="ListParagraph"/>
        <w:spacing w:after="0"/>
        <w:rPr>
          <w:lang w:val="en-US"/>
        </w:rPr>
      </w:pPr>
    </w:p>
    <w:p w14:paraId="12639C0F" w14:textId="3857CC26" w:rsidR="00122099" w:rsidRDefault="008E6E8C" w:rsidP="00736861">
      <w:pPr>
        <w:pStyle w:val="ListParagraph"/>
        <w:numPr>
          <w:ilvl w:val="0"/>
          <w:numId w:val="9"/>
        </w:numPr>
        <w:spacing w:after="0"/>
        <w:ind w:left="1021" w:hanging="1021"/>
        <w:rPr>
          <w:lang w:val="en-US"/>
        </w:rPr>
      </w:pPr>
      <w:r w:rsidRPr="003F335D">
        <w:rPr>
          <w:lang w:val="en-US"/>
        </w:rPr>
        <w:t>The VPA notes that in relation to the process of the ICP amendment from here, it will refer to the recently released Ministerial Direction and Guidelines. </w:t>
      </w:r>
    </w:p>
    <w:p w14:paraId="1B3F9B5C" w14:textId="77777777" w:rsidR="00122099" w:rsidRPr="00122099" w:rsidRDefault="00122099" w:rsidP="00122099">
      <w:pPr>
        <w:spacing w:after="0"/>
        <w:rPr>
          <w:lang w:val="en-US"/>
        </w:rPr>
      </w:pPr>
    </w:p>
    <w:p w14:paraId="230B4A17" w14:textId="77777777" w:rsidR="009F6945" w:rsidRDefault="009F6945" w:rsidP="00AF505E">
      <w:pPr>
        <w:pStyle w:val="Heading3"/>
        <w:rPr>
          <w:lang w:val="en-US"/>
        </w:rPr>
      </w:pPr>
      <w:bookmarkStart w:id="6" w:name="_Toc469573642"/>
      <w:r>
        <w:rPr>
          <w:lang w:val="en-US"/>
        </w:rPr>
        <w:t>Process relating to the ICP</w:t>
      </w:r>
      <w:bookmarkEnd w:id="6"/>
    </w:p>
    <w:p w14:paraId="03261758" w14:textId="265CB083" w:rsidR="003F335D" w:rsidRDefault="009F6945" w:rsidP="00736861">
      <w:pPr>
        <w:pStyle w:val="ListParagraph"/>
        <w:numPr>
          <w:ilvl w:val="0"/>
          <w:numId w:val="9"/>
        </w:numPr>
        <w:spacing w:after="0"/>
        <w:ind w:left="1021" w:hanging="1021"/>
        <w:rPr>
          <w:lang w:val="en-US"/>
        </w:rPr>
      </w:pPr>
      <w:r w:rsidRPr="003F335D">
        <w:rPr>
          <w:lang w:val="en-US"/>
        </w:rPr>
        <w:t xml:space="preserve">The Panel </w:t>
      </w:r>
      <w:r w:rsidR="002E057A" w:rsidRPr="003F335D">
        <w:rPr>
          <w:lang w:val="en-US"/>
        </w:rPr>
        <w:t>has asked numerous submitters to provide views about whether the PSPs should proceed to gazettal before an ICP</w:t>
      </w:r>
      <w:r w:rsidR="00023ED7" w:rsidRPr="003F335D">
        <w:rPr>
          <w:lang w:val="en-US"/>
        </w:rPr>
        <w:t xml:space="preserve"> is </w:t>
      </w:r>
      <w:proofErr w:type="spellStart"/>
      <w:r w:rsidR="00023ED7" w:rsidRPr="003F335D">
        <w:rPr>
          <w:lang w:val="en-US"/>
        </w:rPr>
        <w:t>finali</w:t>
      </w:r>
      <w:r w:rsidR="00282BC1">
        <w:rPr>
          <w:lang w:val="en-US"/>
        </w:rPr>
        <w:t>s</w:t>
      </w:r>
      <w:r w:rsidR="00023ED7" w:rsidRPr="003F335D">
        <w:rPr>
          <w:lang w:val="en-US"/>
        </w:rPr>
        <w:t>ed</w:t>
      </w:r>
      <w:proofErr w:type="spellEnd"/>
      <w:r w:rsidR="002E057A" w:rsidRPr="003F335D">
        <w:rPr>
          <w:lang w:val="en-US"/>
        </w:rPr>
        <w:t xml:space="preserve"> – or whether gazettal should be delayed until an ICP is </w:t>
      </w:r>
      <w:proofErr w:type="spellStart"/>
      <w:r w:rsidR="00023ED7" w:rsidRPr="003F335D">
        <w:rPr>
          <w:lang w:val="en-US"/>
        </w:rPr>
        <w:t>finali</w:t>
      </w:r>
      <w:r w:rsidR="00282BC1">
        <w:rPr>
          <w:lang w:val="en-US"/>
        </w:rPr>
        <w:t>s</w:t>
      </w:r>
      <w:r w:rsidR="00023ED7" w:rsidRPr="003F335D">
        <w:rPr>
          <w:lang w:val="en-US"/>
        </w:rPr>
        <w:t>ed</w:t>
      </w:r>
      <w:proofErr w:type="spellEnd"/>
      <w:r w:rsidR="002E057A" w:rsidRPr="003F335D">
        <w:rPr>
          <w:lang w:val="en-US"/>
        </w:rPr>
        <w:t xml:space="preserve">.  </w:t>
      </w:r>
    </w:p>
    <w:p w14:paraId="675A4D47" w14:textId="77777777" w:rsidR="003F335D" w:rsidRDefault="003F335D" w:rsidP="00AF505E">
      <w:pPr>
        <w:pStyle w:val="ListParagraph"/>
        <w:spacing w:after="0"/>
        <w:ind w:left="1021"/>
        <w:rPr>
          <w:lang w:val="en-US"/>
        </w:rPr>
      </w:pPr>
    </w:p>
    <w:p w14:paraId="0E53937C" w14:textId="2305021A" w:rsidR="003F335D" w:rsidRDefault="002E057A" w:rsidP="00736861">
      <w:pPr>
        <w:pStyle w:val="ListParagraph"/>
        <w:numPr>
          <w:ilvl w:val="0"/>
          <w:numId w:val="9"/>
        </w:numPr>
        <w:spacing w:after="0"/>
        <w:ind w:left="1021" w:hanging="1021"/>
        <w:rPr>
          <w:lang w:val="en-US"/>
        </w:rPr>
      </w:pPr>
      <w:r w:rsidRPr="003F335D">
        <w:rPr>
          <w:lang w:val="en-US"/>
        </w:rPr>
        <w:t xml:space="preserve">The </w:t>
      </w:r>
      <w:r w:rsidRPr="003F335D">
        <w:rPr>
          <w:b/>
          <w:lang w:val="en-US"/>
        </w:rPr>
        <w:t>VPA seeks a recommendation</w:t>
      </w:r>
      <w:r w:rsidRPr="003F335D">
        <w:rPr>
          <w:lang w:val="en-US"/>
        </w:rPr>
        <w:t xml:space="preserve"> from the Panel that the PSPs </w:t>
      </w:r>
      <w:r w:rsidRPr="003F335D">
        <w:rPr>
          <w:b/>
          <w:lang w:val="en-US"/>
        </w:rPr>
        <w:t>not</w:t>
      </w:r>
      <w:r w:rsidRPr="003F335D">
        <w:rPr>
          <w:lang w:val="en-US"/>
        </w:rPr>
        <w:t xml:space="preserve"> be delayed until an ICP is </w:t>
      </w:r>
      <w:proofErr w:type="spellStart"/>
      <w:r w:rsidRPr="003F335D">
        <w:rPr>
          <w:lang w:val="en-US"/>
        </w:rPr>
        <w:t>finali</w:t>
      </w:r>
      <w:r w:rsidR="00282BC1">
        <w:rPr>
          <w:lang w:val="en-US"/>
        </w:rPr>
        <w:t>s</w:t>
      </w:r>
      <w:r w:rsidRPr="003F335D">
        <w:rPr>
          <w:lang w:val="en-US"/>
        </w:rPr>
        <w:t>ed</w:t>
      </w:r>
      <w:proofErr w:type="spellEnd"/>
      <w:r w:rsidR="009325E8" w:rsidRPr="003F335D">
        <w:rPr>
          <w:lang w:val="en-US"/>
        </w:rPr>
        <w:t xml:space="preserve"> – for the reasons set out in the VPA’s Part B submission. The interim arrangements will suffice for the period of time for these areas in which the ICP is being resolved.</w:t>
      </w:r>
      <w:r w:rsidR="00023ED7" w:rsidRPr="003F335D">
        <w:rPr>
          <w:lang w:val="en-US"/>
        </w:rPr>
        <w:t xml:space="preserve">  It is undesirable to “hold up” the amendments until the ICP is resolved. </w:t>
      </w:r>
      <w:r w:rsidR="009325E8" w:rsidRPr="003F335D">
        <w:rPr>
          <w:lang w:val="en-US"/>
        </w:rPr>
        <w:t xml:space="preserve">  </w:t>
      </w:r>
      <w:r w:rsidRPr="003F335D">
        <w:rPr>
          <w:lang w:val="en-US"/>
        </w:rPr>
        <w:t xml:space="preserve">  </w:t>
      </w:r>
    </w:p>
    <w:p w14:paraId="374DBBBD" w14:textId="77777777" w:rsidR="003F335D" w:rsidRPr="003F335D" w:rsidRDefault="003F335D" w:rsidP="00AF505E">
      <w:pPr>
        <w:pStyle w:val="ListParagraph"/>
        <w:spacing w:after="0"/>
        <w:rPr>
          <w:lang w:val="en-US"/>
        </w:rPr>
      </w:pPr>
    </w:p>
    <w:p w14:paraId="3C280446" w14:textId="53C6B5A1" w:rsidR="003F335D" w:rsidRDefault="002E057A" w:rsidP="00736861">
      <w:pPr>
        <w:pStyle w:val="ListParagraph"/>
        <w:numPr>
          <w:ilvl w:val="0"/>
          <w:numId w:val="9"/>
        </w:numPr>
        <w:spacing w:after="0"/>
        <w:ind w:left="1021" w:hanging="1021"/>
        <w:rPr>
          <w:lang w:val="en-US"/>
        </w:rPr>
      </w:pPr>
      <w:r w:rsidRPr="003F335D">
        <w:rPr>
          <w:lang w:val="en-US"/>
        </w:rPr>
        <w:t>The VPA notes that this course has suppor</w:t>
      </w:r>
      <w:r w:rsidR="009325E8" w:rsidRPr="003F335D">
        <w:rPr>
          <w:lang w:val="en-US"/>
        </w:rPr>
        <w:t xml:space="preserve">t </w:t>
      </w:r>
      <w:r w:rsidR="009325E8" w:rsidRPr="005247BB">
        <w:rPr>
          <w:lang w:val="en-US"/>
        </w:rPr>
        <w:t xml:space="preserve">from </w:t>
      </w:r>
      <w:r w:rsidR="00FB06C5" w:rsidRPr="005247BB">
        <w:rPr>
          <w:lang w:val="en-US"/>
        </w:rPr>
        <w:t>SJB,</w:t>
      </w:r>
      <w:r w:rsidR="009325E8" w:rsidRPr="005247BB">
        <w:rPr>
          <w:lang w:val="en-US"/>
        </w:rPr>
        <w:t xml:space="preserve"> </w:t>
      </w:r>
      <w:proofErr w:type="spellStart"/>
      <w:r w:rsidR="006440D4" w:rsidRPr="005247BB">
        <w:rPr>
          <w:lang w:val="en-US"/>
        </w:rPr>
        <w:t>Dahua</w:t>
      </w:r>
      <w:proofErr w:type="spellEnd"/>
      <w:r w:rsidR="006440D4" w:rsidRPr="005247BB">
        <w:rPr>
          <w:lang w:val="en-US"/>
        </w:rPr>
        <w:t xml:space="preserve"> </w:t>
      </w:r>
      <w:proofErr w:type="spellStart"/>
      <w:r w:rsidR="009325E8" w:rsidRPr="005247BB">
        <w:rPr>
          <w:lang w:val="en-US"/>
        </w:rPr>
        <w:t>Dacland</w:t>
      </w:r>
      <w:proofErr w:type="spellEnd"/>
      <w:r w:rsidR="009325E8" w:rsidRPr="005247BB">
        <w:rPr>
          <w:lang w:val="en-US"/>
        </w:rPr>
        <w:t xml:space="preserve">, </w:t>
      </w:r>
      <w:r w:rsidR="00722E2B">
        <w:rPr>
          <w:lang w:val="en-US"/>
        </w:rPr>
        <w:t xml:space="preserve">and </w:t>
      </w:r>
      <w:proofErr w:type="spellStart"/>
      <w:r w:rsidR="009325E8" w:rsidRPr="005247BB">
        <w:rPr>
          <w:lang w:val="en-US"/>
        </w:rPr>
        <w:t>Moremac</w:t>
      </w:r>
      <w:proofErr w:type="spellEnd"/>
      <w:r w:rsidR="006440D4" w:rsidRPr="005247BB">
        <w:rPr>
          <w:lang w:val="en-US"/>
        </w:rPr>
        <w:t xml:space="preserve">, </w:t>
      </w:r>
      <w:r w:rsidR="009325E8" w:rsidRPr="005247BB">
        <w:rPr>
          <w:lang w:val="en-US"/>
        </w:rPr>
        <w:t xml:space="preserve">(noting that Council is </w:t>
      </w:r>
      <w:r w:rsidR="00FB06C5" w:rsidRPr="005247BB">
        <w:rPr>
          <w:lang w:val="en-US"/>
        </w:rPr>
        <w:t xml:space="preserve">opposed to this course, as is </w:t>
      </w:r>
      <w:proofErr w:type="spellStart"/>
      <w:r w:rsidR="00FB06C5" w:rsidRPr="005247BB">
        <w:rPr>
          <w:lang w:val="en-US"/>
        </w:rPr>
        <w:t>Failli</w:t>
      </w:r>
      <w:proofErr w:type="spellEnd"/>
      <w:r w:rsidR="009325E8" w:rsidRPr="005247BB">
        <w:rPr>
          <w:lang w:val="en-US"/>
        </w:rPr>
        <w:t>).</w:t>
      </w:r>
      <w:r w:rsidR="009325E8" w:rsidRPr="003F335D">
        <w:rPr>
          <w:lang w:val="en-US"/>
        </w:rPr>
        <w:t xml:space="preserve">  </w:t>
      </w:r>
    </w:p>
    <w:p w14:paraId="7836A634" w14:textId="77777777" w:rsidR="006773E1" w:rsidRDefault="006773E1" w:rsidP="00736861">
      <w:pPr>
        <w:pStyle w:val="ListParagraph"/>
        <w:numPr>
          <w:ilvl w:val="0"/>
          <w:numId w:val="9"/>
        </w:numPr>
        <w:spacing w:after="0"/>
        <w:ind w:left="1021" w:hanging="1021"/>
        <w:rPr>
          <w:lang w:val="en-US"/>
        </w:rPr>
      </w:pPr>
      <w:r>
        <w:rPr>
          <w:lang w:val="en-US"/>
        </w:rPr>
        <w:t xml:space="preserve">In the meantime, the Panel is able to make recommendations on the items listed as “Included in ICP” in the PSP, either by way of a clear recommendation of inclusion or </w:t>
      </w:r>
      <w:r>
        <w:rPr>
          <w:lang w:val="en-US"/>
        </w:rPr>
        <w:lastRenderedPageBreak/>
        <w:t xml:space="preserve">exclusion, or, adopting the suggested course above, by stating that the item be listed as “For consideration in the ICP”.    </w:t>
      </w:r>
    </w:p>
    <w:p w14:paraId="63931F89" w14:textId="77777777" w:rsidR="006773E1" w:rsidRPr="006773E1" w:rsidRDefault="006773E1" w:rsidP="006773E1">
      <w:pPr>
        <w:spacing w:after="0"/>
        <w:rPr>
          <w:lang w:val="en-US"/>
        </w:rPr>
      </w:pPr>
    </w:p>
    <w:p w14:paraId="0C58D467" w14:textId="77777777" w:rsidR="006773E1" w:rsidRDefault="006773E1" w:rsidP="00736861">
      <w:pPr>
        <w:pStyle w:val="ListParagraph"/>
        <w:numPr>
          <w:ilvl w:val="0"/>
          <w:numId w:val="9"/>
        </w:numPr>
        <w:spacing w:after="0"/>
        <w:ind w:left="1021" w:hanging="1021"/>
        <w:rPr>
          <w:lang w:val="en-US"/>
        </w:rPr>
      </w:pPr>
      <w:r>
        <w:rPr>
          <w:lang w:val="en-US"/>
        </w:rPr>
        <w:t xml:space="preserve">The VPA observes that these Amendments are in a fairly unique situation.  There will be very few amendments which have these circumstances.  </w:t>
      </w:r>
    </w:p>
    <w:p w14:paraId="46D91D3A" w14:textId="77777777" w:rsidR="006773E1" w:rsidRPr="006773E1" w:rsidRDefault="006773E1" w:rsidP="006773E1">
      <w:pPr>
        <w:spacing w:after="0"/>
        <w:rPr>
          <w:lang w:val="en-US"/>
        </w:rPr>
      </w:pPr>
    </w:p>
    <w:p w14:paraId="1243218D" w14:textId="0932C8D1" w:rsidR="006773E1" w:rsidRDefault="006773E1" w:rsidP="00736861">
      <w:pPr>
        <w:pStyle w:val="ListParagraph"/>
        <w:numPr>
          <w:ilvl w:val="0"/>
          <w:numId w:val="9"/>
        </w:numPr>
        <w:spacing w:after="0"/>
        <w:ind w:left="1021" w:hanging="1021"/>
        <w:rPr>
          <w:lang w:val="en-US"/>
        </w:rPr>
      </w:pPr>
      <w:r>
        <w:rPr>
          <w:lang w:val="en-US"/>
        </w:rPr>
        <w:t xml:space="preserve">The Panel </w:t>
      </w:r>
      <w:r w:rsidR="00722E2B">
        <w:rPr>
          <w:lang w:val="en-US"/>
        </w:rPr>
        <w:t>suggested that any ideas for</w:t>
      </w:r>
      <w:r>
        <w:rPr>
          <w:lang w:val="en-US"/>
        </w:rPr>
        <w:t xml:space="preserve"> a ‘compromise’ ICP solution from submitters</w:t>
      </w:r>
      <w:r w:rsidR="00722E2B">
        <w:rPr>
          <w:lang w:val="en-US"/>
        </w:rPr>
        <w:t>, could be made</w:t>
      </w:r>
      <w:r>
        <w:rPr>
          <w:lang w:val="en-US"/>
        </w:rPr>
        <w:t xml:space="preserve"> to the Panel. </w:t>
      </w:r>
    </w:p>
    <w:p w14:paraId="346ACBC8" w14:textId="77777777" w:rsidR="006773E1" w:rsidRPr="006773E1" w:rsidRDefault="006773E1" w:rsidP="006773E1">
      <w:pPr>
        <w:spacing w:after="0"/>
        <w:rPr>
          <w:lang w:val="en-US"/>
        </w:rPr>
      </w:pPr>
    </w:p>
    <w:p w14:paraId="00187BEC" w14:textId="29B858A4" w:rsidR="006773E1" w:rsidRDefault="006773E1" w:rsidP="00736861">
      <w:pPr>
        <w:pStyle w:val="ListParagraph"/>
        <w:numPr>
          <w:ilvl w:val="0"/>
          <w:numId w:val="9"/>
        </w:numPr>
        <w:spacing w:after="0"/>
        <w:ind w:left="1021" w:hanging="1021"/>
        <w:rPr>
          <w:lang w:val="en-US"/>
        </w:rPr>
      </w:pPr>
      <w:r>
        <w:rPr>
          <w:lang w:val="en-US"/>
        </w:rPr>
        <w:t xml:space="preserve">In response, the VPA </w:t>
      </w:r>
      <w:r w:rsidR="00722E2B">
        <w:rPr>
          <w:lang w:val="en-US"/>
        </w:rPr>
        <w:t>suggests that</w:t>
      </w:r>
      <w:r>
        <w:rPr>
          <w:lang w:val="en-US"/>
        </w:rPr>
        <w:t xml:space="preserve"> the Panel </w:t>
      </w:r>
      <w:r w:rsidR="00722E2B">
        <w:rPr>
          <w:lang w:val="en-US"/>
        </w:rPr>
        <w:t xml:space="preserve">could </w:t>
      </w:r>
      <w:r>
        <w:rPr>
          <w:lang w:val="en-US"/>
        </w:rPr>
        <w:t xml:space="preserve">recommend an alternative interim arrangement for the ICP to that exhibited, </w:t>
      </w:r>
      <w:r w:rsidR="00722E2B">
        <w:rPr>
          <w:lang w:val="en-US"/>
        </w:rPr>
        <w:t>(given</w:t>
      </w:r>
      <w:r>
        <w:rPr>
          <w:lang w:val="en-US"/>
        </w:rPr>
        <w:t xml:space="preserve"> the ICP Directions have now been released. This alternative proposal </w:t>
      </w:r>
      <w:r w:rsidR="00722E2B">
        <w:rPr>
          <w:lang w:val="en-US"/>
        </w:rPr>
        <w:t xml:space="preserve">would be </w:t>
      </w:r>
      <w:r>
        <w:rPr>
          <w:lang w:val="en-US"/>
        </w:rPr>
        <w:t>as follows:</w:t>
      </w:r>
    </w:p>
    <w:p w14:paraId="4656AC0E" w14:textId="79048F96" w:rsidR="006773E1" w:rsidRPr="006773E1" w:rsidRDefault="006773E1" w:rsidP="006773E1">
      <w:pPr>
        <w:spacing w:after="0"/>
        <w:rPr>
          <w:lang w:val="en-US"/>
        </w:rPr>
      </w:pPr>
    </w:p>
    <w:p w14:paraId="06136C15" w14:textId="0E2DED52" w:rsidR="006773E1" w:rsidRDefault="006773E1" w:rsidP="00736861">
      <w:pPr>
        <w:pStyle w:val="ListParagraph"/>
        <w:numPr>
          <w:ilvl w:val="1"/>
          <w:numId w:val="9"/>
        </w:numPr>
        <w:spacing w:after="0"/>
        <w:rPr>
          <w:lang w:val="en-US"/>
        </w:rPr>
      </w:pPr>
      <w:r>
        <w:rPr>
          <w:lang w:val="en-US"/>
        </w:rPr>
        <w:t>Introduction of an ICP concurrent with the gazettal of the PSP</w:t>
      </w:r>
      <w:r w:rsidR="00722E2B">
        <w:rPr>
          <w:lang w:val="en-US"/>
        </w:rPr>
        <w:t>, but which ICP relates only to the</w:t>
      </w:r>
      <w:r>
        <w:rPr>
          <w:lang w:val="en-US"/>
        </w:rPr>
        <w:t xml:space="preserve"> </w:t>
      </w:r>
      <w:r w:rsidR="00722E2B">
        <w:rPr>
          <w:lang w:val="en-US"/>
        </w:rPr>
        <w:t xml:space="preserve">items the subject of </w:t>
      </w:r>
      <w:r>
        <w:rPr>
          <w:lang w:val="en-US"/>
        </w:rPr>
        <w:t xml:space="preserve">standard levies as per the ICP Ministerial Guidelines for a standard ICP. This would comprise all ‘standard’ items, </w:t>
      </w:r>
      <w:r w:rsidR="003C01BF">
        <w:rPr>
          <w:lang w:val="en-US"/>
        </w:rPr>
        <w:t>i.e.</w:t>
      </w:r>
      <w:r>
        <w:rPr>
          <w:lang w:val="en-US"/>
        </w:rPr>
        <w:t xml:space="preserve"> roads and intersections, community and recreation infrastructure, and land (up to the value to the standard levy rate). It would exclude all ‘supplementary’ items </w:t>
      </w:r>
      <w:r w:rsidR="003C01BF">
        <w:rPr>
          <w:lang w:val="en-US"/>
        </w:rPr>
        <w:t>i.e.</w:t>
      </w:r>
      <w:r>
        <w:rPr>
          <w:lang w:val="en-US"/>
        </w:rPr>
        <w:t xml:space="preserve"> bridges, culverts and land over the value of the standard levy rate.</w:t>
      </w:r>
    </w:p>
    <w:p w14:paraId="32261E52" w14:textId="77777777" w:rsidR="006773E1" w:rsidRDefault="006773E1" w:rsidP="00736861">
      <w:pPr>
        <w:pStyle w:val="ListParagraph"/>
        <w:numPr>
          <w:ilvl w:val="1"/>
          <w:numId w:val="9"/>
        </w:numPr>
        <w:spacing w:after="0"/>
        <w:rPr>
          <w:lang w:val="en-US"/>
        </w:rPr>
      </w:pPr>
      <w:r>
        <w:rPr>
          <w:lang w:val="en-US"/>
        </w:rPr>
        <w:t xml:space="preserve">A second planning scheme amendment could then be pursued to introduce the required supplementary levy to deal with supplementary items, once further costings have been undertaken to clarify the extent of these items which do not fit within the standard ICP. </w:t>
      </w:r>
    </w:p>
    <w:p w14:paraId="7B660E92" w14:textId="3C97C853" w:rsidR="006773E1" w:rsidRPr="00B93A6E" w:rsidRDefault="00726E80" w:rsidP="00B93A6E">
      <w:pPr>
        <w:pStyle w:val="ListParagraph"/>
        <w:numPr>
          <w:ilvl w:val="1"/>
          <w:numId w:val="9"/>
        </w:numPr>
        <w:spacing w:after="0"/>
        <w:rPr>
          <w:lang w:val="en-US"/>
        </w:rPr>
      </w:pPr>
      <w:r>
        <w:rPr>
          <w:lang w:val="en-US"/>
        </w:rPr>
        <w:t>Council has held preliminary discussions with Council and DELWP but not agreement has been reached.</w:t>
      </w:r>
      <w:r w:rsidR="00A4485F" w:rsidRPr="00B93A6E">
        <w:rPr>
          <w:lang w:val="en-US"/>
        </w:rPr>
        <w:t xml:space="preserve"> </w:t>
      </w:r>
    </w:p>
    <w:p w14:paraId="45CCA644" w14:textId="77777777" w:rsidR="006773E1" w:rsidRPr="006773E1" w:rsidRDefault="006773E1" w:rsidP="006773E1">
      <w:pPr>
        <w:spacing w:after="0"/>
        <w:rPr>
          <w:lang w:val="en-US"/>
        </w:rPr>
      </w:pPr>
    </w:p>
    <w:p w14:paraId="3EB6D8A7" w14:textId="77777777" w:rsidR="006773E1" w:rsidRDefault="006773E1" w:rsidP="00736861">
      <w:pPr>
        <w:pStyle w:val="ListParagraph"/>
        <w:numPr>
          <w:ilvl w:val="0"/>
          <w:numId w:val="9"/>
        </w:numPr>
        <w:spacing w:after="0"/>
        <w:ind w:left="1021" w:hanging="1021"/>
        <w:rPr>
          <w:lang w:val="en-US"/>
        </w:rPr>
      </w:pPr>
      <w:r>
        <w:rPr>
          <w:lang w:val="en-US"/>
        </w:rPr>
        <w:t xml:space="preserve">The ICP Guidelines (p. 55) provide guidance regarding estimates of value for public land included in the ICP. As per these guidelines, any disputes about estimates of value are referred to the </w:t>
      </w:r>
      <w:proofErr w:type="spellStart"/>
      <w:r>
        <w:rPr>
          <w:lang w:val="en-US"/>
        </w:rPr>
        <w:t>Valuer</w:t>
      </w:r>
      <w:proofErr w:type="spellEnd"/>
      <w:r>
        <w:rPr>
          <w:lang w:val="en-US"/>
        </w:rPr>
        <w:t xml:space="preserve">-General Victoria rather than referred to the PSP or ICP planning panel. </w:t>
      </w:r>
    </w:p>
    <w:p w14:paraId="53BD3EF7" w14:textId="77777777" w:rsidR="00D20334" w:rsidRPr="00D20334" w:rsidRDefault="00D20334" w:rsidP="00AF505E">
      <w:pPr>
        <w:spacing w:after="0"/>
        <w:rPr>
          <w:lang w:val="en-US"/>
        </w:rPr>
      </w:pPr>
    </w:p>
    <w:p w14:paraId="2979CA99" w14:textId="1A9B3380" w:rsidR="008E6E8C" w:rsidRDefault="008408F3" w:rsidP="00AF505E">
      <w:pPr>
        <w:pStyle w:val="Heading2"/>
        <w:rPr>
          <w:lang w:val="en-AU"/>
        </w:rPr>
      </w:pPr>
      <w:r w:rsidRPr="00B93A6E" w:rsidDel="008408F3">
        <w:t xml:space="preserve"> </w:t>
      </w:r>
      <w:bookmarkStart w:id="7" w:name="_Toc469573643"/>
      <w:r w:rsidR="009E6769" w:rsidRPr="00B93A6E">
        <w:rPr>
          <w:lang w:val="en-AU"/>
        </w:rPr>
        <w:t>2.3</w:t>
      </w:r>
      <w:r w:rsidR="008E6E8C" w:rsidRPr="00B93A6E">
        <w:rPr>
          <w:lang w:val="en-AU"/>
        </w:rPr>
        <w:t xml:space="preserve"> Landlocked Parcels</w:t>
      </w:r>
      <w:bookmarkEnd w:id="7"/>
    </w:p>
    <w:p w14:paraId="405E26CD" w14:textId="77777777" w:rsidR="003F335D" w:rsidRDefault="009F6945" w:rsidP="00736861">
      <w:pPr>
        <w:pStyle w:val="ListParagraph"/>
        <w:numPr>
          <w:ilvl w:val="0"/>
          <w:numId w:val="9"/>
        </w:numPr>
        <w:spacing w:after="0"/>
        <w:ind w:left="1021" w:hanging="1021"/>
        <w:rPr>
          <w:lang w:val="en-US"/>
        </w:rPr>
      </w:pPr>
      <w:r>
        <w:rPr>
          <w:lang w:val="en-US"/>
        </w:rPr>
        <w:t>Th</w:t>
      </w:r>
      <w:r w:rsidR="00023ED7">
        <w:rPr>
          <w:lang w:val="en-US"/>
        </w:rPr>
        <w:t xml:space="preserve">e Panel asked whether there are any parcels in the Amendment areas that may be landlocked in any future development, </w:t>
      </w:r>
      <w:r>
        <w:rPr>
          <w:lang w:val="en-US"/>
        </w:rPr>
        <w:t xml:space="preserve">and how these were dealt with in the PSP. </w:t>
      </w:r>
    </w:p>
    <w:p w14:paraId="77034A6E" w14:textId="77777777" w:rsidR="003F335D" w:rsidRDefault="003F335D" w:rsidP="00AF505E">
      <w:pPr>
        <w:pStyle w:val="ListParagraph"/>
        <w:spacing w:after="0"/>
        <w:ind w:left="1021"/>
        <w:rPr>
          <w:lang w:val="en-US"/>
        </w:rPr>
      </w:pPr>
    </w:p>
    <w:p w14:paraId="544B547F" w14:textId="2BED1579" w:rsidR="003F335D" w:rsidRDefault="003F335D" w:rsidP="00736861">
      <w:pPr>
        <w:pStyle w:val="ListParagraph"/>
        <w:numPr>
          <w:ilvl w:val="0"/>
          <w:numId w:val="9"/>
        </w:numPr>
        <w:spacing w:after="0"/>
        <w:ind w:left="1021" w:hanging="1021"/>
        <w:rPr>
          <w:lang w:val="en-US"/>
        </w:rPr>
      </w:pPr>
      <w:r>
        <w:rPr>
          <w:lang w:val="en-US"/>
        </w:rPr>
        <w:t xml:space="preserve">The </w:t>
      </w:r>
      <w:r w:rsidR="009F6945" w:rsidRPr="003F335D">
        <w:rPr>
          <w:lang w:val="en-US"/>
        </w:rPr>
        <w:t>VPA has reviewed the two PSPs in r</w:t>
      </w:r>
      <w:r w:rsidR="00023ED7" w:rsidRPr="003F335D">
        <w:rPr>
          <w:lang w:val="en-US"/>
        </w:rPr>
        <w:t>elation to this potential issue</w:t>
      </w:r>
      <w:r w:rsidR="00A4485F">
        <w:rPr>
          <w:lang w:val="en-US"/>
        </w:rPr>
        <w:t xml:space="preserve">, has discussed the matter with Council, </w:t>
      </w:r>
      <w:proofErr w:type="spellStart"/>
      <w:r w:rsidR="00A4485F">
        <w:rPr>
          <w:lang w:val="en-US"/>
        </w:rPr>
        <w:t>Dahua</w:t>
      </w:r>
      <w:proofErr w:type="spellEnd"/>
      <w:r w:rsidR="00A4485F">
        <w:rPr>
          <w:lang w:val="en-US"/>
        </w:rPr>
        <w:t xml:space="preserve"> </w:t>
      </w:r>
      <w:proofErr w:type="spellStart"/>
      <w:r w:rsidR="00A4485F">
        <w:rPr>
          <w:lang w:val="en-US"/>
        </w:rPr>
        <w:t>Dacland</w:t>
      </w:r>
      <w:proofErr w:type="spellEnd"/>
      <w:r w:rsidR="00A4485F">
        <w:rPr>
          <w:lang w:val="en-US"/>
        </w:rPr>
        <w:t xml:space="preserve">, BPD and UDM, and makes the following </w:t>
      </w:r>
      <w:r w:rsidR="003C01BF">
        <w:rPr>
          <w:lang w:val="en-US"/>
        </w:rPr>
        <w:t>observations noting</w:t>
      </w:r>
      <w:r w:rsidR="00726E80">
        <w:rPr>
          <w:lang w:val="en-US"/>
        </w:rPr>
        <w:t xml:space="preserve"> that a formal response from UDM has not been received.</w:t>
      </w:r>
      <w:r w:rsidR="00023ED7" w:rsidRPr="003F335D">
        <w:rPr>
          <w:lang w:val="en-US"/>
        </w:rPr>
        <w:t xml:space="preserve">. </w:t>
      </w:r>
      <w:r w:rsidR="009F6945" w:rsidRPr="003F335D">
        <w:rPr>
          <w:lang w:val="en-US"/>
        </w:rPr>
        <w:t xml:space="preserve"> </w:t>
      </w:r>
    </w:p>
    <w:p w14:paraId="68F573C3" w14:textId="77777777" w:rsidR="003F335D" w:rsidRPr="005200BD" w:rsidRDefault="003F335D" w:rsidP="00AF505E">
      <w:pPr>
        <w:pStyle w:val="ListParagraph"/>
        <w:spacing w:after="0"/>
        <w:rPr>
          <w:b/>
          <w:bCs/>
          <w:lang w:val="en-US"/>
        </w:rPr>
      </w:pPr>
    </w:p>
    <w:p w14:paraId="2B66E1B3" w14:textId="65746616" w:rsidR="003F335D" w:rsidRPr="005200BD" w:rsidRDefault="008408F3" w:rsidP="00736861">
      <w:pPr>
        <w:pStyle w:val="ListParagraph"/>
        <w:numPr>
          <w:ilvl w:val="0"/>
          <w:numId w:val="9"/>
        </w:numPr>
        <w:spacing w:after="0"/>
        <w:ind w:left="1021" w:hanging="1021"/>
        <w:rPr>
          <w:lang w:val="en-US"/>
        </w:rPr>
      </w:pPr>
      <w:r w:rsidRPr="005200BD">
        <w:rPr>
          <w:b/>
          <w:bCs/>
          <w:lang w:val="en-US"/>
        </w:rPr>
        <w:t xml:space="preserve">Firstly, </w:t>
      </w:r>
      <w:r w:rsidR="005200BD" w:rsidRPr="005200BD">
        <w:rPr>
          <w:b/>
          <w:bCs/>
          <w:lang w:val="en-US"/>
        </w:rPr>
        <w:t>both</w:t>
      </w:r>
      <w:r w:rsidRPr="005200BD">
        <w:rPr>
          <w:b/>
          <w:bCs/>
          <w:lang w:val="en-US"/>
        </w:rPr>
        <w:t xml:space="preserve"> PSP</w:t>
      </w:r>
      <w:r w:rsidR="005200BD" w:rsidRPr="005200BD">
        <w:rPr>
          <w:b/>
          <w:bCs/>
          <w:lang w:val="en-US"/>
        </w:rPr>
        <w:t>s</w:t>
      </w:r>
      <w:r w:rsidRPr="005200BD">
        <w:rPr>
          <w:b/>
          <w:bCs/>
          <w:lang w:val="en-US"/>
        </w:rPr>
        <w:t xml:space="preserve"> already contains the following requirement:</w:t>
      </w:r>
      <w:r w:rsidR="003F335D" w:rsidRPr="005200BD">
        <w:rPr>
          <w:b/>
          <w:bCs/>
          <w:lang w:val="en-US"/>
        </w:rPr>
        <w:t xml:space="preserve"> </w:t>
      </w:r>
    </w:p>
    <w:p w14:paraId="24ED4C0C" w14:textId="77777777" w:rsidR="003F335D" w:rsidRPr="005200BD" w:rsidRDefault="003F335D" w:rsidP="00AF505E">
      <w:pPr>
        <w:pStyle w:val="ListParagraph"/>
        <w:spacing w:after="0"/>
        <w:rPr>
          <w:b/>
          <w:bCs/>
          <w:lang w:val="en-US"/>
        </w:rPr>
      </w:pPr>
    </w:p>
    <w:p w14:paraId="3E8B2ECB" w14:textId="3D7D413E" w:rsidR="003F335D" w:rsidRPr="005200BD" w:rsidRDefault="008408F3" w:rsidP="00AF505E">
      <w:pPr>
        <w:pStyle w:val="ListParagraph"/>
        <w:spacing w:after="0"/>
        <w:ind w:left="1021"/>
        <w:rPr>
          <w:lang w:val="en-US"/>
        </w:rPr>
      </w:pPr>
      <w:r w:rsidRPr="005200BD">
        <w:rPr>
          <w:b/>
          <w:bCs/>
          <w:lang w:val="en-US"/>
        </w:rPr>
        <w:t>R98</w:t>
      </w:r>
      <w:r w:rsidR="005200BD" w:rsidRPr="005200BD">
        <w:rPr>
          <w:b/>
          <w:bCs/>
          <w:lang w:val="en-US"/>
        </w:rPr>
        <w:t xml:space="preserve"> (</w:t>
      </w:r>
      <w:proofErr w:type="spellStart"/>
      <w:r w:rsidR="005200BD" w:rsidRPr="005200BD">
        <w:rPr>
          <w:b/>
          <w:bCs/>
          <w:lang w:val="en-US"/>
        </w:rPr>
        <w:t>Plumpton</w:t>
      </w:r>
      <w:proofErr w:type="spellEnd"/>
      <w:r w:rsidR="005200BD" w:rsidRPr="005200BD">
        <w:rPr>
          <w:b/>
          <w:bCs/>
          <w:lang w:val="en-US"/>
        </w:rPr>
        <w:t>)</w:t>
      </w:r>
      <w:r w:rsidRPr="005200BD">
        <w:rPr>
          <w:b/>
          <w:bCs/>
          <w:lang w:val="en-US"/>
        </w:rPr>
        <w:t>:</w:t>
      </w:r>
      <w:r w:rsidRPr="005200BD">
        <w:rPr>
          <w:lang w:val="en-US"/>
        </w:rPr>
        <w:t xml:space="preserve"> Convenient and direct access to the connector street network must be provided through </w:t>
      </w:r>
      <w:proofErr w:type="spellStart"/>
      <w:r w:rsidRPr="005200BD">
        <w:rPr>
          <w:lang w:val="en-US"/>
        </w:rPr>
        <w:t>neighbouring</w:t>
      </w:r>
      <w:proofErr w:type="spellEnd"/>
      <w:r w:rsidRPr="005200BD">
        <w:rPr>
          <w:lang w:val="en-US"/>
        </w:rPr>
        <w:t xml:space="preserve"> properties where a property does not otherwise have access to the connector network or </w:t>
      </w:r>
      <w:proofErr w:type="spellStart"/>
      <w:r w:rsidRPr="005200BD">
        <w:rPr>
          <w:lang w:val="en-US"/>
        </w:rPr>
        <w:t>signalised</w:t>
      </w:r>
      <w:proofErr w:type="spellEnd"/>
      <w:r w:rsidRPr="005200BD">
        <w:rPr>
          <w:lang w:val="en-US"/>
        </w:rPr>
        <w:t xml:space="preserve"> access to the arterial road network as appropriate.</w:t>
      </w:r>
    </w:p>
    <w:p w14:paraId="7C8EF1B1" w14:textId="77777777" w:rsidR="003F335D" w:rsidRPr="005200BD" w:rsidRDefault="003F335D" w:rsidP="00AF505E">
      <w:pPr>
        <w:pStyle w:val="ListParagraph"/>
        <w:spacing w:after="0"/>
        <w:ind w:left="1021"/>
        <w:rPr>
          <w:b/>
          <w:bCs/>
          <w:lang w:val="en-US"/>
        </w:rPr>
      </w:pPr>
    </w:p>
    <w:p w14:paraId="12DB0C3D" w14:textId="77777777" w:rsidR="008408F3" w:rsidRPr="005200BD" w:rsidRDefault="008408F3" w:rsidP="00736861">
      <w:pPr>
        <w:pStyle w:val="ListParagraph"/>
        <w:numPr>
          <w:ilvl w:val="0"/>
          <w:numId w:val="9"/>
        </w:numPr>
        <w:spacing w:after="0"/>
        <w:ind w:left="1021" w:hanging="1021"/>
        <w:rPr>
          <w:b/>
          <w:bCs/>
          <w:lang w:val="en-US"/>
        </w:rPr>
      </w:pPr>
      <w:r w:rsidRPr="005200BD">
        <w:rPr>
          <w:b/>
          <w:bCs/>
          <w:lang w:val="en-US"/>
        </w:rPr>
        <w:lastRenderedPageBreak/>
        <w:t xml:space="preserve">On further review, </w:t>
      </w:r>
      <w:r w:rsidR="003B4EEE" w:rsidRPr="005200BD">
        <w:rPr>
          <w:b/>
          <w:bCs/>
          <w:lang w:val="en-US"/>
        </w:rPr>
        <w:t xml:space="preserve">the </w:t>
      </w:r>
      <w:r w:rsidRPr="005200BD">
        <w:rPr>
          <w:b/>
          <w:bCs/>
          <w:lang w:val="en-US"/>
        </w:rPr>
        <w:t>VPA contends that there is no need for additional wording/ requirement in the PSP as:</w:t>
      </w:r>
    </w:p>
    <w:p w14:paraId="78713A3A" w14:textId="3F55221A" w:rsidR="008408F3" w:rsidRDefault="008408F3" w:rsidP="00736861">
      <w:pPr>
        <w:pStyle w:val="ListParagraph"/>
        <w:widowControl w:val="0"/>
        <w:numPr>
          <w:ilvl w:val="1"/>
          <w:numId w:val="9"/>
        </w:numPr>
        <w:autoSpaceDE w:val="0"/>
        <w:autoSpaceDN w:val="0"/>
        <w:adjustRightInd w:val="0"/>
        <w:spacing w:after="0" w:line="240" w:lineRule="auto"/>
        <w:ind w:left="1985" w:hanging="397"/>
        <w:rPr>
          <w:lang w:val="en-US"/>
        </w:rPr>
      </w:pPr>
      <w:r w:rsidRPr="008408F3">
        <w:rPr>
          <w:lang w:val="en-US"/>
        </w:rPr>
        <w:t>Council already has a basis on which to negotiate with developer</w:t>
      </w:r>
      <w:r>
        <w:rPr>
          <w:lang w:val="en-US"/>
        </w:rPr>
        <w:t>s as they seek planning permits (</w:t>
      </w:r>
      <w:r w:rsidR="00122099">
        <w:rPr>
          <w:lang w:val="en-US"/>
        </w:rPr>
        <w:t>i.e.</w:t>
      </w:r>
      <w:r>
        <w:rPr>
          <w:lang w:val="en-US"/>
        </w:rPr>
        <w:t xml:space="preserve"> R98</w:t>
      </w:r>
      <w:r w:rsidR="00122099">
        <w:rPr>
          <w:lang w:val="en-US"/>
        </w:rPr>
        <w:t xml:space="preserve"> - </w:t>
      </w:r>
      <w:proofErr w:type="spellStart"/>
      <w:r w:rsidR="00122099">
        <w:rPr>
          <w:lang w:val="en-US"/>
        </w:rPr>
        <w:t>Plumpton</w:t>
      </w:r>
      <w:proofErr w:type="spellEnd"/>
      <w:r w:rsidR="00A4485F">
        <w:rPr>
          <w:lang w:val="en-US"/>
        </w:rPr>
        <w:t xml:space="preserve">; noting </w:t>
      </w:r>
      <w:proofErr w:type="spellStart"/>
      <w:r w:rsidR="00A4485F">
        <w:rPr>
          <w:lang w:val="en-US"/>
        </w:rPr>
        <w:t>Kororoit</w:t>
      </w:r>
      <w:proofErr w:type="spellEnd"/>
      <w:r w:rsidR="00A4485F">
        <w:rPr>
          <w:lang w:val="en-US"/>
        </w:rPr>
        <w:t xml:space="preserve"> is not affected</w:t>
      </w:r>
      <w:r>
        <w:rPr>
          <w:lang w:val="en-US"/>
        </w:rPr>
        <w:t>)</w:t>
      </w:r>
    </w:p>
    <w:p w14:paraId="02BAD0E8" w14:textId="77777777" w:rsidR="00A4485F" w:rsidRDefault="00A4485F" w:rsidP="0073197B">
      <w:pPr>
        <w:pStyle w:val="ListParagraph"/>
        <w:widowControl w:val="0"/>
        <w:autoSpaceDE w:val="0"/>
        <w:autoSpaceDN w:val="0"/>
        <w:adjustRightInd w:val="0"/>
        <w:spacing w:after="0" w:line="240" w:lineRule="auto"/>
        <w:ind w:left="1985"/>
        <w:rPr>
          <w:lang w:val="en-US"/>
        </w:rPr>
      </w:pPr>
    </w:p>
    <w:p w14:paraId="53ECF433" w14:textId="77777777" w:rsidR="00A4485F" w:rsidRDefault="008408F3" w:rsidP="00736861">
      <w:pPr>
        <w:pStyle w:val="ListParagraph"/>
        <w:widowControl w:val="0"/>
        <w:numPr>
          <w:ilvl w:val="1"/>
          <w:numId w:val="9"/>
        </w:numPr>
        <w:autoSpaceDE w:val="0"/>
        <w:autoSpaceDN w:val="0"/>
        <w:adjustRightInd w:val="0"/>
        <w:spacing w:after="0" w:line="240" w:lineRule="auto"/>
        <w:ind w:left="1985" w:hanging="397"/>
        <w:rPr>
          <w:lang w:val="en-US"/>
        </w:rPr>
      </w:pPr>
      <w:r>
        <w:rPr>
          <w:lang w:val="en-US"/>
        </w:rPr>
        <w:t xml:space="preserve">Land is not actually ‘landlocked’ – rather, a temporary (sacrificial) road would need to be built to access the developable part of the parcel. For example, in </w:t>
      </w:r>
      <w:proofErr w:type="spellStart"/>
      <w:r>
        <w:rPr>
          <w:lang w:val="en-US"/>
        </w:rPr>
        <w:t>Wollert</w:t>
      </w:r>
      <w:proofErr w:type="spellEnd"/>
      <w:r>
        <w:rPr>
          <w:lang w:val="en-US"/>
        </w:rPr>
        <w:t xml:space="preserve"> PSP </w:t>
      </w:r>
      <w:r w:rsidR="005200BD">
        <w:rPr>
          <w:lang w:val="en-US"/>
        </w:rPr>
        <w:t xml:space="preserve">area BPD is currently progressing interim works to allow access to a parcel otherwise landlocked. </w:t>
      </w:r>
      <w:r w:rsidR="00122099">
        <w:rPr>
          <w:lang w:val="en-US"/>
        </w:rPr>
        <w:t>This is a negotiated outcome be</w:t>
      </w:r>
      <w:r w:rsidR="005200BD">
        <w:rPr>
          <w:lang w:val="en-US"/>
        </w:rPr>
        <w:t>tween Council and landowners</w:t>
      </w:r>
      <w:r w:rsidR="00A4485F">
        <w:rPr>
          <w:lang w:val="en-US"/>
        </w:rPr>
        <w:t>.</w:t>
      </w:r>
    </w:p>
    <w:p w14:paraId="5F9DFFBC" w14:textId="77777777" w:rsidR="00A4485F" w:rsidRDefault="00A4485F" w:rsidP="0073197B">
      <w:pPr>
        <w:pStyle w:val="ListParagraph"/>
        <w:widowControl w:val="0"/>
        <w:autoSpaceDE w:val="0"/>
        <w:autoSpaceDN w:val="0"/>
        <w:adjustRightInd w:val="0"/>
        <w:spacing w:after="0" w:line="240" w:lineRule="auto"/>
        <w:ind w:left="1985"/>
        <w:rPr>
          <w:lang w:val="en-US"/>
        </w:rPr>
      </w:pPr>
    </w:p>
    <w:p w14:paraId="2AD3BA82" w14:textId="78F1F600" w:rsidR="003F335D" w:rsidRDefault="00A4485F" w:rsidP="00736861">
      <w:pPr>
        <w:pStyle w:val="ListParagraph"/>
        <w:widowControl w:val="0"/>
        <w:numPr>
          <w:ilvl w:val="1"/>
          <w:numId w:val="9"/>
        </w:numPr>
        <w:autoSpaceDE w:val="0"/>
        <w:autoSpaceDN w:val="0"/>
        <w:adjustRightInd w:val="0"/>
        <w:spacing w:after="0" w:line="240" w:lineRule="auto"/>
        <w:ind w:left="1985" w:hanging="397"/>
        <w:rPr>
          <w:lang w:val="en-US"/>
        </w:rPr>
      </w:pPr>
      <w:r>
        <w:rPr>
          <w:lang w:val="en-US"/>
        </w:rPr>
        <w:t>F</w:t>
      </w:r>
      <w:r w:rsidR="005200BD">
        <w:rPr>
          <w:lang w:val="en-US"/>
        </w:rPr>
        <w:t xml:space="preserve">ollowing discussion with Melton City Council officers, VPA considers that further detail on temporary access to properties is a matter best handled by Council rather than through the PSP. </w:t>
      </w:r>
      <w:r>
        <w:rPr>
          <w:lang w:val="en-US"/>
        </w:rPr>
        <w:t>There are a not a great number of affected properties, and VPA is confident that Council will be able to resolve these issues at the stage of implementation.</w:t>
      </w:r>
    </w:p>
    <w:p w14:paraId="3ADD94BB" w14:textId="6ADDA2D9" w:rsidR="003B4EEE" w:rsidRPr="00D20334" w:rsidRDefault="005200BD" w:rsidP="00AF505E">
      <w:pPr>
        <w:spacing w:after="0"/>
        <w:rPr>
          <w:bCs/>
          <w:highlight w:val="yellow"/>
          <w:lang w:val="en-US"/>
        </w:rPr>
      </w:pPr>
      <w:r>
        <w:rPr>
          <w:b/>
        </w:rPr>
        <w:t xml:space="preserve"> </w:t>
      </w:r>
      <w:r w:rsidR="009F6945" w:rsidRPr="003B4EEE">
        <w:rPr>
          <w:bCs/>
          <w:highlight w:val="yellow"/>
          <w:lang w:val="en-US"/>
        </w:rPr>
        <w:t xml:space="preserve"> </w:t>
      </w:r>
    </w:p>
    <w:p w14:paraId="470AD023" w14:textId="6A690F0B" w:rsidR="008E6E8C" w:rsidRDefault="009E6769" w:rsidP="00AF505E">
      <w:pPr>
        <w:pStyle w:val="Heading2"/>
        <w:rPr>
          <w:lang w:val="en-AU"/>
        </w:rPr>
      </w:pPr>
      <w:bookmarkStart w:id="8" w:name="_Toc469573644"/>
      <w:r>
        <w:rPr>
          <w:lang w:val="en-AU"/>
        </w:rPr>
        <w:t>2.4</w:t>
      </w:r>
      <w:r w:rsidR="008E6E8C">
        <w:rPr>
          <w:lang w:val="en-AU"/>
        </w:rPr>
        <w:t xml:space="preserve"> Triangular shaped land east of the Aquatic Centre</w:t>
      </w:r>
      <w:bookmarkEnd w:id="8"/>
    </w:p>
    <w:p w14:paraId="04DFAAA8" w14:textId="77777777" w:rsidR="003B4EEE" w:rsidRPr="003B4EEE" w:rsidRDefault="00A16820" w:rsidP="00736861">
      <w:pPr>
        <w:pStyle w:val="ListParagraph"/>
        <w:numPr>
          <w:ilvl w:val="0"/>
          <w:numId w:val="9"/>
        </w:numPr>
        <w:spacing w:after="0"/>
        <w:ind w:left="1021" w:hanging="1021"/>
      </w:pPr>
      <w:r w:rsidRPr="003B4EEE">
        <w:t>The Panel asked how the land east of the Aquatic Centre might be developed</w:t>
      </w:r>
      <w:r w:rsidR="000C60B5" w:rsidRPr="003B4EEE">
        <w:t>.</w:t>
      </w:r>
    </w:p>
    <w:p w14:paraId="13A29DA4" w14:textId="77777777" w:rsidR="003B4EEE" w:rsidRPr="003B4EEE" w:rsidRDefault="003B4EEE" w:rsidP="00AF505E">
      <w:pPr>
        <w:pStyle w:val="ListParagraph"/>
        <w:spacing w:after="0"/>
        <w:ind w:left="1021"/>
      </w:pPr>
    </w:p>
    <w:p w14:paraId="60864F4E" w14:textId="60549682" w:rsidR="003B4EEE" w:rsidRPr="003B4EEE" w:rsidRDefault="00A16820" w:rsidP="00736861">
      <w:pPr>
        <w:pStyle w:val="ListParagraph"/>
        <w:numPr>
          <w:ilvl w:val="0"/>
          <w:numId w:val="9"/>
        </w:numPr>
        <w:spacing w:after="0"/>
        <w:ind w:left="1021" w:hanging="1021"/>
      </w:pPr>
      <w:r w:rsidRPr="003B4EEE">
        <w:t xml:space="preserve">The VPA </w:t>
      </w:r>
      <w:r w:rsidRPr="00A73931">
        <w:t>provides indicative concept</w:t>
      </w:r>
      <w:r w:rsidR="003B2D27" w:rsidRPr="003B4EEE">
        <w:t>s</w:t>
      </w:r>
      <w:r w:rsidRPr="003B4EEE">
        <w:t xml:space="preserve"> of how this land might be developed</w:t>
      </w:r>
      <w:r w:rsidR="008408F3" w:rsidRPr="003B4EEE">
        <w:t xml:space="preserve"> </w:t>
      </w:r>
      <w:r w:rsidR="008408F3" w:rsidRPr="002E1AE7">
        <w:t xml:space="preserve">at Appendix </w:t>
      </w:r>
      <w:r w:rsidR="002E1AE7" w:rsidRPr="002E1AE7">
        <w:t>1</w:t>
      </w:r>
      <w:r w:rsidR="00261F20" w:rsidRPr="002E1AE7">
        <w:t>,</w:t>
      </w:r>
      <w:r w:rsidR="00261F20" w:rsidRPr="003B4EEE">
        <w:t xml:space="preserve"> and provides further detail in the response to </w:t>
      </w:r>
      <w:proofErr w:type="spellStart"/>
      <w:r w:rsidR="00261F20" w:rsidRPr="003B4EEE">
        <w:t>Mondous</w:t>
      </w:r>
      <w:proofErr w:type="spellEnd"/>
      <w:r w:rsidR="00261F20" w:rsidRPr="003B4EEE">
        <w:t>’ submission in this closing submission</w:t>
      </w:r>
      <w:r w:rsidR="003B2D27" w:rsidRPr="003B4EEE">
        <w:t>. These provide an indication of how the land may be developed at a range of lot sizes, noting that drawings are preliminary and that other uses may also be proposed in accordance with the PSP and the UGZ.</w:t>
      </w:r>
    </w:p>
    <w:p w14:paraId="1B9D3C0E" w14:textId="77777777" w:rsidR="003B4EEE" w:rsidRPr="003B4EEE" w:rsidRDefault="003B4EEE" w:rsidP="00AF505E">
      <w:pPr>
        <w:pStyle w:val="ListParagraph"/>
        <w:spacing w:after="0"/>
        <w:ind w:left="1021"/>
      </w:pPr>
    </w:p>
    <w:p w14:paraId="671AD32C" w14:textId="54FFF007" w:rsidR="009E6769" w:rsidRDefault="00A16820" w:rsidP="00736861">
      <w:pPr>
        <w:pStyle w:val="ListParagraph"/>
        <w:numPr>
          <w:ilvl w:val="0"/>
          <w:numId w:val="9"/>
        </w:numPr>
        <w:spacing w:after="0"/>
        <w:ind w:left="1021" w:hanging="1021"/>
      </w:pPr>
      <w:r w:rsidRPr="003B4EEE">
        <w:t xml:space="preserve">The VPA has no concerns about the proper and orderly development and use of </w:t>
      </w:r>
      <w:r w:rsidR="003B2D27" w:rsidRPr="003B4EEE">
        <w:t xml:space="preserve">the </w:t>
      </w:r>
      <w:r w:rsidRPr="003B4EEE">
        <w:t xml:space="preserve">land in this way. The VPA notes there is a separation between the relevant parcel and the Aquatic Centre land – and that further, there is </w:t>
      </w:r>
      <w:r w:rsidR="003B2D27" w:rsidRPr="003B4EEE">
        <w:t xml:space="preserve">ample land </w:t>
      </w:r>
      <w:r w:rsidRPr="003B4EEE">
        <w:t>to strategically place infrastructure upon the Aquatic Centre land</w:t>
      </w:r>
      <w:r w:rsidR="009416F4">
        <w:t xml:space="preserve"> to minimize impacts, for example,</w:t>
      </w:r>
      <w:r w:rsidR="003B2D27" w:rsidRPr="003B4EEE">
        <w:t xml:space="preserve"> noise on future residents to the north, east and west</w:t>
      </w:r>
      <w:r w:rsidRPr="003B4EEE">
        <w:t xml:space="preserve">. </w:t>
      </w:r>
      <w:r w:rsidR="000C60B5" w:rsidRPr="003B4EEE">
        <w:t> </w:t>
      </w:r>
    </w:p>
    <w:p w14:paraId="2B47E2A6" w14:textId="77777777" w:rsidR="009E6769" w:rsidRPr="003B4EEE" w:rsidRDefault="009E6769" w:rsidP="00AF505E">
      <w:pPr>
        <w:spacing w:after="0"/>
      </w:pPr>
    </w:p>
    <w:p w14:paraId="00097CA6" w14:textId="397D7CEB" w:rsidR="00E36144" w:rsidRPr="00025CD8" w:rsidRDefault="003C01BF" w:rsidP="00AF505E">
      <w:pPr>
        <w:pStyle w:val="Heading2"/>
        <w:rPr>
          <w:lang w:val="en-AU"/>
        </w:rPr>
      </w:pPr>
      <w:bookmarkStart w:id="9" w:name="_Toc469573645"/>
      <w:r>
        <w:rPr>
          <w:lang w:val="en-AU"/>
        </w:rPr>
        <w:t xml:space="preserve">2.6 </w:t>
      </w:r>
      <w:r w:rsidRPr="00025CD8">
        <w:rPr>
          <w:lang w:val="en-AU"/>
        </w:rPr>
        <w:t>Dealing</w:t>
      </w:r>
      <w:r w:rsidR="008E6E8C" w:rsidRPr="00025CD8">
        <w:rPr>
          <w:lang w:val="en-AU"/>
        </w:rPr>
        <w:t xml:space="preserve"> with the Urban Floodway Zone</w:t>
      </w:r>
      <w:bookmarkEnd w:id="9"/>
      <w:r w:rsidR="008E6E8C" w:rsidRPr="00025CD8">
        <w:rPr>
          <w:lang w:val="en-AU"/>
        </w:rPr>
        <w:t xml:space="preserve"> </w:t>
      </w:r>
    </w:p>
    <w:p w14:paraId="06FF8BDA" w14:textId="56C0B125" w:rsidR="00E36144" w:rsidRPr="00025CD8" w:rsidRDefault="00A16820" w:rsidP="00736861">
      <w:pPr>
        <w:pStyle w:val="ListParagraph"/>
        <w:numPr>
          <w:ilvl w:val="0"/>
          <w:numId w:val="9"/>
        </w:numPr>
        <w:spacing w:after="0"/>
        <w:ind w:left="1021" w:hanging="1021"/>
        <w:rPr>
          <w:bCs/>
          <w:lang w:val="en-US"/>
        </w:rPr>
      </w:pPr>
      <w:proofErr w:type="spellStart"/>
      <w:r w:rsidRPr="00025CD8">
        <w:rPr>
          <w:bCs/>
          <w:lang w:val="en-US"/>
        </w:rPr>
        <w:t>Dacland</w:t>
      </w:r>
      <w:proofErr w:type="spellEnd"/>
      <w:r w:rsidRPr="00025CD8">
        <w:rPr>
          <w:bCs/>
          <w:lang w:val="en-US"/>
        </w:rPr>
        <w:t xml:space="preserve"> made a submission in relation to land it has an interest in which is currently zoned Urban Floodway Zone</w:t>
      </w:r>
      <w:r w:rsidR="009416F4">
        <w:rPr>
          <w:bCs/>
          <w:lang w:val="en-US"/>
        </w:rPr>
        <w:t xml:space="preserve"> (UFZ)</w:t>
      </w:r>
      <w:r w:rsidRPr="00025CD8">
        <w:rPr>
          <w:bCs/>
          <w:lang w:val="en-US"/>
        </w:rPr>
        <w:t xml:space="preserve">, and which is proposed to be </w:t>
      </w:r>
      <w:r w:rsidR="001E0A05" w:rsidRPr="00025CD8">
        <w:rPr>
          <w:bCs/>
          <w:lang w:val="en-US"/>
        </w:rPr>
        <w:t>rezoned Urban Growth Zone.</w:t>
      </w:r>
      <w:r w:rsidR="001C21C9" w:rsidRPr="00025CD8">
        <w:rPr>
          <w:bCs/>
          <w:lang w:val="en-US"/>
        </w:rPr>
        <w:t xml:space="preserve">  </w:t>
      </w:r>
      <w:proofErr w:type="spellStart"/>
      <w:r w:rsidR="001C21C9" w:rsidRPr="00025CD8">
        <w:rPr>
          <w:bCs/>
          <w:lang w:val="en-US"/>
        </w:rPr>
        <w:t>Dacland</w:t>
      </w:r>
      <w:proofErr w:type="spellEnd"/>
      <w:r w:rsidR="001C21C9" w:rsidRPr="00025CD8">
        <w:rPr>
          <w:bCs/>
          <w:lang w:val="en-US"/>
        </w:rPr>
        <w:t xml:space="preserve"> agreed that the current delineation of the UFZ boundary should not remain (especially in circumstances where it is seeking agreement to alter the waterway), but also had concerns about the </w:t>
      </w:r>
      <w:r w:rsidR="009416F4">
        <w:rPr>
          <w:bCs/>
          <w:lang w:val="en-US"/>
        </w:rPr>
        <w:t>Growth Areas Infrastructure Contribution (</w:t>
      </w:r>
      <w:r w:rsidR="001C21C9" w:rsidRPr="00025CD8">
        <w:rPr>
          <w:bCs/>
          <w:lang w:val="en-US"/>
        </w:rPr>
        <w:t>GAIC</w:t>
      </w:r>
      <w:r w:rsidR="009416F4">
        <w:rPr>
          <w:bCs/>
          <w:lang w:val="en-US"/>
        </w:rPr>
        <w:t>)</w:t>
      </w:r>
      <w:r w:rsidR="001C21C9" w:rsidRPr="00025CD8">
        <w:rPr>
          <w:bCs/>
          <w:lang w:val="en-US"/>
        </w:rPr>
        <w:t xml:space="preserve"> implications of re-zoning the land.</w:t>
      </w:r>
      <w:r w:rsidR="001E0A05" w:rsidRPr="00025CD8">
        <w:rPr>
          <w:bCs/>
          <w:lang w:val="en-US"/>
        </w:rPr>
        <w:t xml:space="preserve"> </w:t>
      </w:r>
      <w:r w:rsidRPr="00025CD8">
        <w:rPr>
          <w:bCs/>
          <w:lang w:val="en-US"/>
        </w:rPr>
        <w:t xml:space="preserve"> ID Land also then raised this issue. </w:t>
      </w:r>
    </w:p>
    <w:p w14:paraId="14A4EFBC" w14:textId="77777777" w:rsidR="003B4EEE" w:rsidRPr="00025CD8" w:rsidRDefault="003B4EEE" w:rsidP="00AF505E">
      <w:pPr>
        <w:pStyle w:val="ListParagraph"/>
        <w:spacing w:after="0"/>
        <w:ind w:left="1021"/>
        <w:rPr>
          <w:bCs/>
          <w:lang w:val="en-US"/>
        </w:rPr>
      </w:pPr>
    </w:p>
    <w:p w14:paraId="168DAFA6" w14:textId="568B9610" w:rsidR="00A16820" w:rsidRDefault="001E0A05" w:rsidP="00736861">
      <w:pPr>
        <w:pStyle w:val="ListParagraph"/>
        <w:numPr>
          <w:ilvl w:val="0"/>
          <w:numId w:val="9"/>
        </w:numPr>
        <w:spacing w:after="0"/>
        <w:ind w:left="1021" w:hanging="1021"/>
        <w:rPr>
          <w:bCs/>
          <w:lang w:val="en-US"/>
        </w:rPr>
      </w:pPr>
      <w:r w:rsidRPr="00025CD8">
        <w:rPr>
          <w:bCs/>
          <w:lang w:val="en-US"/>
        </w:rPr>
        <w:t>The Panel</w:t>
      </w:r>
      <w:r w:rsidR="007D4CF9" w:rsidRPr="00025CD8">
        <w:rPr>
          <w:bCs/>
          <w:lang w:val="en-US"/>
        </w:rPr>
        <w:t xml:space="preserve"> raised a question about whether it is desirable to seek that once development occurs, flood mapping is once again assessed</w:t>
      </w:r>
      <w:r w:rsidRPr="00025CD8">
        <w:rPr>
          <w:bCs/>
          <w:lang w:val="en-US"/>
        </w:rPr>
        <w:t xml:space="preserve">, and any consequential necessary flood risks are mapped into the Scheme. </w:t>
      </w:r>
      <w:r w:rsidR="002F67C1">
        <w:rPr>
          <w:bCs/>
          <w:lang w:val="en-US"/>
        </w:rPr>
        <w:t>This assessment and rezoning process occur</w:t>
      </w:r>
      <w:r w:rsidR="00726E80">
        <w:rPr>
          <w:bCs/>
          <w:lang w:val="en-US"/>
        </w:rPr>
        <w:t>s as a matter of course</w:t>
      </w:r>
      <w:r w:rsidR="002F67C1">
        <w:rPr>
          <w:bCs/>
          <w:lang w:val="en-US"/>
        </w:rPr>
        <w:t xml:space="preserve"> after the precinct is developed in accordance with the PSP and translation from the UGZ to standard VPP provisions occurs, in accordance with the UGZ practice note. </w:t>
      </w:r>
    </w:p>
    <w:p w14:paraId="162AE99B" w14:textId="77777777" w:rsidR="005534DB" w:rsidRPr="005534DB" w:rsidRDefault="005534DB" w:rsidP="00AF505E">
      <w:pPr>
        <w:pStyle w:val="ListParagraph"/>
        <w:spacing w:after="0"/>
        <w:rPr>
          <w:bCs/>
          <w:lang w:val="en-US"/>
        </w:rPr>
      </w:pPr>
    </w:p>
    <w:p w14:paraId="47630960" w14:textId="0653C1CD" w:rsidR="004066DE" w:rsidRDefault="001E0A05">
      <w:pPr>
        <w:pStyle w:val="ListParagraph"/>
        <w:numPr>
          <w:ilvl w:val="0"/>
          <w:numId w:val="9"/>
        </w:numPr>
        <w:spacing w:after="0"/>
        <w:ind w:left="1021" w:hanging="1021"/>
        <w:rPr>
          <w:bCs/>
          <w:lang w:val="en-US"/>
        </w:rPr>
      </w:pPr>
      <w:r w:rsidRPr="003F3BE3">
        <w:rPr>
          <w:bCs/>
          <w:lang w:val="en-US"/>
        </w:rPr>
        <w:lastRenderedPageBreak/>
        <w:t>The VPA considers the Amendments on their face</w:t>
      </w:r>
      <w:r w:rsidR="001C21C9" w:rsidRPr="003F3BE3">
        <w:rPr>
          <w:bCs/>
          <w:lang w:val="en-US"/>
        </w:rPr>
        <w:t xml:space="preserve"> are appropriate, especially insofar as it </w:t>
      </w:r>
      <w:r w:rsidR="002F67C1" w:rsidRPr="003F3BE3">
        <w:rPr>
          <w:bCs/>
          <w:lang w:val="en-US"/>
        </w:rPr>
        <w:t xml:space="preserve">is </w:t>
      </w:r>
      <w:r w:rsidR="001C21C9" w:rsidRPr="003F3BE3">
        <w:rPr>
          <w:bCs/>
          <w:lang w:val="en-US"/>
        </w:rPr>
        <w:t>not appropriate to retain the UFZ in its current location with the expected urban development, and expected changes to the drainage regime.  Plan 2 of each PSP marks the location of the 1 in 100 year flood location as it currently exists, and this acts as a notification of the locations where flooding may currently occur.</w:t>
      </w:r>
      <w:r w:rsidR="002B7C34" w:rsidRPr="003F3BE3">
        <w:rPr>
          <w:bCs/>
          <w:lang w:val="en-US"/>
        </w:rPr>
        <w:t xml:space="preserve"> </w:t>
      </w:r>
      <w:r w:rsidR="00A9012C" w:rsidRPr="003F3BE3">
        <w:rPr>
          <w:bCs/>
          <w:lang w:val="en-US"/>
        </w:rPr>
        <w:t>Plan 10 being the integrated water management and utilities plan and accompanying section 4.0 of the PSP outlines the requirements to address necessary drainage infrastructure to service development of the land</w:t>
      </w:r>
      <w:r w:rsidR="004066DE" w:rsidRPr="003F3BE3">
        <w:rPr>
          <w:bCs/>
          <w:lang w:val="en-US"/>
        </w:rPr>
        <w:t>, which to a degree is somewhat flexible provided there is agreement with the relevant water authority being Melbourne Water</w:t>
      </w:r>
      <w:r w:rsidR="00A9012C" w:rsidRPr="003F3BE3">
        <w:rPr>
          <w:bCs/>
          <w:lang w:val="en-US"/>
        </w:rPr>
        <w:t>.</w:t>
      </w:r>
      <w:r w:rsidR="004066DE" w:rsidRPr="003F3BE3">
        <w:rPr>
          <w:bCs/>
          <w:lang w:val="en-US"/>
        </w:rPr>
        <w:t xml:space="preserve"> </w:t>
      </w:r>
    </w:p>
    <w:p w14:paraId="3A26AC49" w14:textId="77777777" w:rsidR="003F3BE3" w:rsidRPr="008E266F" w:rsidRDefault="003F3BE3" w:rsidP="0073197B">
      <w:pPr>
        <w:pStyle w:val="ListParagraph"/>
        <w:rPr>
          <w:bCs/>
          <w:lang w:val="en-US"/>
        </w:rPr>
      </w:pPr>
    </w:p>
    <w:p w14:paraId="54982500" w14:textId="21ECD87A" w:rsidR="001C21C9" w:rsidRPr="00025CD8" w:rsidRDefault="00D20334" w:rsidP="00736861">
      <w:pPr>
        <w:pStyle w:val="ListParagraph"/>
        <w:numPr>
          <w:ilvl w:val="0"/>
          <w:numId w:val="9"/>
        </w:numPr>
        <w:spacing w:after="0"/>
        <w:ind w:left="1021" w:hanging="1021"/>
        <w:rPr>
          <w:bCs/>
          <w:lang w:val="en-US"/>
        </w:rPr>
      </w:pPr>
      <w:r>
        <w:rPr>
          <w:bCs/>
          <w:lang w:val="en-US"/>
        </w:rPr>
        <w:t xml:space="preserve">The </w:t>
      </w:r>
      <w:r w:rsidR="002B7C34" w:rsidRPr="00025CD8">
        <w:rPr>
          <w:bCs/>
          <w:lang w:val="en-US"/>
        </w:rPr>
        <w:t xml:space="preserve">VPA also reiterates that Melbourne Water is supportive of </w:t>
      </w:r>
      <w:r w:rsidR="004066DE">
        <w:rPr>
          <w:bCs/>
          <w:lang w:val="en-US"/>
        </w:rPr>
        <w:t>the proposed amendments</w:t>
      </w:r>
      <w:r w:rsidR="002B7C34" w:rsidRPr="00025CD8">
        <w:rPr>
          <w:bCs/>
          <w:lang w:val="en-US"/>
        </w:rPr>
        <w:t xml:space="preserve">, </w:t>
      </w:r>
      <w:r w:rsidR="003F3BE3">
        <w:rPr>
          <w:bCs/>
          <w:lang w:val="en-US"/>
        </w:rPr>
        <w:t xml:space="preserve">as it is </w:t>
      </w:r>
      <w:r w:rsidR="002B7C34" w:rsidRPr="00025CD8">
        <w:rPr>
          <w:bCs/>
          <w:lang w:val="en-US"/>
        </w:rPr>
        <w:t>consistent with the approach adopted for Melton C145 (</w:t>
      </w:r>
      <w:proofErr w:type="spellStart"/>
      <w:r w:rsidR="002B7C34" w:rsidRPr="00025CD8">
        <w:rPr>
          <w:bCs/>
          <w:lang w:val="en-US"/>
        </w:rPr>
        <w:t>Rockbank</w:t>
      </w:r>
      <w:proofErr w:type="spellEnd"/>
      <w:r w:rsidR="002B7C34" w:rsidRPr="00025CD8">
        <w:rPr>
          <w:bCs/>
          <w:lang w:val="en-US"/>
        </w:rPr>
        <w:t xml:space="preserve"> PSP).</w:t>
      </w:r>
    </w:p>
    <w:p w14:paraId="6BD05366" w14:textId="77777777" w:rsidR="003B4EEE" w:rsidRPr="00025CD8" w:rsidRDefault="003B4EEE" w:rsidP="00AF505E">
      <w:pPr>
        <w:pStyle w:val="ListParagraph"/>
        <w:spacing w:after="0"/>
        <w:ind w:left="1021"/>
        <w:rPr>
          <w:bCs/>
          <w:lang w:val="en-US"/>
        </w:rPr>
      </w:pPr>
    </w:p>
    <w:p w14:paraId="321C54FC" w14:textId="77777777" w:rsidR="00025CD8" w:rsidRPr="00025CD8" w:rsidRDefault="003B4EEE" w:rsidP="00736861">
      <w:pPr>
        <w:pStyle w:val="ListParagraph"/>
        <w:numPr>
          <w:ilvl w:val="0"/>
          <w:numId w:val="9"/>
        </w:numPr>
        <w:spacing w:after="0"/>
        <w:ind w:left="1021" w:hanging="1021"/>
        <w:rPr>
          <w:bCs/>
          <w:lang w:val="en-US"/>
        </w:rPr>
      </w:pPr>
      <w:r w:rsidRPr="00025CD8">
        <w:rPr>
          <w:bCs/>
          <w:lang w:val="en-US"/>
        </w:rPr>
        <w:t xml:space="preserve">The </w:t>
      </w:r>
      <w:r w:rsidR="001C21C9" w:rsidRPr="00025CD8">
        <w:rPr>
          <w:bCs/>
          <w:lang w:val="en-US"/>
        </w:rPr>
        <w:t xml:space="preserve">VPA also says that GAIC implications are an issue that follows from the application of provisions that sit alongside this Amendment process.  The strategic planning questions of whether the land needs to remain UFZ, and what the best planning strategy is for land currently the subject of flooding risk, but where that may change, should guide the Panel – rather than whether or not there are GAIC implications.  </w:t>
      </w:r>
    </w:p>
    <w:p w14:paraId="03F514CD" w14:textId="77777777" w:rsidR="00025CD8" w:rsidRPr="00025CD8" w:rsidRDefault="00025CD8" w:rsidP="00AF505E">
      <w:pPr>
        <w:pStyle w:val="ListParagraph"/>
        <w:spacing w:after="0"/>
        <w:ind w:left="1021"/>
        <w:rPr>
          <w:bCs/>
          <w:lang w:val="en-US"/>
        </w:rPr>
      </w:pPr>
    </w:p>
    <w:p w14:paraId="6C2BBA5C" w14:textId="7D6B2E89" w:rsidR="002B7C34" w:rsidRDefault="002B7C34" w:rsidP="00736861">
      <w:pPr>
        <w:pStyle w:val="ListParagraph"/>
        <w:numPr>
          <w:ilvl w:val="0"/>
          <w:numId w:val="9"/>
        </w:numPr>
        <w:spacing w:after="0"/>
        <w:ind w:left="1021" w:hanging="1021"/>
        <w:rPr>
          <w:bCs/>
          <w:lang w:val="en-US"/>
        </w:rPr>
      </w:pPr>
      <w:r w:rsidRPr="00025CD8">
        <w:rPr>
          <w:bCs/>
          <w:lang w:val="en-US"/>
        </w:rPr>
        <w:t xml:space="preserve">It is noted that the UFZ land in question is identified in the PSP to be used as ‘service open space (drainage)’ that will not attract the infrastructure contribution levy as it is considered undevelopable land, similar to land where traffic and community infrastructure is identified yet will be also be zoned UGZ. Therefore, </w:t>
      </w:r>
      <w:r w:rsidR="003B4EEE" w:rsidRPr="00025CD8">
        <w:rPr>
          <w:bCs/>
          <w:lang w:val="en-US"/>
        </w:rPr>
        <w:t xml:space="preserve">the </w:t>
      </w:r>
      <w:r w:rsidRPr="00025CD8">
        <w:rPr>
          <w:bCs/>
          <w:lang w:val="en-US"/>
        </w:rPr>
        <w:t xml:space="preserve">VPA considers </w:t>
      </w:r>
      <w:r w:rsidR="004066DE">
        <w:rPr>
          <w:bCs/>
          <w:lang w:val="en-US"/>
        </w:rPr>
        <w:t xml:space="preserve">it </w:t>
      </w:r>
      <w:r w:rsidRPr="00025CD8">
        <w:rPr>
          <w:bCs/>
          <w:lang w:val="en-US"/>
        </w:rPr>
        <w:t xml:space="preserve">fair and equitable to attract GAIC for land that will service the future urban development to the land. </w:t>
      </w:r>
    </w:p>
    <w:p w14:paraId="7A89D078" w14:textId="77777777" w:rsidR="005534DB" w:rsidRPr="005534DB" w:rsidRDefault="005534DB" w:rsidP="00AF505E">
      <w:pPr>
        <w:pStyle w:val="ListParagraph"/>
        <w:spacing w:after="0"/>
        <w:rPr>
          <w:bCs/>
          <w:lang w:val="en-US"/>
        </w:rPr>
      </w:pPr>
    </w:p>
    <w:p w14:paraId="5D03EA35" w14:textId="16397573" w:rsidR="005534DB" w:rsidRPr="00D20334" w:rsidRDefault="003B4EEE" w:rsidP="00736861">
      <w:pPr>
        <w:pStyle w:val="ListParagraph"/>
        <w:numPr>
          <w:ilvl w:val="0"/>
          <w:numId w:val="9"/>
        </w:numPr>
        <w:spacing w:after="0"/>
        <w:ind w:left="1021" w:hanging="1021"/>
        <w:rPr>
          <w:bCs/>
          <w:lang w:val="en-US"/>
        </w:rPr>
      </w:pPr>
      <w:r w:rsidRPr="00025CD8">
        <w:rPr>
          <w:bCs/>
          <w:lang w:val="en-US"/>
        </w:rPr>
        <w:t xml:space="preserve">The </w:t>
      </w:r>
      <w:r w:rsidR="001C21C9" w:rsidRPr="00025CD8">
        <w:rPr>
          <w:bCs/>
          <w:lang w:val="en-US"/>
        </w:rPr>
        <w:t>VPA accepts that the Panel’s approach of revisiting flood risk once development is underway has merit</w:t>
      </w:r>
      <w:r w:rsidR="005534DB">
        <w:rPr>
          <w:bCs/>
          <w:lang w:val="en-US"/>
        </w:rPr>
        <w:t>, but</w:t>
      </w:r>
      <w:r w:rsidR="00A4485F">
        <w:rPr>
          <w:bCs/>
          <w:lang w:val="en-US"/>
        </w:rPr>
        <w:t xml:space="preserve"> says</w:t>
      </w:r>
      <w:r w:rsidR="005534DB">
        <w:rPr>
          <w:bCs/>
          <w:lang w:val="en-US"/>
        </w:rPr>
        <w:t xml:space="preserve"> that this does not need to be imposed on the land</w:t>
      </w:r>
      <w:r w:rsidR="00A4485F">
        <w:rPr>
          <w:bCs/>
          <w:lang w:val="en-US"/>
        </w:rPr>
        <w:t xml:space="preserve"> by way of</w:t>
      </w:r>
      <w:r w:rsidR="005534DB">
        <w:rPr>
          <w:bCs/>
          <w:lang w:val="en-US"/>
        </w:rPr>
        <w:t xml:space="preserve"> the PSP. To clarify matter</w:t>
      </w:r>
      <w:r w:rsidR="00122099">
        <w:rPr>
          <w:bCs/>
          <w:lang w:val="en-US"/>
        </w:rPr>
        <w:t>s, VPA supports the option in Melbourne Water</w:t>
      </w:r>
      <w:r w:rsidR="005534DB">
        <w:rPr>
          <w:bCs/>
          <w:lang w:val="en-US"/>
        </w:rPr>
        <w:t>’s response as follows:</w:t>
      </w:r>
    </w:p>
    <w:p w14:paraId="3DB898E1" w14:textId="2F7DEB41" w:rsidR="005534DB" w:rsidRDefault="005534DB" w:rsidP="00736861">
      <w:pPr>
        <w:pStyle w:val="ListParagraph"/>
        <w:numPr>
          <w:ilvl w:val="1"/>
          <w:numId w:val="9"/>
        </w:numPr>
        <w:spacing w:after="0"/>
        <w:rPr>
          <w:bCs/>
          <w:lang w:val="en-US"/>
        </w:rPr>
      </w:pPr>
      <w:r>
        <w:rPr>
          <w:szCs w:val="20"/>
        </w:rPr>
        <w:t>Plan 2 – ‘Precinct Features’ currently shows the location of the pre-development 1 in 100 year flood extent. The legend on this map could be changed to read ‘Pre-development 1 in 100 year flood extent’.</w:t>
      </w:r>
      <w:r w:rsidR="001C21C9" w:rsidRPr="00025CD8">
        <w:rPr>
          <w:bCs/>
          <w:lang w:val="en-US"/>
        </w:rPr>
        <w:t xml:space="preserve">  </w:t>
      </w:r>
    </w:p>
    <w:p w14:paraId="0CB6F149" w14:textId="77777777" w:rsidR="00D20334" w:rsidRPr="00D20334" w:rsidRDefault="00D20334" w:rsidP="00AF505E">
      <w:pPr>
        <w:pStyle w:val="ListParagraph"/>
        <w:spacing w:after="0"/>
        <w:ind w:left="1440"/>
        <w:rPr>
          <w:bCs/>
          <w:lang w:val="en-US"/>
        </w:rPr>
      </w:pPr>
    </w:p>
    <w:p w14:paraId="6A90988B" w14:textId="72FE61A9" w:rsidR="001E0A05" w:rsidRPr="00025CD8" w:rsidRDefault="005534DB" w:rsidP="00736861">
      <w:pPr>
        <w:pStyle w:val="ListParagraph"/>
        <w:numPr>
          <w:ilvl w:val="0"/>
          <w:numId w:val="9"/>
        </w:numPr>
        <w:spacing w:after="0"/>
        <w:ind w:left="1021" w:hanging="1021"/>
        <w:rPr>
          <w:bCs/>
          <w:lang w:val="en-US"/>
        </w:rPr>
      </w:pPr>
      <w:r>
        <w:rPr>
          <w:bCs/>
          <w:lang w:val="en-US"/>
        </w:rPr>
        <w:t xml:space="preserve">Refer Melbourne Water response on this matter at </w:t>
      </w:r>
      <w:r w:rsidRPr="00231FD1">
        <w:rPr>
          <w:bCs/>
          <w:lang w:val="en-US"/>
        </w:rPr>
        <w:t xml:space="preserve">Appendix </w:t>
      </w:r>
      <w:r w:rsidR="00A9012C" w:rsidRPr="00231FD1">
        <w:rPr>
          <w:bCs/>
          <w:lang w:val="en-US"/>
        </w:rPr>
        <w:t>2</w:t>
      </w:r>
      <w:r w:rsidRPr="00231FD1">
        <w:rPr>
          <w:bCs/>
          <w:lang w:val="en-US"/>
        </w:rPr>
        <w:t>.</w:t>
      </w:r>
    </w:p>
    <w:p w14:paraId="136AA1BC" w14:textId="77777777" w:rsidR="00F756CC" w:rsidRPr="005534DB" w:rsidRDefault="00F756CC" w:rsidP="00736861">
      <w:pPr>
        <w:pStyle w:val="ListParagraph"/>
        <w:numPr>
          <w:ilvl w:val="0"/>
          <w:numId w:val="9"/>
        </w:numPr>
        <w:spacing w:after="0"/>
        <w:ind w:left="1021" w:hanging="1021"/>
        <w:rPr>
          <w:bCs/>
          <w:lang w:val="en-US"/>
        </w:rPr>
      </w:pPr>
      <w:r w:rsidRPr="005534DB">
        <w:rPr>
          <w:bCs/>
          <w:lang w:val="en-US"/>
        </w:rPr>
        <w:br w:type="page"/>
      </w:r>
    </w:p>
    <w:p w14:paraId="4838EF67" w14:textId="0A6302AF" w:rsidR="000479CB" w:rsidRDefault="00E36144" w:rsidP="00AF505E">
      <w:pPr>
        <w:pStyle w:val="Heading1"/>
        <w:spacing w:line="276" w:lineRule="auto"/>
        <w:rPr>
          <w:b/>
          <w:sz w:val="36"/>
          <w:lang w:val="en-AU"/>
        </w:rPr>
      </w:pPr>
      <w:bookmarkStart w:id="10" w:name="_Toc469573646"/>
      <w:r>
        <w:rPr>
          <w:b/>
          <w:sz w:val="36"/>
          <w:lang w:val="en-AU"/>
        </w:rPr>
        <w:lastRenderedPageBreak/>
        <w:t>3. Response to i</w:t>
      </w:r>
      <w:r w:rsidR="000479CB">
        <w:rPr>
          <w:b/>
          <w:sz w:val="36"/>
          <w:lang w:val="en-AU"/>
        </w:rPr>
        <w:t>ssues raised by multiple submitters</w:t>
      </w:r>
      <w:bookmarkEnd w:id="10"/>
    </w:p>
    <w:p w14:paraId="3400F12B" w14:textId="2258AED8" w:rsidR="008E6E8C" w:rsidRPr="00D20334" w:rsidRDefault="009E6769" w:rsidP="00AF505E">
      <w:pPr>
        <w:pStyle w:val="Heading2"/>
      </w:pPr>
      <w:bookmarkStart w:id="11" w:name="_Toc469573647"/>
      <w:r>
        <w:t xml:space="preserve">3.1 </w:t>
      </w:r>
      <w:r w:rsidR="008E6E8C" w:rsidRPr="009E6769">
        <w:t>Treatment of land within the Pipeline Measurement Length</w:t>
      </w:r>
      <w:bookmarkEnd w:id="11"/>
      <w:r w:rsidR="008E6E8C" w:rsidRPr="009E6769">
        <w:t xml:space="preserve"> </w:t>
      </w:r>
    </w:p>
    <w:p w14:paraId="2330D3D1" w14:textId="431C907E" w:rsidR="00A16820" w:rsidRPr="00D20334" w:rsidRDefault="00A16820" w:rsidP="00736861">
      <w:pPr>
        <w:pStyle w:val="ListParagraph"/>
        <w:numPr>
          <w:ilvl w:val="0"/>
          <w:numId w:val="9"/>
        </w:numPr>
        <w:spacing w:after="0"/>
        <w:ind w:left="1021" w:hanging="1021"/>
        <w:rPr>
          <w:bCs/>
          <w:lang w:val="en-US"/>
        </w:rPr>
      </w:pPr>
      <w:r w:rsidRPr="00D20334">
        <w:rPr>
          <w:bCs/>
          <w:lang w:val="en-US"/>
        </w:rPr>
        <w:t>A number of parties made submissions about the treatment of land within the Pipeline Measurement Length</w:t>
      </w:r>
      <w:r w:rsidR="00A719F7">
        <w:rPr>
          <w:bCs/>
          <w:lang w:val="en-US"/>
        </w:rPr>
        <w:t xml:space="preserve"> (PLM)</w:t>
      </w:r>
      <w:r w:rsidRPr="00D20334">
        <w:rPr>
          <w:bCs/>
          <w:lang w:val="en-US"/>
        </w:rPr>
        <w:t xml:space="preserve">. </w:t>
      </w:r>
    </w:p>
    <w:p w14:paraId="233AC08F" w14:textId="77777777" w:rsidR="00025CD8" w:rsidRPr="00D20334" w:rsidRDefault="00025CD8" w:rsidP="00AF505E">
      <w:pPr>
        <w:pStyle w:val="ListParagraph"/>
        <w:spacing w:after="0"/>
        <w:ind w:left="1021"/>
        <w:rPr>
          <w:bCs/>
          <w:lang w:val="en-US"/>
        </w:rPr>
      </w:pPr>
    </w:p>
    <w:p w14:paraId="1FF9FA4E" w14:textId="77777777" w:rsidR="00A16820" w:rsidRPr="00D20334" w:rsidRDefault="00025CD8" w:rsidP="00736861">
      <w:pPr>
        <w:pStyle w:val="ListParagraph"/>
        <w:numPr>
          <w:ilvl w:val="0"/>
          <w:numId w:val="9"/>
        </w:numPr>
        <w:spacing w:after="0"/>
        <w:ind w:left="1021" w:hanging="1021"/>
        <w:rPr>
          <w:bCs/>
          <w:lang w:val="en-US"/>
        </w:rPr>
      </w:pPr>
      <w:r w:rsidRPr="00D20334">
        <w:rPr>
          <w:bCs/>
          <w:lang w:val="en-US"/>
        </w:rPr>
        <w:t xml:space="preserve">The </w:t>
      </w:r>
      <w:r w:rsidR="00A16820" w:rsidRPr="00D20334">
        <w:rPr>
          <w:bCs/>
          <w:lang w:val="en-US"/>
        </w:rPr>
        <w:t>VPA made submissions in its Part B submission that the exhibited Amendments were appropriate, save for the addition of a number of permit triggers and notice requirements</w:t>
      </w:r>
      <w:r w:rsidR="007D4CF9" w:rsidRPr="00D20334">
        <w:rPr>
          <w:bCs/>
          <w:lang w:val="en-US"/>
        </w:rPr>
        <w:t xml:space="preserve"> requested by APA. The two outstanding issues were considered to be in respect of accommodation</w:t>
      </w:r>
      <w:r w:rsidR="00F47CA8" w:rsidRPr="00D20334">
        <w:rPr>
          <w:bCs/>
          <w:lang w:val="en-US"/>
        </w:rPr>
        <w:t xml:space="preserve"> (in part)</w:t>
      </w:r>
      <w:r w:rsidR="007D4CF9" w:rsidRPr="00D20334">
        <w:rPr>
          <w:bCs/>
          <w:lang w:val="en-US"/>
        </w:rPr>
        <w:t xml:space="preserve"> and retail premises. </w:t>
      </w:r>
    </w:p>
    <w:p w14:paraId="54043955" w14:textId="77777777" w:rsidR="00025CD8" w:rsidRPr="00D20334" w:rsidRDefault="00025CD8" w:rsidP="00AF505E">
      <w:pPr>
        <w:pStyle w:val="ListParagraph"/>
        <w:spacing w:after="0"/>
        <w:ind w:left="1021"/>
        <w:rPr>
          <w:bCs/>
          <w:lang w:val="en-US"/>
        </w:rPr>
      </w:pPr>
    </w:p>
    <w:p w14:paraId="41185828" w14:textId="37482291" w:rsidR="00A16820" w:rsidRPr="00D20334" w:rsidRDefault="00A16820" w:rsidP="00736861">
      <w:pPr>
        <w:pStyle w:val="ListParagraph"/>
        <w:numPr>
          <w:ilvl w:val="0"/>
          <w:numId w:val="9"/>
        </w:numPr>
        <w:spacing w:after="0"/>
        <w:ind w:left="1021" w:hanging="1021"/>
        <w:rPr>
          <w:bCs/>
          <w:lang w:val="en-US"/>
        </w:rPr>
      </w:pPr>
      <w:r w:rsidRPr="00D20334">
        <w:rPr>
          <w:bCs/>
          <w:lang w:val="en-US"/>
        </w:rPr>
        <w:t xml:space="preserve">Council </w:t>
      </w:r>
      <w:r w:rsidR="007D4CF9" w:rsidRPr="00D20334">
        <w:rPr>
          <w:bCs/>
          <w:lang w:val="en-US"/>
        </w:rPr>
        <w:t xml:space="preserve">made submissions </w:t>
      </w:r>
      <w:r w:rsidRPr="00D20334">
        <w:rPr>
          <w:bCs/>
          <w:lang w:val="en-US"/>
        </w:rPr>
        <w:t>s</w:t>
      </w:r>
      <w:r w:rsidR="007D4CF9" w:rsidRPr="00D20334">
        <w:rPr>
          <w:bCs/>
          <w:lang w:val="en-US"/>
        </w:rPr>
        <w:t>eeking</w:t>
      </w:r>
      <w:r w:rsidRPr="00D20334">
        <w:rPr>
          <w:bCs/>
          <w:lang w:val="en-US"/>
        </w:rPr>
        <w:t xml:space="preserve">: </w:t>
      </w:r>
    </w:p>
    <w:p w14:paraId="5DFACE0C" w14:textId="77777777" w:rsidR="009D22A6" w:rsidRPr="00D20334" w:rsidRDefault="009D22A6" w:rsidP="00736861">
      <w:pPr>
        <w:pStyle w:val="ListParagraph"/>
        <w:widowControl w:val="0"/>
        <w:numPr>
          <w:ilvl w:val="1"/>
          <w:numId w:val="9"/>
        </w:numPr>
        <w:autoSpaceDE w:val="0"/>
        <w:autoSpaceDN w:val="0"/>
        <w:adjustRightInd w:val="0"/>
        <w:spacing w:after="0" w:line="240" w:lineRule="auto"/>
        <w:ind w:left="1985" w:hanging="397"/>
        <w:rPr>
          <w:lang w:val="en-US"/>
        </w:rPr>
      </w:pPr>
      <w:r w:rsidRPr="00D20334">
        <w:rPr>
          <w:lang w:val="en-US"/>
        </w:rPr>
        <w:t xml:space="preserve">That APA’s desired permit triggers be added; </w:t>
      </w:r>
    </w:p>
    <w:p w14:paraId="79BF8231" w14:textId="77777777" w:rsidR="00025CD8" w:rsidRPr="00D20334" w:rsidRDefault="009D22A6" w:rsidP="00736861">
      <w:pPr>
        <w:pStyle w:val="ListParagraph"/>
        <w:widowControl w:val="0"/>
        <w:numPr>
          <w:ilvl w:val="1"/>
          <w:numId w:val="9"/>
        </w:numPr>
        <w:autoSpaceDE w:val="0"/>
        <w:autoSpaceDN w:val="0"/>
        <w:adjustRightInd w:val="0"/>
        <w:spacing w:after="0" w:line="240" w:lineRule="auto"/>
        <w:ind w:left="1985" w:hanging="397"/>
        <w:rPr>
          <w:lang w:val="en-US"/>
        </w:rPr>
      </w:pPr>
      <w:r w:rsidRPr="00D20334">
        <w:rPr>
          <w:lang w:val="en-US"/>
        </w:rPr>
        <w:t xml:space="preserve">That APA be made a recommending referral authority; and </w:t>
      </w:r>
    </w:p>
    <w:p w14:paraId="6AECCF51" w14:textId="3EEE0C91" w:rsidR="00A16820" w:rsidRPr="00D20334" w:rsidRDefault="009D22A6" w:rsidP="0073197B">
      <w:pPr>
        <w:pStyle w:val="ListParagraph"/>
        <w:widowControl w:val="0"/>
        <w:numPr>
          <w:ilvl w:val="1"/>
          <w:numId w:val="9"/>
        </w:numPr>
        <w:autoSpaceDE w:val="0"/>
        <w:autoSpaceDN w:val="0"/>
        <w:adjustRightInd w:val="0"/>
        <w:spacing w:after="0" w:line="240" w:lineRule="auto"/>
        <w:ind w:left="1985" w:hanging="397"/>
        <w:rPr>
          <w:bCs/>
          <w:lang w:val="en-US"/>
        </w:rPr>
      </w:pPr>
      <w:r w:rsidRPr="00D20334">
        <w:rPr>
          <w:bCs/>
          <w:lang w:val="en-US"/>
        </w:rPr>
        <w:t xml:space="preserve">Changes to the wording of O24 </w:t>
      </w:r>
      <w:r w:rsidR="00122099">
        <w:rPr>
          <w:bCs/>
          <w:lang w:val="en-US"/>
        </w:rPr>
        <w:t>(</w:t>
      </w:r>
      <w:proofErr w:type="spellStart"/>
      <w:r w:rsidR="00122099">
        <w:rPr>
          <w:bCs/>
          <w:lang w:val="en-US"/>
        </w:rPr>
        <w:t>Plumpton</w:t>
      </w:r>
      <w:proofErr w:type="spellEnd"/>
      <w:r w:rsidR="00122099">
        <w:rPr>
          <w:bCs/>
          <w:lang w:val="en-US"/>
        </w:rPr>
        <w:t>), O21 (</w:t>
      </w:r>
      <w:proofErr w:type="spellStart"/>
      <w:r w:rsidR="00122099">
        <w:rPr>
          <w:bCs/>
          <w:lang w:val="en-US"/>
        </w:rPr>
        <w:t>Kororoit</w:t>
      </w:r>
      <w:proofErr w:type="spellEnd"/>
      <w:r w:rsidR="00122099">
        <w:rPr>
          <w:bCs/>
          <w:lang w:val="en-US"/>
        </w:rPr>
        <w:t xml:space="preserve">), </w:t>
      </w:r>
      <w:r w:rsidRPr="00D20334">
        <w:rPr>
          <w:bCs/>
          <w:lang w:val="en-US"/>
        </w:rPr>
        <w:t>G20</w:t>
      </w:r>
      <w:r w:rsidR="00122099">
        <w:rPr>
          <w:bCs/>
          <w:lang w:val="en-US"/>
        </w:rPr>
        <w:t xml:space="preserve"> (</w:t>
      </w:r>
      <w:proofErr w:type="spellStart"/>
      <w:r w:rsidR="00122099">
        <w:rPr>
          <w:bCs/>
          <w:lang w:val="en-US"/>
        </w:rPr>
        <w:t>Plumpton</w:t>
      </w:r>
      <w:proofErr w:type="spellEnd"/>
      <w:r w:rsidR="00122099">
        <w:rPr>
          <w:bCs/>
          <w:lang w:val="en-US"/>
        </w:rPr>
        <w:t>) and G21 (</w:t>
      </w:r>
      <w:proofErr w:type="spellStart"/>
      <w:r w:rsidR="00122099">
        <w:rPr>
          <w:bCs/>
          <w:lang w:val="en-US"/>
        </w:rPr>
        <w:t>Kororoit</w:t>
      </w:r>
      <w:proofErr w:type="spellEnd"/>
      <w:r w:rsidR="00122099">
        <w:rPr>
          <w:bCs/>
          <w:lang w:val="en-US"/>
        </w:rPr>
        <w:t>)</w:t>
      </w:r>
    </w:p>
    <w:p w14:paraId="19DA5090" w14:textId="77777777" w:rsidR="00025CD8" w:rsidRPr="00D20334" w:rsidRDefault="00025CD8" w:rsidP="00AF505E">
      <w:pPr>
        <w:pStyle w:val="ListParagraph"/>
        <w:spacing w:after="0"/>
        <w:ind w:left="1021"/>
        <w:rPr>
          <w:bCs/>
          <w:lang w:val="en-US"/>
        </w:rPr>
      </w:pPr>
    </w:p>
    <w:p w14:paraId="3714ACE2" w14:textId="1FB2AC23" w:rsidR="00025CD8" w:rsidRPr="00D20334" w:rsidRDefault="00A16820" w:rsidP="00736861">
      <w:pPr>
        <w:pStyle w:val="ListParagraph"/>
        <w:numPr>
          <w:ilvl w:val="0"/>
          <w:numId w:val="9"/>
        </w:numPr>
        <w:spacing w:after="0"/>
        <w:ind w:left="1021" w:hanging="1021"/>
        <w:rPr>
          <w:bCs/>
          <w:lang w:val="en-US"/>
        </w:rPr>
      </w:pPr>
      <w:r w:rsidRPr="00D20334">
        <w:rPr>
          <w:bCs/>
          <w:lang w:val="en-US"/>
        </w:rPr>
        <w:t xml:space="preserve">APA </w:t>
      </w:r>
      <w:r w:rsidR="007D4CF9" w:rsidRPr="00D20334">
        <w:rPr>
          <w:bCs/>
          <w:lang w:val="en-US"/>
        </w:rPr>
        <w:t>made submissions seeking</w:t>
      </w:r>
      <w:r w:rsidRPr="00D20334">
        <w:rPr>
          <w:bCs/>
          <w:lang w:val="en-US"/>
        </w:rPr>
        <w:t>:</w:t>
      </w:r>
    </w:p>
    <w:p w14:paraId="3EC44AA8" w14:textId="00B08793" w:rsidR="00025CD8" w:rsidRPr="00D20334" w:rsidRDefault="009D22A6" w:rsidP="00736861">
      <w:pPr>
        <w:pStyle w:val="ListParagraph"/>
        <w:widowControl w:val="0"/>
        <w:numPr>
          <w:ilvl w:val="1"/>
          <w:numId w:val="9"/>
        </w:numPr>
        <w:autoSpaceDE w:val="0"/>
        <w:autoSpaceDN w:val="0"/>
        <w:adjustRightInd w:val="0"/>
        <w:spacing w:after="0" w:line="240" w:lineRule="auto"/>
        <w:ind w:left="1985" w:hanging="397"/>
        <w:rPr>
          <w:rFonts w:cs="Tahoma"/>
          <w:lang w:val="en-US"/>
        </w:rPr>
      </w:pPr>
      <w:r w:rsidRPr="00D20334">
        <w:rPr>
          <w:rFonts w:cs="Tahoma"/>
          <w:lang w:val="en-US"/>
        </w:rPr>
        <w:t>That permit triggers be added, including in respect of “accommodation (other than single dwelling</w:t>
      </w:r>
      <w:r w:rsidR="00F47CA8" w:rsidRPr="00D20334">
        <w:rPr>
          <w:rFonts w:cs="Tahoma"/>
          <w:lang w:val="en-US"/>
        </w:rPr>
        <w:t xml:space="preserve"> on a lot</w:t>
      </w:r>
      <w:r w:rsidRPr="00D20334">
        <w:rPr>
          <w:rFonts w:cs="Tahoma"/>
          <w:lang w:val="en-US"/>
        </w:rPr>
        <w:t xml:space="preserve"> or </w:t>
      </w:r>
      <w:r w:rsidR="009E6769" w:rsidRPr="00D20334">
        <w:rPr>
          <w:rFonts w:cs="Tahoma"/>
          <w:lang w:val="en-US"/>
        </w:rPr>
        <w:t>dependent</w:t>
      </w:r>
      <w:r w:rsidRPr="00D20334">
        <w:rPr>
          <w:rFonts w:cs="Tahoma"/>
          <w:lang w:val="en-US"/>
        </w:rPr>
        <w:t xml:space="preserve"> persons unit)” and “retail premises”; </w:t>
      </w:r>
      <w:r w:rsidR="00F47CA8" w:rsidRPr="00D20334">
        <w:rPr>
          <w:rFonts w:cs="Tahoma"/>
          <w:lang w:val="en-US"/>
        </w:rPr>
        <w:t>and</w:t>
      </w:r>
    </w:p>
    <w:p w14:paraId="0B70E760" w14:textId="77777777" w:rsidR="00A16820" w:rsidRPr="00D20334" w:rsidRDefault="009D22A6" w:rsidP="00736861">
      <w:pPr>
        <w:pStyle w:val="ListParagraph"/>
        <w:widowControl w:val="0"/>
        <w:numPr>
          <w:ilvl w:val="1"/>
          <w:numId w:val="9"/>
        </w:numPr>
        <w:autoSpaceDE w:val="0"/>
        <w:autoSpaceDN w:val="0"/>
        <w:adjustRightInd w:val="0"/>
        <w:spacing w:after="0" w:line="240" w:lineRule="auto"/>
        <w:ind w:left="1985" w:hanging="397"/>
        <w:rPr>
          <w:rFonts w:cs="Tahoma"/>
          <w:lang w:val="en-US"/>
        </w:rPr>
      </w:pPr>
      <w:r w:rsidRPr="00D20334">
        <w:rPr>
          <w:rFonts w:cs="Tahoma"/>
          <w:lang w:val="en-US"/>
        </w:rPr>
        <w:t xml:space="preserve">That APA be </w:t>
      </w:r>
      <w:r w:rsidR="00F47CA8" w:rsidRPr="00D20334">
        <w:rPr>
          <w:rFonts w:cs="Tahoma"/>
          <w:lang w:val="en-US"/>
        </w:rPr>
        <w:t>made a recommending referral authority.</w:t>
      </w:r>
      <w:r w:rsidRPr="00D20334">
        <w:rPr>
          <w:rFonts w:cs="Tahoma"/>
          <w:lang w:val="en-US"/>
        </w:rPr>
        <w:t xml:space="preserve"> </w:t>
      </w:r>
    </w:p>
    <w:p w14:paraId="05690746" w14:textId="77777777" w:rsidR="00025CD8" w:rsidRPr="00D20334" w:rsidRDefault="00025CD8" w:rsidP="00AF505E">
      <w:pPr>
        <w:pStyle w:val="ListParagraph"/>
        <w:widowControl w:val="0"/>
        <w:autoSpaceDE w:val="0"/>
        <w:autoSpaceDN w:val="0"/>
        <w:adjustRightInd w:val="0"/>
        <w:spacing w:after="0" w:line="240" w:lineRule="auto"/>
        <w:ind w:left="1985"/>
        <w:rPr>
          <w:rFonts w:cs="Tahoma"/>
          <w:lang w:val="en-US"/>
        </w:rPr>
      </w:pPr>
    </w:p>
    <w:p w14:paraId="2948C127" w14:textId="77777777" w:rsidR="00A16820" w:rsidRPr="00D20334" w:rsidRDefault="00A16820" w:rsidP="00736861">
      <w:pPr>
        <w:pStyle w:val="ListParagraph"/>
        <w:numPr>
          <w:ilvl w:val="0"/>
          <w:numId w:val="9"/>
        </w:numPr>
        <w:spacing w:after="0"/>
        <w:ind w:left="1021" w:hanging="1021"/>
        <w:rPr>
          <w:bCs/>
          <w:lang w:val="en-US"/>
        </w:rPr>
      </w:pPr>
      <w:r w:rsidRPr="00D20334">
        <w:rPr>
          <w:bCs/>
          <w:lang w:val="en-US"/>
        </w:rPr>
        <w:t xml:space="preserve">Coles and </w:t>
      </w:r>
      <w:proofErr w:type="spellStart"/>
      <w:r w:rsidRPr="00D20334">
        <w:rPr>
          <w:bCs/>
          <w:lang w:val="en-US"/>
        </w:rPr>
        <w:t>Moremac</w:t>
      </w:r>
      <w:proofErr w:type="spellEnd"/>
      <w:r w:rsidRPr="00D20334">
        <w:rPr>
          <w:bCs/>
          <w:lang w:val="en-US"/>
        </w:rPr>
        <w:t xml:space="preserve"> supported</w:t>
      </w:r>
      <w:r w:rsidR="00025CD8" w:rsidRPr="00D20334">
        <w:rPr>
          <w:bCs/>
          <w:lang w:val="en-US"/>
        </w:rPr>
        <w:t xml:space="preserve"> the</w:t>
      </w:r>
      <w:r w:rsidRPr="00D20334">
        <w:rPr>
          <w:bCs/>
          <w:lang w:val="en-US"/>
        </w:rPr>
        <w:t xml:space="preserve"> VPA’s submission in respect of the question of whether a permit trigger should be imposed for retail premises within a Commercial Zone. </w:t>
      </w:r>
    </w:p>
    <w:p w14:paraId="6726BBE6" w14:textId="77777777" w:rsidR="00025CD8" w:rsidRPr="00D20334" w:rsidRDefault="00025CD8" w:rsidP="00AF505E">
      <w:pPr>
        <w:pStyle w:val="ListParagraph"/>
        <w:spacing w:after="0"/>
        <w:ind w:left="1021"/>
        <w:rPr>
          <w:bCs/>
          <w:lang w:val="en-US"/>
        </w:rPr>
      </w:pPr>
    </w:p>
    <w:p w14:paraId="54035260" w14:textId="77777777" w:rsidR="00025CD8" w:rsidRPr="00D20334" w:rsidRDefault="00A16820" w:rsidP="00736861">
      <w:pPr>
        <w:pStyle w:val="ListParagraph"/>
        <w:numPr>
          <w:ilvl w:val="0"/>
          <w:numId w:val="9"/>
        </w:numPr>
        <w:spacing w:after="0"/>
        <w:ind w:left="1021" w:hanging="1021"/>
        <w:rPr>
          <w:bCs/>
          <w:lang w:val="en-US"/>
        </w:rPr>
      </w:pPr>
      <w:r w:rsidRPr="00D20334">
        <w:rPr>
          <w:bCs/>
          <w:lang w:val="en-US"/>
        </w:rPr>
        <w:t>There are a number of matters that</w:t>
      </w:r>
      <w:r w:rsidR="00025CD8" w:rsidRPr="00D20334">
        <w:rPr>
          <w:bCs/>
          <w:lang w:val="en-US"/>
        </w:rPr>
        <w:t xml:space="preserve"> the</w:t>
      </w:r>
      <w:r w:rsidRPr="00D20334">
        <w:rPr>
          <w:bCs/>
          <w:lang w:val="en-US"/>
        </w:rPr>
        <w:t xml:space="preserve"> VPA wishes to respond to </w:t>
      </w:r>
      <w:r w:rsidR="007D4CF9" w:rsidRPr="00D20334">
        <w:rPr>
          <w:bCs/>
          <w:lang w:val="en-US"/>
        </w:rPr>
        <w:t>following from these submissions</w:t>
      </w:r>
      <w:r w:rsidRPr="00D20334">
        <w:rPr>
          <w:bCs/>
          <w:lang w:val="en-US"/>
        </w:rPr>
        <w:t xml:space="preserve">. </w:t>
      </w:r>
    </w:p>
    <w:p w14:paraId="1647B5CD" w14:textId="77777777" w:rsidR="00122099" w:rsidRDefault="00122099" w:rsidP="00AF505E">
      <w:pPr>
        <w:pStyle w:val="Heading3"/>
        <w:rPr>
          <w:lang w:val="en-US"/>
        </w:rPr>
      </w:pPr>
    </w:p>
    <w:p w14:paraId="41C984BB" w14:textId="4D8D1FCA" w:rsidR="00202A74" w:rsidRPr="00B0379B" w:rsidRDefault="00D20334" w:rsidP="00AF505E">
      <w:pPr>
        <w:pStyle w:val="Heading3"/>
        <w:rPr>
          <w:lang w:val="en-US"/>
        </w:rPr>
      </w:pPr>
      <w:bookmarkStart w:id="12" w:name="_Toc469573648"/>
      <w:r>
        <w:rPr>
          <w:lang w:val="en-US"/>
        </w:rPr>
        <w:t>Accommodation</w:t>
      </w:r>
      <w:bookmarkEnd w:id="12"/>
    </w:p>
    <w:p w14:paraId="0720E395" w14:textId="5173DE58" w:rsidR="00202A74" w:rsidRPr="00D20334" w:rsidRDefault="00A16820" w:rsidP="00736861">
      <w:pPr>
        <w:pStyle w:val="ListParagraph"/>
        <w:numPr>
          <w:ilvl w:val="0"/>
          <w:numId w:val="9"/>
        </w:numPr>
        <w:spacing w:after="0"/>
        <w:ind w:left="1021" w:hanging="1021"/>
        <w:rPr>
          <w:bCs/>
          <w:lang w:val="en-US"/>
        </w:rPr>
      </w:pPr>
      <w:r w:rsidRPr="00D20334">
        <w:rPr>
          <w:bCs/>
          <w:lang w:val="en-US"/>
        </w:rPr>
        <w:t>First, in relation to the issue of accommodation</w:t>
      </w:r>
      <w:r w:rsidR="00202A74" w:rsidRPr="00D20334">
        <w:rPr>
          <w:bCs/>
          <w:lang w:val="en-US"/>
        </w:rPr>
        <w:t xml:space="preserve"> t</w:t>
      </w:r>
      <w:r w:rsidR="00025CD8" w:rsidRPr="00D20334">
        <w:rPr>
          <w:lang w:val="en-US"/>
        </w:rPr>
        <w:t xml:space="preserve">he </w:t>
      </w:r>
      <w:r w:rsidR="007D4CF9" w:rsidRPr="00D20334">
        <w:rPr>
          <w:lang w:val="en-US"/>
        </w:rPr>
        <w:t>VPA accepts that a permit trigger</w:t>
      </w:r>
      <w:r w:rsidR="00F47CA8" w:rsidRPr="00D20334">
        <w:rPr>
          <w:lang w:val="en-US"/>
        </w:rPr>
        <w:t xml:space="preserve"> and notice to APA</w:t>
      </w:r>
      <w:r w:rsidR="007D4CF9" w:rsidRPr="00D20334">
        <w:rPr>
          <w:lang w:val="en-US"/>
        </w:rPr>
        <w:t xml:space="preserve"> </w:t>
      </w:r>
      <w:r w:rsidR="00025CD8" w:rsidRPr="00D20334">
        <w:rPr>
          <w:lang w:val="en-US"/>
        </w:rPr>
        <w:t>ought to</w:t>
      </w:r>
      <w:r w:rsidR="007D4CF9" w:rsidRPr="00D20334">
        <w:rPr>
          <w:lang w:val="en-US"/>
        </w:rPr>
        <w:t xml:space="preserve"> </w:t>
      </w:r>
      <w:r w:rsidR="00F47CA8" w:rsidRPr="00D20334">
        <w:rPr>
          <w:lang w:val="en-US"/>
        </w:rPr>
        <w:t>exist</w:t>
      </w:r>
      <w:r w:rsidR="007D4CF9" w:rsidRPr="00D20334">
        <w:rPr>
          <w:lang w:val="en-US"/>
        </w:rPr>
        <w:t xml:space="preserve"> for the use </w:t>
      </w:r>
      <w:r w:rsidR="007D4CF9" w:rsidRPr="00D20334">
        <w:rPr>
          <w:i/>
          <w:lang w:val="en-US"/>
        </w:rPr>
        <w:t xml:space="preserve">of “accommodation (other than dwelling or </w:t>
      </w:r>
      <w:r w:rsidR="00202A74" w:rsidRPr="00D20334">
        <w:rPr>
          <w:i/>
          <w:lang w:val="en-US"/>
        </w:rPr>
        <w:t>dependent</w:t>
      </w:r>
      <w:r w:rsidR="007D4CF9" w:rsidRPr="00D20334">
        <w:rPr>
          <w:i/>
          <w:lang w:val="en-US"/>
        </w:rPr>
        <w:t xml:space="preserve"> persons unit)”</w:t>
      </w:r>
      <w:r w:rsidR="007D4CF9" w:rsidRPr="00D20334">
        <w:rPr>
          <w:lang w:val="en-US"/>
        </w:rPr>
        <w:t xml:space="preserve">.  </w:t>
      </w:r>
      <w:r w:rsidR="00F47CA8" w:rsidRPr="00D20334">
        <w:rPr>
          <w:lang w:val="en-US"/>
        </w:rPr>
        <w:t xml:space="preserve">Upon review, there is a slight change needed to VPA’s Part B submission on this point, to add a permit trigger to the </w:t>
      </w:r>
      <w:proofErr w:type="spellStart"/>
      <w:r w:rsidR="00F47CA8" w:rsidRPr="00D20334">
        <w:rPr>
          <w:lang w:val="en-US"/>
        </w:rPr>
        <w:t>Kororoit</w:t>
      </w:r>
      <w:proofErr w:type="spellEnd"/>
      <w:r w:rsidR="00F47CA8" w:rsidRPr="00D20334">
        <w:rPr>
          <w:lang w:val="en-US"/>
        </w:rPr>
        <w:t xml:space="preserve"> Schedule, to </w:t>
      </w:r>
      <w:r w:rsidR="007D4CF9" w:rsidRPr="00D20334">
        <w:rPr>
          <w:lang w:val="en-US"/>
        </w:rPr>
        <w:t xml:space="preserve">ensure that all accommodation </w:t>
      </w:r>
      <w:r w:rsidR="00F47CA8" w:rsidRPr="00D20334">
        <w:rPr>
          <w:lang w:val="en-US"/>
        </w:rPr>
        <w:t>uses</w:t>
      </w:r>
      <w:r w:rsidR="007D4CF9" w:rsidRPr="00D20334">
        <w:rPr>
          <w:lang w:val="en-US"/>
        </w:rPr>
        <w:t xml:space="preserve"> within the</w:t>
      </w:r>
      <w:r w:rsidR="009416F4">
        <w:rPr>
          <w:lang w:val="en-US"/>
        </w:rPr>
        <w:t xml:space="preserve"> Commercial 1 Zone</w:t>
      </w:r>
      <w:r w:rsidR="007D4CF9" w:rsidRPr="00D20334">
        <w:rPr>
          <w:lang w:val="en-US"/>
        </w:rPr>
        <w:t xml:space="preserve"> </w:t>
      </w:r>
      <w:r w:rsidR="009416F4">
        <w:rPr>
          <w:lang w:val="en-US"/>
        </w:rPr>
        <w:t>(</w:t>
      </w:r>
      <w:r w:rsidR="007D4CF9" w:rsidRPr="00D20334">
        <w:rPr>
          <w:lang w:val="en-US"/>
        </w:rPr>
        <w:t>C1Z</w:t>
      </w:r>
      <w:r w:rsidR="009416F4">
        <w:rPr>
          <w:lang w:val="en-US"/>
        </w:rPr>
        <w:t>)</w:t>
      </w:r>
      <w:r w:rsidR="007D4CF9" w:rsidRPr="00D20334">
        <w:rPr>
          <w:lang w:val="en-US"/>
        </w:rPr>
        <w:t xml:space="preserve"> would be captured.  </w:t>
      </w:r>
      <w:r w:rsidR="009416F4">
        <w:rPr>
          <w:lang w:val="en-US"/>
        </w:rPr>
        <w:t xml:space="preserve">The </w:t>
      </w:r>
      <w:r w:rsidR="007D4CF9" w:rsidRPr="00D20334">
        <w:rPr>
          <w:lang w:val="en-US"/>
        </w:rPr>
        <w:t xml:space="preserve">VPA had already agreed that this use should be added in the </w:t>
      </w:r>
      <w:r w:rsidR="007D4CF9" w:rsidRPr="00D20334">
        <w:rPr>
          <w:i/>
          <w:lang w:val="en-US"/>
        </w:rPr>
        <w:t>“notice”</w:t>
      </w:r>
      <w:r w:rsidR="007D4CF9" w:rsidRPr="00D20334">
        <w:rPr>
          <w:lang w:val="en-US"/>
        </w:rPr>
        <w:t xml:space="preserve"> provision.  This means that for all categories of accommodation, except for dwellings and </w:t>
      </w:r>
      <w:r w:rsidR="009416F4">
        <w:rPr>
          <w:lang w:val="en-US"/>
        </w:rPr>
        <w:t>Dependent Persons Unit (</w:t>
      </w:r>
      <w:r w:rsidR="007D4CF9" w:rsidRPr="00D20334">
        <w:rPr>
          <w:lang w:val="en-US"/>
        </w:rPr>
        <w:t>DPU</w:t>
      </w:r>
      <w:r w:rsidR="009416F4">
        <w:rPr>
          <w:lang w:val="en-US"/>
        </w:rPr>
        <w:t>)</w:t>
      </w:r>
      <w:r w:rsidR="007D4CF9" w:rsidRPr="00D20334">
        <w:rPr>
          <w:lang w:val="en-US"/>
        </w:rPr>
        <w:t xml:space="preserve">, a permit is triggered, and notice will be given to APA. </w:t>
      </w:r>
    </w:p>
    <w:p w14:paraId="69BDB60B" w14:textId="77777777" w:rsidR="00202A74" w:rsidRPr="00D20334" w:rsidRDefault="00202A74" w:rsidP="00AF505E">
      <w:pPr>
        <w:pStyle w:val="ListParagraph"/>
        <w:spacing w:after="0"/>
        <w:ind w:left="1021"/>
        <w:rPr>
          <w:bCs/>
          <w:lang w:val="en-US"/>
        </w:rPr>
      </w:pPr>
    </w:p>
    <w:p w14:paraId="69A01066" w14:textId="350CC262" w:rsidR="00202A74" w:rsidRPr="00D20334" w:rsidRDefault="007D4CF9" w:rsidP="00736861">
      <w:pPr>
        <w:pStyle w:val="ListParagraph"/>
        <w:numPr>
          <w:ilvl w:val="0"/>
          <w:numId w:val="9"/>
        </w:numPr>
        <w:spacing w:after="0"/>
        <w:ind w:left="1021" w:hanging="1021"/>
        <w:rPr>
          <w:bCs/>
          <w:lang w:val="en-US"/>
        </w:rPr>
      </w:pPr>
      <w:r w:rsidRPr="00D20334">
        <w:rPr>
          <w:lang w:val="en-US"/>
        </w:rPr>
        <w:t xml:space="preserve">Note that the position of </w:t>
      </w:r>
      <w:r w:rsidR="00122099">
        <w:rPr>
          <w:lang w:val="en-US"/>
        </w:rPr>
        <w:t xml:space="preserve">the </w:t>
      </w:r>
      <w:r w:rsidRPr="00D20334">
        <w:rPr>
          <w:lang w:val="en-US"/>
        </w:rPr>
        <w:t xml:space="preserve">VPA in respect of the use of </w:t>
      </w:r>
      <w:r w:rsidRPr="00D20334">
        <w:rPr>
          <w:i/>
          <w:lang w:val="en-US"/>
        </w:rPr>
        <w:t>“dwelling”</w:t>
      </w:r>
      <w:r w:rsidRPr="00D20334">
        <w:rPr>
          <w:lang w:val="en-US"/>
        </w:rPr>
        <w:t xml:space="preserve"> is slightly different to that in relation to </w:t>
      </w:r>
      <w:r w:rsidRPr="00D20334">
        <w:rPr>
          <w:i/>
          <w:lang w:val="en-US"/>
        </w:rPr>
        <w:t>“accommodation”</w:t>
      </w:r>
      <w:r w:rsidRPr="00D20334">
        <w:rPr>
          <w:lang w:val="en-US"/>
        </w:rPr>
        <w:t xml:space="preserve"> more broadly</w:t>
      </w:r>
      <w:r w:rsidR="006A5D82" w:rsidRPr="00D20334">
        <w:rPr>
          <w:lang w:val="en-US"/>
        </w:rPr>
        <w:t xml:space="preserve"> – and that the position on dwellings also differs as between </w:t>
      </w:r>
      <w:r w:rsidR="00122099">
        <w:rPr>
          <w:lang w:val="en-US"/>
        </w:rPr>
        <w:t xml:space="preserve">the </w:t>
      </w:r>
      <w:r w:rsidR="006A5D82" w:rsidRPr="00D20334">
        <w:rPr>
          <w:lang w:val="en-US"/>
        </w:rPr>
        <w:t>VPA and APA</w:t>
      </w:r>
      <w:r w:rsidRPr="00D20334">
        <w:rPr>
          <w:lang w:val="en-US"/>
        </w:rPr>
        <w:t xml:space="preserve">.  </w:t>
      </w:r>
    </w:p>
    <w:p w14:paraId="304E4605" w14:textId="77777777" w:rsidR="00202A74" w:rsidRPr="00D20334" w:rsidRDefault="00202A74" w:rsidP="00AF505E">
      <w:pPr>
        <w:pStyle w:val="ListParagraph"/>
        <w:spacing w:after="0"/>
        <w:rPr>
          <w:lang w:val="en-US"/>
        </w:rPr>
      </w:pPr>
    </w:p>
    <w:p w14:paraId="11941A88" w14:textId="2DBD5692" w:rsidR="00202A74" w:rsidRPr="00D20334" w:rsidRDefault="007D4CF9" w:rsidP="00736861">
      <w:pPr>
        <w:pStyle w:val="ListParagraph"/>
        <w:numPr>
          <w:ilvl w:val="0"/>
          <w:numId w:val="9"/>
        </w:numPr>
        <w:spacing w:after="0"/>
        <w:ind w:left="1021" w:hanging="1021"/>
        <w:rPr>
          <w:bCs/>
          <w:lang w:val="en-US"/>
        </w:rPr>
      </w:pPr>
      <w:r w:rsidRPr="00D20334">
        <w:rPr>
          <w:lang w:val="en-US"/>
        </w:rPr>
        <w:t xml:space="preserve">In relation to the use of </w:t>
      </w:r>
      <w:r w:rsidRPr="00D20334">
        <w:rPr>
          <w:i/>
          <w:lang w:val="en-US"/>
        </w:rPr>
        <w:t>“d</w:t>
      </w:r>
      <w:r w:rsidR="006A5D82" w:rsidRPr="00D20334">
        <w:rPr>
          <w:i/>
          <w:lang w:val="en-US"/>
        </w:rPr>
        <w:t>welling”</w:t>
      </w:r>
      <w:r w:rsidR="006A5D82" w:rsidRPr="00D20334">
        <w:rPr>
          <w:lang w:val="en-US"/>
        </w:rPr>
        <w:t>, APA has sought that</w:t>
      </w:r>
      <w:r w:rsidRPr="00D20334">
        <w:rPr>
          <w:lang w:val="en-US"/>
        </w:rPr>
        <w:t xml:space="preserve"> a permit trigger be added for, in effect, two or more dwellings on a lot</w:t>
      </w:r>
      <w:r w:rsidR="006A5D82" w:rsidRPr="00D20334">
        <w:rPr>
          <w:lang w:val="en-US"/>
        </w:rPr>
        <w:t xml:space="preserve"> (i</w:t>
      </w:r>
      <w:r w:rsidR="00202A74" w:rsidRPr="00D20334">
        <w:rPr>
          <w:lang w:val="en-US"/>
        </w:rPr>
        <w:t>.</w:t>
      </w:r>
      <w:r w:rsidR="006A5D82" w:rsidRPr="00D20334">
        <w:rPr>
          <w:lang w:val="en-US"/>
        </w:rPr>
        <w:t>e</w:t>
      </w:r>
      <w:r w:rsidR="00202A74" w:rsidRPr="00D20334">
        <w:rPr>
          <w:lang w:val="en-US"/>
        </w:rPr>
        <w:t>.</w:t>
      </w:r>
      <w:r w:rsidR="006A5D82" w:rsidRPr="00D20334">
        <w:rPr>
          <w:lang w:val="en-US"/>
        </w:rPr>
        <w:t xml:space="preserve"> anything other than a </w:t>
      </w:r>
      <w:r w:rsidR="006A5D82" w:rsidRPr="00D20334">
        <w:rPr>
          <w:i/>
          <w:lang w:val="en-US"/>
        </w:rPr>
        <w:t>“single dwelling”</w:t>
      </w:r>
      <w:r w:rsidR="006A5D82" w:rsidRPr="00D20334">
        <w:rPr>
          <w:lang w:val="en-US"/>
        </w:rPr>
        <w:t>)</w:t>
      </w:r>
      <w:r w:rsidRPr="00D20334">
        <w:rPr>
          <w:lang w:val="en-US"/>
        </w:rPr>
        <w:t>.</w:t>
      </w:r>
      <w:r w:rsidR="006A5D82" w:rsidRPr="00D20334">
        <w:rPr>
          <w:lang w:val="en-US"/>
        </w:rPr>
        <w:t xml:space="preserve">  Note that this means that any attempt to draw a line higher than this – for example, by way of </w:t>
      </w:r>
      <w:r w:rsidR="006A5D82" w:rsidRPr="00D20334">
        <w:rPr>
          <w:lang w:val="en-US"/>
        </w:rPr>
        <w:lastRenderedPageBreak/>
        <w:t>setting a dwelling density of above 30 dwelling per</w:t>
      </w:r>
      <w:r w:rsidR="009416F4">
        <w:rPr>
          <w:lang w:val="en-US"/>
        </w:rPr>
        <w:t xml:space="preserve"> Net Developable Hectare (</w:t>
      </w:r>
      <w:r w:rsidR="006A5D82" w:rsidRPr="00D20334">
        <w:rPr>
          <w:lang w:val="en-US"/>
        </w:rPr>
        <w:t>NDH</w:t>
      </w:r>
      <w:r w:rsidR="009416F4">
        <w:rPr>
          <w:lang w:val="en-US"/>
        </w:rPr>
        <w:t>)</w:t>
      </w:r>
      <w:r w:rsidR="006A5D82" w:rsidRPr="00D20334">
        <w:rPr>
          <w:lang w:val="en-US"/>
        </w:rPr>
        <w:t xml:space="preserve"> – is of no utility.</w:t>
      </w:r>
      <w:r w:rsidR="0083011F" w:rsidRPr="00D20334">
        <w:rPr>
          <w:lang w:val="en-US"/>
        </w:rPr>
        <w:t xml:space="preserve">  It is not clear whether in fact APA wants notice of all applications for more than one dwelling – however i</w:t>
      </w:r>
      <w:r w:rsidR="006A5D82" w:rsidRPr="00D20334">
        <w:rPr>
          <w:lang w:val="en-US"/>
        </w:rPr>
        <w:t xml:space="preserve">f the APA “Part A” wording is adopted, APA will receive notice of all applications for more than one dwelling.  APA submitted that its density trigger was about </w:t>
      </w:r>
      <w:r w:rsidR="006A5D82" w:rsidRPr="00D20334">
        <w:rPr>
          <w:i/>
          <w:lang w:val="en-US"/>
        </w:rPr>
        <w:t>“subdivision”</w:t>
      </w:r>
      <w:r w:rsidR="006A5D82" w:rsidRPr="00D20334">
        <w:rPr>
          <w:lang w:val="en-US"/>
        </w:rPr>
        <w:t xml:space="preserve">.  </w:t>
      </w:r>
      <w:r w:rsidR="00122099">
        <w:rPr>
          <w:lang w:val="en-US"/>
        </w:rPr>
        <w:t xml:space="preserve">The </w:t>
      </w:r>
      <w:r w:rsidR="006A5D82" w:rsidRPr="00D20334">
        <w:rPr>
          <w:lang w:val="en-US"/>
        </w:rPr>
        <w:t xml:space="preserve">VPA respectfully submits that it does not, on its face, </w:t>
      </w:r>
      <w:r w:rsidR="00B721A2" w:rsidRPr="00D20334">
        <w:rPr>
          <w:lang w:val="en-US"/>
        </w:rPr>
        <w:t>get triggered by a</w:t>
      </w:r>
      <w:r w:rsidR="006A5D82" w:rsidRPr="00D20334">
        <w:rPr>
          <w:lang w:val="en-US"/>
        </w:rPr>
        <w:t xml:space="preserve"> subdivision</w:t>
      </w:r>
      <w:r w:rsidR="00B721A2" w:rsidRPr="00D20334">
        <w:rPr>
          <w:lang w:val="en-US"/>
        </w:rPr>
        <w:t xml:space="preserve"> permit application</w:t>
      </w:r>
      <w:r w:rsidR="006A5D82" w:rsidRPr="00D20334">
        <w:rPr>
          <w:lang w:val="en-US"/>
        </w:rPr>
        <w:t xml:space="preserve">.  Note “subdivision” is defined in the PE Act as </w:t>
      </w:r>
      <w:r w:rsidR="006A5D82" w:rsidRPr="00D20334">
        <w:rPr>
          <w:i/>
          <w:lang w:val="en-US"/>
        </w:rPr>
        <w:t>“development”</w:t>
      </w:r>
      <w:r w:rsidR="006A5D82" w:rsidRPr="00D20334">
        <w:rPr>
          <w:lang w:val="en-US"/>
        </w:rPr>
        <w:t xml:space="preserve"> and not </w:t>
      </w:r>
      <w:r w:rsidR="006A5D82" w:rsidRPr="00D20334">
        <w:rPr>
          <w:i/>
          <w:lang w:val="en-US"/>
        </w:rPr>
        <w:t>“use”</w:t>
      </w:r>
      <w:r w:rsidR="006A5D82" w:rsidRPr="00D20334">
        <w:rPr>
          <w:lang w:val="en-US"/>
        </w:rPr>
        <w:t>.</w:t>
      </w:r>
      <w:r w:rsidR="0083011F" w:rsidRPr="00D20334">
        <w:rPr>
          <w:lang w:val="en-US"/>
        </w:rPr>
        <w:t xml:space="preserve">  How this provision</w:t>
      </w:r>
      <w:r w:rsidR="00B721A2" w:rsidRPr="00D20334">
        <w:rPr>
          <w:lang w:val="en-US"/>
        </w:rPr>
        <w:t xml:space="preserve"> will operate in practice is unclear.</w:t>
      </w:r>
      <w:r w:rsidR="00105414" w:rsidRPr="00D20334">
        <w:rPr>
          <w:lang w:val="en-US"/>
        </w:rPr>
        <w:t xml:space="preserve"> </w:t>
      </w:r>
    </w:p>
    <w:p w14:paraId="6D26356C" w14:textId="77777777" w:rsidR="00202A74" w:rsidRPr="00D20334" w:rsidRDefault="00202A74" w:rsidP="00AF505E">
      <w:pPr>
        <w:pStyle w:val="ListParagraph"/>
        <w:spacing w:after="0"/>
        <w:rPr>
          <w:lang w:val="en-US"/>
        </w:rPr>
      </w:pPr>
    </w:p>
    <w:p w14:paraId="004CE83A" w14:textId="47B43EE0" w:rsidR="00202A74" w:rsidRPr="00D20334" w:rsidRDefault="00202A74" w:rsidP="00736861">
      <w:pPr>
        <w:pStyle w:val="ListParagraph"/>
        <w:numPr>
          <w:ilvl w:val="0"/>
          <w:numId w:val="9"/>
        </w:numPr>
        <w:spacing w:after="0"/>
        <w:ind w:left="1021" w:hanging="1021"/>
        <w:rPr>
          <w:bCs/>
          <w:lang w:val="en-US"/>
        </w:rPr>
      </w:pPr>
      <w:r w:rsidRPr="00D20334">
        <w:rPr>
          <w:lang w:val="en-US"/>
        </w:rPr>
        <w:t xml:space="preserve">The </w:t>
      </w:r>
      <w:r w:rsidR="006A5D82" w:rsidRPr="00D20334">
        <w:rPr>
          <w:lang w:val="en-US"/>
        </w:rPr>
        <w:t xml:space="preserve">VPA’s position in respect of this category of </w:t>
      </w:r>
      <w:r w:rsidR="006A5D82" w:rsidRPr="00D20334">
        <w:rPr>
          <w:i/>
          <w:lang w:val="en-US"/>
        </w:rPr>
        <w:t>“more than one dwelling”</w:t>
      </w:r>
      <w:r w:rsidR="006A5D82" w:rsidRPr="00D20334">
        <w:rPr>
          <w:lang w:val="en-US"/>
        </w:rPr>
        <w:t xml:space="preserve"> is found in the “Notice” provision in the </w:t>
      </w:r>
      <w:r w:rsidR="005E0B00">
        <w:rPr>
          <w:lang w:val="en-US"/>
        </w:rPr>
        <w:t>Urban Growth Zone (</w:t>
      </w:r>
      <w:r w:rsidR="006A5D82" w:rsidRPr="00D20334">
        <w:rPr>
          <w:lang w:val="en-US"/>
        </w:rPr>
        <w:t>UGZ</w:t>
      </w:r>
      <w:r w:rsidR="005E0B00">
        <w:rPr>
          <w:lang w:val="en-US"/>
        </w:rPr>
        <w:t>)</w:t>
      </w:r>
      <w:r w:rsidR="006A5D82" w:rsidRPr="00D20334">
        <w:rPr>
          <w:lang w:val="en-US"/>
        </w:rPr>
        <w:t xml:space="preserve"> schedules. </w:t>
      </w:r>
      <w:r w:rsidR="00122099">
        <w:rPr>
          <w:lang w:val="en-US"/>
        </w:rPr>
        <w:t xml:space="preserve"> The</w:t>
      </w:r>
      <w:r w:rsidR="006A5D82" w:rsidRPr="00D20334">
        <w:rPr>
          <w:lang w:val="en-US"/>
        </w:rPr>
        <w:t xml:space="preserve"> VPA proposes that notice be given to APA of any applications </w:t>
      </w:r>
      <w:r w:rsidR="00F47CA8" w:rsidRPr="00D20334">
        <w:rPr>
          <w:lang w:val="en-US"/>
        </w:rPr>
        <w:t xml:space="preserve">for </w:t>
      </w:r>
      <w:r w:rsidR="00F47CA8" w:rsidRPr="00D20334">
        <w:rPr>
          <w:i/>
          <w:lang w:val="en-US"/>
        </w:rPr>
        <w:t xml:space="preserve">“a residential development of four or more </w:t>
      </w:r>
      <w:proofErr w:type="spellStart"/>
      <w:r w:rsidR="00F47CA8" w:rsidRPr="00D20334">
        <w:rPr>
          <w:i/>
          <w:lang w:val="en-US"/>
        </w:rPr>
        <w:t>storeys</w:t>
      </w:r>
      <w:proofErr w:type="spellEnd"/>
      <w:r w:rsidR="00F47CA8" w:rsidRPr="00D20334">
        <w:rPr>
          <w:i/>
          <w:lang w:val="en-US"/>
        </w:rPr>
        <w:t>”.</w:t>
      </w:r>
      <w:r w:rsidR="00F47CA8" w:rsidRPr="00D20334">
        <w:rPr>
          <w:lang w:val="en-US"/>
        </w:rPr>
        <w:t xml:space="preserve">  There is already a buildings and works trigger for such development in all relevant zones.  Hence, the effect will be that notice of applications involving dwellings in a building 4 </w:t>
      </w:r>
      <w:proofErr w:type="spellStart"/>
      <w:r w:rsidR="00F47CA8" w:rsidRPr="00D20334">
        <w:rPr>
          <w:lang w:val="en-US"/>
        </w:rPr>
        <w:t>storeys</w:t>
      </w:r>
      <w:proofErr w:type="spellEnd"/>
      <w:r w:rsidR="00F47CA8" w:rsidRPr="00D20334">
        <w:rPr>
          <w:lang w:val="en-US"/>
        </w:rPr>
        <w:t xml:space="preserve"> or above will be provided to APA.  </w:t>
      </w:r>
    </w:p>
    <w:p w14:paraId="37BD2750" w14:textId="77777777" w:rsidR="00202A74" w:rsidRPr="00D20334" w:rsidRDefault="00202A74" w:rsidP="00AF505E">
      <w:pPr>
        <w:pStyle w:val="ListParagraph"/>
        <w:spacing w:after="0"/>
        <w:rPr>
          <w:lang w:val="en-US"/>
        </w:rPr>
      </w:pPr>
    </w:p>
    <w:p w14:paraId="536575D1" w14:textId="1230E321" w:rsidR="00B0379B" w:rsidRPr="00D20334" w:rsidRDefault="00F47CA8" w:rsidP="00736861">
      <w:pPr>
        <w:pStyle w:val="ListParagraph"/>
        <w:numPr>
          <w:ilvl w:val="0"/>
          <w:numId w:val="9"/>
        </w:numPr>
        <w:spacing w:after="0"/>
        <w:ind w:left="1021" w:hanging="1021"/>
        <w:rPr>
          <w:bCs/>
          <w:lang w:val="en-US"/>
        </w:rPr>
      </w:pPr>
      <w:r w:rsidRPr="00D20334">
        <w:rPr>
          <w:lang w:val="en-US"/>
        </w:rPr>
        <w:t xml:space="preserve">This is the “threshold” which </w:t>
      </w:r>
      <w:r w:rsidR="00122099">
        <w:rPr>
          <w:lang w:val="en-US"/>
        </w:rPr>
        <w:t xml:space="preserve">the </w:t>
      </w:r>
      <w:r w:rsidRPr="00D20334">
        <w:rPr>
          <w:lang w:val="en-US"/>
        </w:rPr>
        <w:t xml:space="preserve">VPA submits is going to be readily workable in practice, and appropriate in terms of </w:t>
      </w:r>
      <w:r w:rsidR="005523E3" w:rsidRPr="00D20334">
        <w:rPr>
          <w:lang w:val="en-US"/>
        </w:rPr>
        <w:t>giving notice of</w:t>
      </w:r>
      <w:r w:rsidRPr="00D20334">
        <w:rPr>
          <w:lang w:val="en-US"/>
        </w:rPr>
        <w:t xml:space="preserve"> applications that might be of interest to APA. </w:t>
      </w:r>
    </w:p>
    <w:p w14:paraId="35EC6983" w14:textId="77777777" w:rsidR="00B0379B" w:rsidRPr="00D20334" w:rsidRDefault="00B0379B" w:rsidP="00AF505E">
      <w:pPr>
        <w:pStyle w:val="ListParagraph"/>
        <w:spacing w:after="0"/>
        <w:rPr>
          <w:lang w:val="en-US"/>
        </w:rPr>
      </w:pPr>
    </w:p>
    <w:p w14:paraId="782AB49E" w14:textId="77777777" w:rsidR="00B0379B" w:rsidRPr="00D20334" w:rsidRDefault="00B0379B" w:rsidP="00736861">
      <w:pPr>
        <w:pStyle w:val="ListParagraph"/>
        <w:numPr>
          <w:ilvl w:val="0"/>
          <w:numId w:val="9"/>
        </w:numPr>
        <w:spacing w:after="0"/>
        <w:ind w:left="1021" w:hanging="1021"/>
        <w:rPr>
          <w:bCs/>
          <w:lang w:val="en-US"/>
        </w:rPr>
      </w:pPr>
      <w:r w:rsidRPr="00D20334">
        <w:rPr>
          <w:lang w:val="en-US"/>
        </w:rPr>
        <w:t xml:space="preserve">The </w:t>
      </w:r>
      <w:r w:rsidR="00F47CA8" w:rsidRPr="00D20334">
        <w:rPr>
          <w:lang w:val="en-US"/>
        </w:rPr>
        <w:t xml:space="preserve">VPA submits that, like for retail premises, there is no support found for APA’s submission in respect of dwellings, in the relevant AS.  The </w:t>
      </w:r>
      <w:r w:rsidR="0022246F" w:rsidRPr="00D20334">
        <w:rPr>
          <w:lang w:val="en-US"/>
        </w:rPr>
        <w:t>“primary location” class for “T2</w:t>
      </w:r>
      <w:r w:rsidR="00F47CA8" w:rsidRPr="00D20334">
        <w:rPr>
          <w:lang w:val="en-US"/>
        </w:rPr>
        <w:t xml:space="preserve">” refers to “high density” use which “applies where multi </w:t>
      </w:r>
      <w:proofErr w:type="spellStart"/>
      <w:r w:rsidR="00F47CA8" w:rsidRPr="00D20334">
        <w:rPr>
          <w:lang w:val="en-US"/>
        </w:rPr>
        <w:t>storey</w:t>
      </w:r>
      <w:proofErr w:type="spellEnd"/>
      <w:r w:rsidR="00F47CA8" w:rsidRPr="00D20334">
        <w:rPr>
          <w:lang w:val="en-US"/>
        </w:rPr>
        <w:t xml:space="preserve"> development predominates”.  Note too that the May 2016 ESV submission to the Major Hazards Facility Advisory Committee also refers to uses in buildings over three </w:t>
      </w:r>
      <w:proofErr w:type="spellStart"/>
      <w:r w:rsidR="00F47CA8" w:rsidRPr="00D20334">
        <w:rPr>
          <w:lang w:val="en-US"/>
        </w:rPr>
        <w:t>storeys</w:t>
      </w:r>
      <w:proofErr w:type="spellEnd"/>
      <w:r w:rsidR="00F47CA8" w:rsidRPr="00D20334">
        <w:rPr>
          <w:lang w:val="en-US"/>
        </w:rPr>
        <w:t>.</w:t>
      </w:r>
      <w:r w:rsidR="0022246F" w:rsidRPr="00D20334">
        <w:rPr>
          <w:lang w:val="en-US"/>
        </w:rPr>
        <w:t xml:space="preserve">  VPA therefore submits that it</w:t>
      </w:r>
      <w:r w:rsidR="00F47CA8" w:rsidRPr="00D20334">
        <w:rPr>
          <w:lang w:val="en-US"/>
        </w:rPr>
        <w:t>s position is a sensible one</w:t>
      </w:r>
      <w:r w:rsidR="005523E3" w:rsidRPr="00D20334">
        <w:rPr>
          <w:lang w:val="en-US"/>
        </w:rPr>
        <w:t>, as it picks up on the actual higher density uses involving dwellings</w:t>
      </w:r>
      <w:r w:rsidR="00F47CA8" w:rsidRPr="00D20334">
        <w:rPr>
          <w:lang w:val="en-US"/>
        </w:rPr>
        <w:t xml:space="preserve">.  </w:t>
      </w:r>
    </w:p>
    <w:p w14:paraId="1592F27E" w14:textId="77777777" w:rsidR="00B0379B" w:rsidRPr="00D20334" w:rsidRDefault="00B0379B" w:rsidP="00AF505E">
      <w:pPr>
        <w:pStyle w:val="ListParagraph"/>
        <w:spacing w:after="0"/>
        <w:rPr>
          <w:lang w:val="en-US"/>
        </w:rPr>
      </w:pPr>
    </w:p>
    <w:p w14:paraId="6864BD9A" w14:textId="77777777" w:rsidR="00B0379B" w:rsidRPr="00D20334" w:rsidRDefault="0022246F" w:rsidP="00736861">
      <w:pPr>
        <w:pStyle w:val="ListParagraph"/>
        <w:numPr>
          <w:ilvl w:val="0"/>
          <w:numId w:val="9"/>
        </w:numPr>
        <w:spacing w:after="0"/>
        <w:ind w:left="1021" w:hanging="1021"/>
        <w:rPr>
          <w:bCs/>
          <w:lang w:val="en-US"/>
        </w:rPr>
      </w:pPr>
      <w:r w:rsidRPr="00D20334">
        <w:rPr>
          <w:lang w:val="en-US"/>
        </w:rPr>
        <w:t xml:space="preserve">To the contrary, there is no support in the AS for “lesser” densities of dwellings requiring a permit trigger and notice.  </w:t>
      </w:r>
    </w:p>
    <w:p w14:paraId="2BFDCA05" w14:textId="77777777" w:rsidR="00B0379B" w:rsidRPr="00D20334" w:rsidRDefault="00B0379B" w:rsidP="00AF505E">
      <w:pPr>
        <w:pStyle w:val="ListParagraph"/>
        <w:spacing w:after="0"/>
        <w:rPr>
          <w:lang w:val="en-US"/>
        </w:rPr>
      </w:pPr>
    </w:p>
    <w:p w14:paraId="0B223239" w14:textId="24827190" w:rsidR="0027494D" w:rsidRPr="00D20334" w:rsidRDefault="0027494D" w:rsidP="00736861">
      <w:pPr>
        <w:pStyle w:val="ListParagraph"/>
        <w:numPr>
          <w:ilvl w:val="0"/>
          <w:numId w:val="9"/>
        </w:numPr>
        <w:spacing w:after="0"/>
        <w:ind w:left="1021" w:hanging="1021"/>
        <w:rPr>
          <w:bCs/>
          <w:lang w:val="en-US"/>
        </w:rPr>
      </w:pPr>
      <w:r w:rsidRPr="00D20334">
        <w:rPr>
          <w:lang w:val="en-US"/>
        </w:rPr>
        <w:t xml:space="preserve">The </w:t>
      </w:r>
      <w:r w:rsidR="0022246F" w:rsidRPr="00D20334">
        <w:rPr>
          <w:lang w:val="en-US"/>
        </w:rPr>
        <w:t xml:space="preserve">VPA therefore requests that the Panel recommend that its approach on accommodation </w:t>
      </w:r>
      <w:r w:rsidR="00025CD8" w:rsidRPr="00D20334">
        <w:rPr>
          <w:lang w:val="en-US"/>
        </w:rPr>
        <w:t>ought to</w:t>
      </w:r>
      <w:r w:rsidR="0022246F" w:rsidRPr="00D20334">
        <w:rPr>
          <w:lang w:val="en-US"/>
        </w:rPr>
        <w:t xml:space="preserve"> be accepted.    </w:t>
      </w:r>
    </w:p>
    <w:p w14:paraId="58164047" w14:textId="77777777" w:rsidR="00122099" w:rsidRDefault="00122099" w:rsidP="00AF505E">
      <w:pPr>
        <w:pStyle w:val="Heading3"/>
        <w:rPr>
          <w:lang w:val="en-AU"/>
        </w:rPr>
      </w:pPr>
    </w:p>
    <w:p w14:paraId="6149F84C" w14:textId="5CCC247B" w:rsidR="0027494D" w:rsidRDefault="00B0379B" w:rsidP="00AF505E">
      <w:pPr>
        <w:pStyle w:val="Heading3"/>
        <w:rPr>
          <w:lang w:val="en-AU"/>
        </w:rPr>
      </w:pPr>
      <w:bookmarkStart w:id="13" w:name="_Toc469573649"/>
      <w:r>
        <w:rPr>
          <w:lang w:val="en-AU"/>
        </w:rPr>
        <w:t>Retail premises</w:t>
      </w:r>
      <w:bookmarkEnd w:id="13"/>
    </w:p>
    <w:p w14:paraId="7F6CACA2" w14:textId="79DF494C" w:rsidR="00B0379B" w:rsidRPr="00D20334" w:rsidRDefault="00B0379B" w:rsidP="00736861">
      <w:pPr>
        <w:pStyle w:val="ListParagraph"/>
        <w:numPr>
          <w:ilvl w:val="0"/>
          <w:numId w:val="9"/>
        </w:numPr>
        <w:spacing w:after="0"/>
        <w:ind w:left="1021" w:hanging="1021"/>
        <w:rPr>
          <w:bCs/>
          <w:lang w:val="en-US"/>
        </w:rPr>
      </w:pPr>
      <w:r w:rsidRPr="00D20334">
        <w:rPr>
          <w:bCs/>
          <w:lang w:val="en-US"/>
        </w:rPr>
        <w:t>I</w:t>
      </w:r>
      <w:r w:rsidR="00A16820" w:rsidRPr="00D20334">
        <w:rPr>
          <w:bCs/>
          <w:lang w:val="en-US"/>
        </w:rPr>
        <w:t xml:space="preserve">n relation to the issue of retail </w:t>
      </w:r>
      <w:r w:rsidRPr="00D20334">
        <w:rPr>
          <w:bCs/>
          <w:lang w:val="en-US"/>
        </w:rPr>
        <w:t>premises, t</w:t>
      </w:r>
      <w:r w:rsidR="00A628A7" w:rsidRPr="00D20334">
        <w:rPr>
          <w:lang w:val="en-US"/>
        </w:rPr>
        <w:t xml:space="preserve">he </w:t>
      </w:r>
      <w:r w:rsidR="0022246F" w:rsidRPr="00D20334">
        <w:rPr>
          <w:lang w:val="en-US"/>
        </w:rPr>
        <w:t xml:space="preserve">VPA submits that nothing the Council or APA presented to the Panel provides a strong basis upon which to find that “retail </w:t>
      </w:r>
      <w:r w:rsidR="009416F4">
        <w:rPr>
          <w:lang w:val="en-US"/>
        </w:rPr>
        <w:t>premises” are “sensitive uses”.</w:t>
      </w:r>
      <w:r w:rsidR="0022246F" w:rsidRPr="00D20334">
        <w:rPr>
          <w:lang w:val="en-US"/>
        </w:rPr>
        <w:t xml:space="preserve"> To the contrary, it appears that “retail premises”, whilst desired to be added by APA, are not in fact considered a “sensitive use” by the AS</w:t>
      </w:r>
      <w:r w:rsidR="005523E3" w:rsidRPr="00D20334">
        <w:rPr>
          <w:lang w:val="en-US"/>
        </w:rPr>
        <w:t xml:space="preserve"> or any other authoritative source</w:t>
      </w:r>
      <w:r w:rsidR="0022246F" w:rsidRPr="00D20334">
        <w:rPr>
          <w:lang w:val="en-US"/>
        </w:rPr>
        <w:t xml:space="preserve">. </w:t>
      </w:r>
    </w:p>
    <w:p w14:paraId="1A562E90" w14:textId="77777777" w:rsidR="00B0379B" w:rsidRPr="00D20334" w:rsidRDefault="00B0379B" w:rsidP="00AF505E">
      <w:pPr>
        <w:pStyle w:val="ListParagraph"/>
        <w:spacing w:after="0"/>
        <w:ind w:left="1021"/>
        <w:rPr>
          <w:bCs/>
          <w:lang w:val="en-US"/>
        </w:rPr>
      </w:pPr>
    </w:p>
    <w:p w14:paraId="209BA325" w14:textId="0727BBA4" w:rsidR="00593917" w:rsidRPr="00D20334" w:rsidRDefault="0022246F" w:rsidP="00736861">
      <w:pPr>
        <w:pStyle w:val="ListParagraph"/>
        <w:numPr>
          <w:ilvl w:val="0"/>
          <w:numId w:val="9"/>
        </w:numPr>
        <w:spacing w:after="0"/>
        <w:ind w:left="1021" w:hanging="1021"/>
        <w:rPr>
          <w:bCs/>
          <w:lang w:val="en-US"/>
        </w:rPr>
      </w:pPr>
      <w:r w:rsidRPr="00D20334">
        <w:rPr>
          <w:lang w:val="en-US"/>
        </w:rPr>
        <w:t xml:space="preserve">The VPA therefore requests that the Panel recommend that retail premises does not require the addition of a permit trigger. </w:t>
      </w:r>
    </w:p>
    <w:p w14:paraId="68ACD695" w14:textId="77777777" w:rsidR="00122099" w:rsidRDefault="00122099" w:rsidP="00AF505E">
      <w:pPr>
        <w:pStyle w:val="Heading3"/>
        <w:rPr>
          <w:lang w:val="en-AU"/>
        </w:rPr>
      </w:pPr>
    </w:p>
    <w:p w14:paraId="774515B0" w14:textId="1732399E" w:rsidR="00B0379B" w:rsidRPr="00B0379B" w:rsidRDefault="00B0379B" w:rsidP="00AF505E">
      <w:pPr>
        <w:pStyle w:val="Heading3"/>
        <w:rPr>
          <w:lang w:val="en-AU"/>
        </w:rPr>
      </w:pPr>
      <w:bookmarkStart w:id="14" w:name="_Toc469573650"/>
      <w:r>
        <w:rPr>
          <w:lang w:val="en-AU"/>
        </w:rPr>
        <w:t>Recommending referral authority</w:t>
      </w:r>
      <w:bookmarkEnd w:id="14"/>
    </w:p>
    <w:p w14:paraId="6522C395" w14:textId="355B67F0" w:rsidR="00A628A7" w:rsidRPr="00D20334" w:rsidRDefault="00B0379B" w:rsidP="00736861">
      <w:pPr>
        <w:pStyle w:val="ListParagraph"/>
        <w:numPr>
          <w:ilvl w:val="0"/>
          <w:numId w:val="9"/>
        </w:numPr>
        <w:spacing w:after="0"/>
        <w:ind w:left="1021" w:hanging="1021"/>
        <w:rPr>
          <w:lang w:val="en-US"/>
        </w:rPr>
      </w:pPr>
      <w:r w:rsidRPr="00D20334">
        <w:rPr>
          <w:lang w:val="en-US"/>
        </w:rPr>
        <w:t>I</w:t>
      </w:r>
      <w:r w:rsidR="00A16820" w:rsidRPr="00D20334">
        <w:rPr>
          <w:lang w:val="en-US"/>
        </w:rPr>
        <w:t>n relation to</w:t>
      </w:r>
      <w:r w:rsidR="007D4CF9" w:rsidRPr="00D20334">
        <w:rPr>
          <w:lang w:val="en-US"/>
        </w:rPr>
        <w:t xml:space="preserve"> the question of whether APA ought </w:t>
      </w:r>
      <w:r w:rsidR="003E34BF" w:rsidRPr="00D20334">
        <w:rPr>
          <w:lang w:val="en-US"/>
        </w:rPr>
        <w:t xml:space="preserve">to </w:t>
      </w:r>
      <w:r w:rsidR="007D4CF9" w:rsidRPr="00D20334">
        <w:rPr>
          <w:lang w:val="en-US"/>
        </w:rPr>
        <w:t>be a recommending referral authority</w:t>
      </w:r>
      <w:r w:rsidRPr="00D20334">
        <w:rPr>
          <w:lang w:val="en-US"/>
        </w:rPr>
        <w:t xml:space="preserve">, the </w:t>
      </w:r>
      <w:r w:rsidR="0022246F" w:rsidRPr="00D20334">
        <w:rPr>
          <w:lang w:val="en-US"/>
        </w:rPr>
        <w:t>approach which was adopted in Donnybrook/Woodstock</w:t>
      </w:r>
      <w:r w:rsidR="009416F4">
        <w:rPr>
          <w:lang w:val="en-US"/>
        </w:rPr>
        <w:t xml:space="preserve"> (p.</w:t>
      </w:r>
      <w:r w:rsidR="00705796" w:rsidRPr="00D20334">
        <w:rPr>
          <w:lang w:val="en-US"/>
        </w:rPr>
        <w:t xml:space="preserve"> 93)</w:t>
      </w:r>
      <w:r w:rsidR="0022246F" w:rsidRPr="00D20334">
        <w:rPr>
          <w:lang w:val="en-US"/>
        </w:rPr>
        <w:t xml:space="preserve"> and in </w:t>
      </w:r>
      <w:proofErr w:type="spellStart"/>
      <w:r w:rsidR="0022246F" w:rsidRPr="00D20334">
        <w:rPr>
          <w:lang w:val="en-US"/>
        </w:rPr>
        <w:t>Wo</w:t>
      </w:r>
      <w:r w:rsidR="00D07DDD">
        <w:rPr>
          <w:lang w:val="en-US"/>
        </w:rPr>
        <w:t>l</w:t>
      </w:r>
      <w:r w:rsidR="0022246F" w:rsidRPr="00D20334">
        <w:rPr>
          <w:lang w:val="en-US"/>
        </w:rPr>
        <w:t>lert</w:t>
      </w:r>
      <w:proofErr w:type="spellEnd"/>
      <w:r w:rsidR="009416F4">
        <w:rPr>
          <w:lang w:val="en-US"/>
        </w:rPr>
        <w:t xml:space="preserve"> (p.</w:t>
      </w:r>
      <w:r w:rsidR="0083011F" w:rsidRPr="00D20334">
        <w:rPr>
          <w:lang w:val="en-US"/>
        </w:rPr>
        <w:t xml:space="preserve"> 57)</w:t>
      </w:r>
      <w:r w:rsidR="0022246F" w:rsidRPr="00D20334">
        <w:rPr>
          <w:lang w:val="en-US"/>
        </w:rPr>
        <w:t xml:space="preserve"> should be followed.  In these matters, there was also submissions that </w:t>
      </w:r>
      <w:r w:rsidR="0022246F" w:rsidRPr="00D20334">
        <w:rPr>
          <w:lang w:val="en-US"/>
        </w:rPr>
        <w:lastRenderedPageBreak/>
        <w:t xml:space="preserve">APA </w:t>
      </w:r>
      <w:r w:rsidR="00A628A7" w:rsidRPr="00D20334">
        <w:rPr>
          <w:lang w:val="en-US"/>
        </w:rPr>
        <w:t>ought to</w:t>
      </w:r>
      <w:r w:rsidR="0022246F" w:rsidRPr="00D20334">
        <w:rPr>
          <w:lang w:val="en-US"/>
        </w:rPr>
        <w:t xml:space="preserve"> be made a referral authority.  The Panels did not endorse such an approach.  </w:t>
      </w:r>
    </w:p>
    <w:p w14:paraId="6518F84D" w14:textId="77777777" w:rsidR="00B0379B" w:rsidRPr="00D20334" w:rsidRDefault="00B0379B" w:rsidP="00AF505E">
      <w:pPr>
        <w:pStyle w:val="ListParagraph"/>
        <w:spacing w:after="0"/>
        <w:ind w:left="1021"/>
        <w:rPr>
          <w:lang w:val="en-US"/>
        </w:rPr>
      </w:pPr>
    </w:p>
    <w:p w14:paraId="4265455E" w14:textId="592EFEED" w:rsidR="00A628A7" w:rsidRPr="00D20334" w:rsidRDefault="0022246F" w:rsidP="00736861">
      <w:pPr>
        <w:pStyle w:val="ListParagraph"/>
        <w:numPr>
          <w:ilvl w:val="0"/>
          <w:numId w:val="9"/>
        </w:numPr>
        <w:spacing w:after="0"/>
        <w:ind w:left="1021" w:hanging="1021"/>
        <w:rPr>
          <w:lang w:val="en-US"/>
        </w:rPr>
      </w:pPr>
      <w:r w:rsidRPr="00D20334">
        <w:rPr>
          <w:lang w:val="en-US"/>
        </w:rPr>
        <w:t>It is desirable that all PSP areas be treated consistently</w:t>
      </w:r>
      <w:r w:rsidR="00D07DDD">
        <w:rPr>
          <w:lang w:val="en-US"/>
        </w:rPr>
        <w:t xml:space="preserve"> where possible</w:t>
      </w:r>
      <w:r w:rsidRPr="00D20334">
        <w:rPr>
          <w:lang w:val="en-US"/>
        </w:rPr>
        <w:t xml:space="preserve">.    </w:t>
      </w:r>
    </w:p>
    <w:p w14:paraId="09FA94EB" w14:textId="77777777" w:rsidR="00B0379B" w:rsidRPr="00D20334" w:rsidRDefault="00B0379B" w:rsidP="00AF505E">
      <w:pPr>
        <w:pStyle w:val="ListParagraph"/>
        <w:spacing w:after="0"/>
        <w:ind w:left="1021"/>
        <w:rPr>
          <w:lang w:val="en-US"/>
        </w:rPr>
      </w:pPr>
    </w:p>
    <w:p w14:paraId="44E9AAA0" w14:textId="77777777" w:rsidR="00A628A7" w:rsidRPr="00D20334" w:rsidRDefault="00730363" w:rsidP="00736861">
      <w:pPr>
        <w:pStyle w:val="ListParagraph"/>
        <w:numPr>
          <w:ilvl w:val="0"/>
          <w:numId w:val="9"/>
        </w:numPr>
        <w:spacing w:after="0"/>
        <w:ind w:left="1021" w:hanging="1021"/>
        <w:rPr>
          <w:lang w:val="en-US"/>
        </w:rPr>
      </w:pPr>
      <w:r w:rsidRPr="00D20334">
        <w:rPr>
          <w:lang w:val="en-US"/>
        </w:rPr>
        <w:t>Further, to add a party as a referral authority is a significant step.  Referral authorities are given a</w:t>
      </w:r>
      <w:r w:rsidR="008434B0" w:rsidRPr="00D20334">
        <w:rPr>
          <w:lang w:val="en-US"/>
        </w:rPr>
        <w:t xml:space="preserve"> significant statutory role.  One of the considerations of Practice Note 54 is whether referral authorities have resources and processes in place to ensure timely and effective advice and to comply with the duties and requirements of the PE Act.  The capacity of APA to take on this statutory role is in fact unknown.</w:t>
      </w:r>
      <w:r w:rsidR="005F43E7" w:rsidRPr="00D20334">
        <w:rPr>
          <w:lang w:val="en-US"/>
        </w:rPr>
        <w:t xml:space="preserve">  The manner in which APA will judge whether an application is appropriate, or not, is also unknown. </w:t>
      </w:r>
      <w:r w:rsidR="008434B0" w:rsidRPr="00D20334">
        <w:rPr>
          <w:lang w:val="en-US"/>
        </w:rPr>
        <w:t xml:space="preserve">     </w:t>
      </w:r>
    </w:p>
    <w:p w14:paraId="6D2FA0E8" w14:textId="77777777" w:rsidR="00B0379B" w:rsidRPr="00D20334" w:rsidRDefault="00B0379B" w:rsidP="00AF505E">
      <w:pPr>
        <w:pStyle w:val="ListParagraph"/>
        <w:spacing w:after="0"/>
        <w:ind w:left="1021"/>
        <w:rPr>
          <w:lang w:val="en-US"/>
        </w:rPr>
      </w:pPr>
    </w:p>
    <w:p w14:paraId="297B7951" w14:textId="53439643" w:rsidR="00A628A7" w:rsidRPr="00D20334" w:rsidRDefault="008434B0" w:rsidP="00736861">
      <w:pPr>
        <w:pStyle w:val="ListParagraph"/>
        <w:numPr>
          <w:ilvl w:val="0"/>
          <w:numId w:val="9"/>
        </w:numPr>
        <w:spacing w:after="0"/>
        <w:ind w:left="1021" w:hanging="1021"/>
        <w:rPr>
          <w:lang w:val="en-US"/>
        </w:rPr>
      </w:pPr>
      <w:r w:rsidRPr="00D20334">
        <w:rPr>
          <w:lang w:val="en-US"/>
        </w:rPr>
        <w:t xml:space="preserve">Practice Note 54 also says, under the heading </w:t>
      </w:r>
      <w:r w:rsidRPr="00D20334">
        <w:rPr>
          <w:i/>
          <w:lang w:val="en-US"/>
        </w:rPr>
        <w:t>“Give notice rather than require referral”</w:t>
      </w:r>
      <w:r w:rsidRPr="00D20334">
        <w:rPr>
          <w:lang w:val="en-US"/>
        </w:rPr>
        <w:t xml:space="preserve">: </w:t>
      </w:r>
    </w:p>
    <w:p w14:paraId="714A6A9F" w14:textId="03011C28" w:rsidR="00A628A7" w:rsidRPr="00D20334" w:rsidRDefault="008434B0" w:rsidP="00AF505E">
      <w:pPr>
        <w:pStyle w:val="ListParagraph"/>
        <w:widowControl w:val="0"/>
        <w:autoSpaceDE w:val="0"/>
        <w:autoSpaceDN w:val="0"/>
        <w:adjustRightInd w:val="0"/>
        <w:spacing w:after="0" w:line="240" w:lineRule="auto"/>
        <w:ind w:left="1440"/>
        <w:rPr>
          <w:i/>
          <w:lang w:val="en-AU"/>
        </w:rPr>
      </w:pPr>
      <w:r w:rsidRPr="00D20334">
        <w:rPr>
          <w:i/>
          <w:lang w:val="en-AU"/>
        </w:rPr>
        <w:t>Consider whether giving notice of the application under s 52(1</w:t>
      </w:r>
      <w:proofErr w:type="gramStart"/>
      <w:r w:rsidRPr="00D20334">
        <w:rPr>
          <w:i/>
          <w:lang w:val="en-AU"/>
        </w:rPr>
        <w:t>)(</w:t>
      </w:r>
      <w:proofErr w:type="gramEnd"/>
      <w:r w:rsidRPr="00D20334">
        <w:rPr>
          <w:i/>
          <w:lang w:val="en-AU"/>
        </w:rPr>
        <w:t>c) of the Act would meet the referral authority’s requirements instead of referring the application under section 55.  If the referral authority needs to be made aware of an application but does not need to always receive a copy of the application or direct the outcome of the application, a section 52(1</w:t>
      </w:r>
      <w:proofErr w:type="gramStart"/>
      <w:r w:rsidRPr="00D20334">
        <w:rPr>
          <w:i/>
          <w:lang w:val="en-AU"/>
        </w:rPr>
        <w:t>)(</w:t>
      </w:r>
      <w:proofErr w:type="gramEnd"/>
      <w:r w:rsidRPr="00D20334">
        <w:rPr>
          <w:i/>
          <w:lang w:val="en-AU"/>
        </w:rPr>
        <w:t xml:space="preserve">c) notice may be appropriate. </w:t>
      </w:r>
    </w:p>
    <w:p w14:paraId="3C8DAAE2" w14:textId="77777777" w:rsidR="00B0379B" w:rsidRPr="00D20334" w:rsidRDefault="00B0379B" w:rsidP="00AF505E">
      <w:pPr>
        <w:widowControl w:val="0"/>
        <w:autoSpaceDE w:val="0"/>
        <w:autoSpaceDN w:val="0"/>
        <w:adjustRightInd w:val="0"/>
        <w:spacing w:after="0" w:line="240" w:lineRule="auto"/>
        <w:rPr>
          <w:lang w:val="en-AU"/>
        </w:rPr>
      </w:pPr>
    </w:p>
    <w:p w14:paraId="262F60B7" w14:textId="77777777" w:rsidR="00A628A7" w:rsidRPr="00D20334" w:rsidRDefault="005F43E7" w:rsidP="00736861">
      <w:pPr>
        <w:pStyle w:val="ListParagraph"/>
        <w:numPr>
          <w:ilvl w:val="0"/>
          <w:numId w:val="9"/>
        </w:numPr>
        <w:spacing w:after="0"/>
        <w:ind w:left="1021" w:hanging="1021"/>
        <w:rPr>
          <w:lang w:val="en-US"/>
        </w:rPr>
      </w:pPr>
      <w:r w:rsidRPr="00D20334">
        <w:rPr>
          <w:lang w:val="en-US"/>
        </w:rPr>
        <w:t xml:space="preserve">The above statement is met by a notice regime, which will enable APA to learn of applications and judge whether their further involvement is appropriate.  </w:t>
      </w:r>
    </w:p>
    <w:p w14:paraId="5CB351B2" w14:textId="77777777" w:rsidR="00B0379B" w:rsidRPr="00D20334" w:rsidRDefault="00B0379B" w:rsidP="00AF505E">
      <w:pPr>
        <w:pStyle w:val="ListParagraph"/>
        <w:spacing w:after="0"/>
        <w:ind w:left="1021"/>
        <w:rPr>
          <w:lang w:val="en-US"/>
        </w:rPr>
      </w:pPr>
    </w:p>
    <w:p w14:paraId="768F186A" w14:textId="77777777" w:rsidR="00B0379B" w:rsidRPr="00D20334" w:rsidRDefault="005F43E7" w:rsidP="00736861">
      <w:pPr>
        <w:pStyle w:val="ListParagraph"/>
        <w:numPr>
          <w:ilvl w:val="0"/>
          <w:numId w:val="9"/>
        </w:numPr>
        <w:spacing w:after="0"/>
        <w:ind w:left="1021" w:hanging="1021"/>
        <w:rPr>
          <w:lang w:val="en-US"/>
        </w:rPr>
      </w:pPr>
      <w:r w:rsidRPr="00D20334">
        <w:rPr>
          <w:lang w:val="en-US"/>
        </w:rPr>
        <w:t xml:space="preserve">The Practice Note also states that a referral authority should not be specified in the planning scheme simply because they may be useful in assessing certain types of applications or be used as a substitute for the responsible authority’s own assessment of the application.  </w:t>
      </w:r>
    </w:p>
    <w:p w14:paraId="6174E797" w14:textId="77777777" w:rsidR="00B0379B" w:rsidRPr="00D20334" w:rsidRDefault="00B0379B" w:rsidP="00AF505E">
      <w:pPr>
        <w:pStyle w:val="ListParagraph"/>
        <w:spacing w:after="0"/>
        <w:rPr>
          <w:lang w:val="en-US"/>
        </w:rPr>
      </w:pPr>
    </w:p>
    <w:p w14:paraId="73D95BED" w14:textId="6AA89BFB" w:rsidR="00A16820" w:rsidRPr="00D20334" w:rsidRDefault="00A628A7" w:rsidP="00736861">
      <w:pPr>
        <w:pStyle w:val="ListParagraph"/>
        <w:numPr>
          <w:ilvl w:val="0"/>
          <w:numId w:val="9"/>
        </w:numPr>
        <w:spacing w:after="0"/>
        <w:ind w:left="1021" w:hanging="1021"/>
        <w:rPr>
          <w:lang w:val="en-US"/>
        </w:rPr>
      </w:pPr>
      <w:r w:rsidRPr="00D20334">
        <w:rPr>
          <w:lang w:val="en-US"/>
        </w:rPr>
        <w:t xml:space="preserve">The </w:t>
      </w:r>
      <w:r w:rsidR="008434B0" w:rsidRPr="00D20334">
        <w:rPr>
          <w:lang w:val="en-US"/>
        </w:rPr>
        <w:t xml:space="preserve">VPA submits that the “notice” regime that has been set up is adequate.  </w:t>
      </w:r>
      <w:r w:rsidRPr="00D20334">
        <w:rPr>
          <w:lang w:val="en-US"/>
        </w:rPr>
        <w:t xml:space="preserve">APA will </w:t>
      </w:r>
      <w:r w:rsidR="008434B0" w:rsidRPr="00D20334">
        <w:rPr>
          <w:lang w:val="en-US"/>
        </w:rPr>
        <w:t>have sufficient ability to receive information, make submissions, and appeal to VCAT if desired</w:t>
      </w:r>
      <w:r w:rsidR="005F43E7" w:rsidRPr="00D20334">
        <w:rPr>
          <w:lang w:val="en-US"/>
        </w:rPr>
        <w:t xml:space="preserve">. </w:t>
      </w:r>
    </w:p>
    <w:p w14:paraId="49B0F675" w14:textId="77777777" w:rsidR="00122099" w:rsidRDefault="00122099" w:rsidP="00AF505E">
      <w:pPr>
        <w:pStyle w:val="Heading3"/>
        <w:rPr>
          <w:lang w:val="en-AU"/>
        </w:rPr>
      </w:pPr>
    </w:p>
    <w:p w14:paraId="74A87ADF" w14:textId="1E8D8408" w:rsidR="005F43E7" w:rsidRPr="00025CD8" w:rsidRDefault="00B0379B" w:rsidP="00AF505E">
      <w:pPr>
        <w:pStyle w:val="Heading3"/>
        <w:rPr>
          <w:lang w:val="en-AU"/>
        </w:rPr>
      </w:pPr>
      <w:bookmarkStart w:id="15" w:name="_Toc469573651"/>
      <w:r>
        <w:rPr>
          <w:lang w:val="en-AU"/>
        </w:rPr>
        <w:t>In reply to matters raised by Council and APA</w:t>
      </w:r>
      <w:bookmarkEnd w:id="15"/>
      <w:r>
        <w:rPr>
          <w:lang w:val="en-AU"/>
        </w:rPr>
        <w:t xml:space="preserve"> </w:t>
      </w:r>
    </w:p>
    <w:p w14:paraId="4BA0E7D1" w14:textId="47135CCC" w:rsidR="00B0379B" w:rsidRPr="00D20334" w:rsidRDefault="007D4CF9" w:rsidP="00736861">
      <w:pPr>
        <w:pStyle w:val="ListParagraph"/>
        <w:numPr>
          <w:ilvl w:val="0"/>
          <w:numId w:val="9"/>
        </w:numPr>
        <w:spacing w:after="0"/>
        <w:ind w:left="1021" w:hanging="1021"/>
        <w:rPr>
          <w:bCs/>
          <w:lang w:val="en-US"/>
        </w:rPr>
      </w:pPr>
      <w:r w:rsidRPr="00D20334">
        <w:rPr>
          <w:bCs/>
          <w:lang w:val="en-US"/>
        </w:rPr>
        <w:t xml:space="preserve">Further, </w:t>
      </w:r>
      <w:r w:rsidR="009416F4">
        <w:rPr>
          <w:bCs/>
          <w:lang w:val="en-US"/>
        </w:rPr>
        <w:t xml:space="preserve">the </w:t>
      </w:r>
      <w:r w:rsidRPr="00D20334">
        <w:rPr>
          <w:bCs/>
          <w:lang w:val="en-US"/>
        </w:rPr>
        <w:t xml:space="preserve">VPA </w:t>
      </w:r>
      <w:r w:rsidR="0022246F" w:rsidRPr="00D20334">
        <w:rPr>
          <w:bCs/>
          <w:lang w:val="en-US"/>
        </w:rPr>
        <w:t>makes the following specific submissions in reply to matters raised in Council and APA’s submi</w:t>
      </w:r>
      <w:r w:rsidR="00B0379B" w:rsidRPr="00D20334">
        <w:rPr>
          <w:bCs/>
          <w:lang w:val="en-US"/>
        </w:rPr>
        <w:t>ssions.</w:t>
      </w:r>
    </w:p>
    <w:p w14:paraId="0D7DEE9F" w14:textId="77777777" w:rsidR="00B0379B" w:rsidRPr="00D20334" w:rsidRDefault="00B0379B" w:rsidP="00AF505E">
      <w:pPr>
        <w:pStyle w:val="ListParagraph"/>
        <w:spacing w:after="0"/>
        <w:ind w:left="1021"/>
        <w:rPr>
          <w:bCs/>
          <w:lang w:val="en-US"/>
        </w:rPr>
      </w:pPr>
    </w:p>
    <w:p w14:paraId="6D5AD12D" w14:textId="008E8C1A" w:rsidR="00B0379B" w:rsidRPr="00D20334" w:rsidRDefault="002B7C34" w:rsidP="00736861">
      <w:pPr>
        <w:pStyle w:val="ListParagraph"/>
        <w:numPr>
          <w:ilvl w:val="0"/>
          <w:numId w:val="9"/>
        </w:numPr>
        <w:spacing w:after="0"/>
        <w:ind w:left="1021" w:hanging="1021"/>
        <w:rPr>
          <w:bCs/>
          <w:lang w:val="en-US"/>
        </w:rPr>
      </w:pPr>
      <w:r w:rsidRPr="00D20334">
        <w:rPr>
          <w:lang w:val="en-AU"/>
        </w:rPr>
        <w:t xml:space="preserve">There is a Local Town Centre that includes Commercial 1 applied zoning within a pipeline measurement length in the Wollert PSP. The UGZ Schedule for Wollert does not include permit triggers for retail use on land within the </w:t>
      </w:r>
      <w:r w:rsidR="005E0B00">
        <w:rPr>
          <w:lang w:val="en-AU"/>
        </w:rPr>
        <w:t>Pipeline Measurement Length (</w:t>
      </w:r>
      <w:r w:rsidRPr="00D20334">
        <w:rPr>
          <w:lang w:val="en-AU"/>
        </w:rPr>
        <w:t>PML</w:t>
      </w:r>
      <w:r w:rsidR="005E0B00">
        <w:rPr>
          <w:lang w:val="en-AU"/>
        </w:rPr>
        <w:t>)</w:t>
      </w:r>
      <w:r w:rsidRPr="00D20334">
        <w:rPr>
          <w:lang w:val="en-AU"/>
        </w:rPr>
        <w:t>, and only provides notice provision to pipeline owner and operator not referral.</w:t>
      </w:r>
    </w:p>
    <w:p w14:paraId="32EA0257" w14:textId="77777777" w:rsidR="00B0379B" w:rsidRPr="00B0379B" w:rsidRDefault="00B0379B" w:rsidP="00AF505E">
      <w:pPr>
        <w:pStyle w:val="ListParagraph"/>
        <w:spacing w:after="0"/>
        <w:rPr>
          <w:lang w:val="en-AU"/>
        </w:rPr>
      </w:pPr>
    </w:p>
    <w:p w14:paraId="6242A270" w14:textId="0EAF2DA5" w:rsidR="00B0379B" w:rsidRPr="00B0379B" w:rsidRDefault="0022246F" w:rsidP="00736861">
      <w:pPr>
        <w:pStyle w:val="ListParagraph"/>
        <w:numPr>
          <w:ilvl w:val="0"/>
          <w:numId w:val="9"/>
        </w:numPr>
        <w:spacing w:after="0"/>
        <w:ind w:left="1021" w:hanging="1021"/>
        <w:rPr>
          <w:bCs/>
          <w:color w:val="2E74B5" w:themeColor="accent1" w:themeShade="BF"/>
          <w:lang w:val="en-US"/>
        </w:rPr>
      </w:pPr>
      <w:r w:rsidRPr="00B0379B">
        <w:rPr>
          <w:lang w:val="en-AU"/>
        </w:rPr>
        <w:t>Council’s submi</w:t>
      </w:r>
      <w:r w:rsidR="00B0379B">
        <w:rPr>
          <w:lang w:val="en-AU"/>
        </w:rPr>
        <w:t xml:space="preserve">ssion at [103-104] is incorrect. </w:t>
      </w:r>
      <w:r w:rsidR="00A628A7" w:rsidRPr="00B0379B">
        <w:rPr>
          <w:lang w:val="en-AU"/>
        </w:rPr>
        <w:t xml:space="preserve">The </w:t>
      </w:r>
      <w:r w:rsidR="00806344" w:rsidRPr="00B0379B">
        <w:rPr>
          <w:lang w:val="en-AU"/>
        </w:rPr>
        <w:t>VPA did not “conflate” the sensitive use definition in the Planning Scheme, with that in the AS.</w:t>
      </w:r>
      <w:r w:rsidR="00806344" w:rsidRPr="00B0379B">
        <w:rPr>
          <w:rFonts w:eastAsiaTheme="minorEastAsia"/>
          <w:lang w:val="en-US"/>
        </w:rPr>
        <w:t xml:space="preserve"> </w:t>
      </w:r>
      <w:r w:rsidR="00A628A7" w:rsidRPr="00B0379B">
        <w:rPr>
          <w:rFonts w:eastAsiaTheme="minorEastAsia"/>
          <w:lang w:val="en-US"/>
        </w:rPr>
        <w:t xml:space="preserve">The </w:t>
      </w:r>
      <w:r w:rsidR="00806344" w:rsidRPr="00B0379B">
        <w:rPr>
          <w:lang w:val="en-US"/>
        </w:rPr>
        <w:t>VPA in fact acknowledged that th</w:t>
      </w:r>
      <w:r w:rsidR="00A4485F">
        <w:rPr>
          <w:lang w:val="en-US"/>
        </w:rPr>
        <w:t>e planning scheme definition of sensitive use</w:t>
      </w:r>
      <w:r w:rsidR="00806344" w:rsidRPr="00B0379B">
        <w:rPr>
          <w:lang w:val="en-US"/>
        </w:rPr>
        <w:t xml:space="preserve"> was not a particularly helpful definition in the context of the PML and the </w:t>
      </w:r>
      <w:r w:rsidR="005E0B00">
        <w:rPr>
          <w:lang w:val="en-US"/>
        </w:rPr>
        <w:t>Australian Standard (</w:t>
      </w:r>
      <w:r w:rsidR="00806344" w:rsidRPr="00B0379B">
        <w:rPr>
          <w:lang w:val="en-US"/>
        </w:rPr>
        <w:t>AS</w:t>
      </w:r>
      <w:r w:rsidR="005E0B00">
        <w:rPr>
          <w:lang w:val="en-US"/>
        </w:rPr>
        <w:t>)</w:t>
      </w:r>
      <w:r w:rsidR="00806344" w:rsidRPr="00B0379B">
        <w:rPr>
          <w:lang w:val="en-US"/>
        </w:rPr>
        <w:t>, and went on to separately consider the AS definition.</w:t>
      </w:r>
      <w:r w:rsidR="00806344" w:rsidRPr="00B0379B">
        <w:rPr>
          <w:lang w:val="en-AU"/>
        </w:rPr>
        <w:t xml:space="preserve"> </w:t>
      </w:r>
    </w:p>
    <w:p w14:paraId="123DA8D0" w14:textId="77777777" w:rsidR="00B0379B" w:rsidRPr="00B0379B" w:rsidRDefault="00B0379B" w:rsidP="00AF505E">
      <w:pPr>
        <w:pStyle w:val="ListParagraph"/>
        <w:spacing w:after="0"/>
        <w:rPr>
          <w:lang w:val="en-US"/>
        </w:rPr>
      </w:pPr>
    </w:p>
    <w:p w14:paraId="53029F2F" w14:textId="22111C9A" w:rsidR="00B0379B" w:rsidRPr="00B0379B" w:rsidRDefault="00806344" w:rsidP="00736861">
      <w:pPr>
        <w:pStyle w:val="ListParagraph"/>
        <w:numPr>
          <w:ilvl w:val="0"/>
          <w:numId w:val="9"/>
        </w:numPr>
        <w:spacing w:after="0"/>
        <w:ind w:left="1021" w:hanging="1021"/>
        <w:rPr>
          <w:bCs/>
          <w:color w:val="2E74B5" w:themeColor="accent1" w:themeShade="BF"/>
          <w:lang w:val="en-US"/>
        </w:rPr>
      </w:pPr>
      <w:r w:rsidRPr="00B0379B">
        <w:rPr>
          <w:lang w:val="en-US"/>
        </w:rPr>
        <w:t xml:space="preserve">Further, </w:t>
      </w:r>
      <w:r w:rsidR="00A628A7" w:rsidRPr="00B0379B">
        <w:rPr>
          <w:lang w:val="en-US"/>
        </w:rPr>
        <w:t xml:space="preserve">the </w:t>
      </w:r>
      <w:r w:rsidRPr="00B0379B">
        <w:rPr>
          <w:lang w:val="en-US"/>
        </w:rPr>
        <w:t xml:space="preserve">VPA did not “jump to” the secondary classifications including the definition of “sensitive” without overlooking the primary classifications.  All parties agree in this </w:t>
      </w:r>
      <w:r w:rsidRPr="00B0379B">
        <w:rPr>
          <w:lang w:val="en-US"/>
        </w:rPr>
        <w:lastRenderedPageBreak/>
        <w:t>case that the primary classific</w:t>
      </w:r>
      <w:r w:rsidR="00A628A7" w:rsidRPr="00B0379B">
        <w:rPr>
          <w:lang w:val="en-US"/>
        </w:rPr>
        <w:t>ation of the land will be “T1”.</w:t>
      </w:r>
      <w:r w:rsidRPr="00B0379B">
        <w:rPr>
          <w:lang w:val="en-US"/>
        </w:rPr>
        <w:t xml:space="preserve"> That is not in issue.  What is in issue is whether the use of “retail premises” are a “sensitive use” such that a permit trigger is required.  That is the basis of the submission of APA that there </w:t>
      </w:r>
      <w:r w:rsidR="003C01BF" w:rsidRPr="00B0379B">
        <w:rPr>
          <w:lang w:val="en-US"/>
        </w:rPr>
        <w:t>ought to</w:t>
      </w:r>
      <w:r w:rsidRPr="00B0379B">
        <w:rPr>
          <w:lang w:val="en-US"/>
        </w:rPr>
        <w:t xml:space="preserve"> be a permit trigger. </w:t>
      </w:r>
      <w:r w:rsidR="00A628A7" w:rsidRPr="00B0379B">
        <w:rPr>
          <w:lang w:val="en-US"/>
        </w:rPr>
        <w:t>The</w:t>
      </w:r>
      <w:r w:rsidRPr="00B0379B">
        <w:rPr>
          <w:lang w:val="en-US"/>
        </w:rPr>
        <w:t xml:space="preserve"> VPA is directly responding to the issue raised by APA. </w:t>
      </w:r>
    </w:p>
    <w:p w14:paraId="2434BC5A" w14:textId="77777777" w:rsidR="00B0379B" w:rsidRPr="00B0379B" w:rsidRDefault="00B0379B" w:rsidP="00AF505E">
      <w:pPr>
        <w:pStyle w:val="ListParagraph"/>
        <w:spacing w:after="0"/>
        <w:rPr>
          <w:lang w:val="en-US"/>
        </w:rPr>
      </w:pPr>
    </w:p>
    <w:p w14:paraId="3A5E9715" w14:textId="6301DF47" w:rsidR="00B0379B" w:rsidRPr="00B0379B" w:rsidRDefault="00806344" w:rsidP="00736861">
      <w:pPr>
        <w:pStyle w:val="ListParagraph"/>
        <w:numPr>
          <w:ilvl w:val="0"/>
          <w:numId w:val="9"/>
        </w:numPr>
        <w:spacing w:after="0"/>
        <w:ind w:left="1021" w:hanging="1021"/>
        <w:rPr>
          <w:bCs/>
          <w:color w:val="2E74B5" w:themeColor="accent1" w:themeShade="BF"/>
          <w:lang w:val="en-US"/>
        </w:rPr>
      </w:pPr>
      <w:r w:rsidRPr="00B0379B">
        <w:rPr>
          <w:lang w:val="en-US"/>
        </w:rPr>
        <w:t>Note further that the consequences of being in “T1” in terms of the planning sche</w:t>
      </w:r>
      <w:r w:rsidR="00A628A7" w:rsidRPr="00B0379B">
        <w:rPr>
          <w:lang w:val="en-US"/>
        </w:rPr>
        <w:t xml:space="preserve">me, are unclear. </w:t>
      </w:r>
      <w:r w:rsidRPr="00B0379B">
        <w:rPr>
          <w:lang w:val="en-US"/>
        </w:rPr>
        <w:t xml:space="preserve">APA has not submitted that all “T1” uses </w:t>
      </w:r>
      <w:r w:rsidR="003C01BF" w:rsidRPr="00B0379B">
        <w:rPr>
          <w:lang w:val="en-US"/>
        </w:rPr>
        <w:t>ought to</w:t>
      </w:r>
      <w:r w:rsidRPr="00B0379B">
        <w:rPr>
          <w:lang w:val="en-US"/>
        </w:rPr>
        <w:t xml:space="preserve"> be referred – the submission has been framed around “sensitive uses”.</w:t>
      </w:r>
    </w:p>
    <w:p w14:paraId="20350581" w14:textId="77777777" w:rsidR="00B0379B" w:rsidRPr="00B0379B" w:rsidRDefault="00B0379B" w:rsidP="00AF505E">
      <w:pPr>
        <w:pStyle w:val="ListParagraph"/>
        <w:spacing w:after="0"/>
        <w:rPr>
          <w:lang w:val="en-US"/>
        </w:rPr>
      </w:pPr>
    </w:p>
    <w:p w14:paraId="11CAAB2F" w14:textId="74256E5C" w:rsidR="00B0379B" w:rsidRPr="00B0379B" w:rsidRDefault="00A628A7" w:rsidP="00736861">
      <w:pPr>
        <w:pStyle w:val="ListParagraph"/>
        <w:numPr>
          <w:ilvl w:val="0"/>
          <w:numId w:val="9"/>
        </w:numPr>
        <w:spacing w:after="0"/>
        <w:ind w:left="1021" w:hanging="1021"/>
        <w:rPr>
          <w:bCs/>
          <w:color w:val="2E74B5" w:themeColor="accent1" w:themeShade="BF"/>
          <w:lang w:val="en-US"/>
        </w:rPr>
      </w:pPr>
      <w:r w:rsidRPr="00B0379B">
        <w:rPr>
          <w:lang w:val="en-US"/>
        </w:rPr>
        <w:t xml:space="preserve">The </w:t>
      </w:r>
      <w:r w:rsidR="00806344" w:rsidRPr="00B0379B">
        <w:rPr>
          <w:lang w:val="en-US"/>
        </w:rPr>
        <w:t>VPA did not submit that you ought await the outcome of the Advisory Committee, or simply</w:t>
      </w:r>
      <w:r w:rsidRPr="00B0379B">
        <w:rPr>
          <w:lang w:val="en-US"/>
        </w:rPr>
        <w:t xml:space="preserve"> “kick the can down the road”. </w:t>
      </w:r>
      <w:r w:rsidR="00806344" w:rsidRPr="00B0379B">
        <w:rPr>
          <w:lang w:val="en-US"/>
        </w:rPr>
        <w:t xml:space="preserve">We accept that the Panel must decide what is appropriate in these Amendments.  However it remains true that a </w:t>
      </w:r>
      <w:r w:rsidRPr="00B0379B">
        <w:rPr>
          <w:lang w:val="en-US"/>
        </w:rPr>
        <w:t>statewide</w:t>
      </w:r>
      <w:r w:rsidR="00806344" w:rsidRPr="00B0379B">
        <w:rPr>
          <w:lang w:val="en-US"/>
        </w:rPr>
        <w:t xml:space="preserve"> approach would be the best way to provide consistency and clarity t</w:t>
      </w:r>
      <w:r w:rsidRPr="00B0379B">
        <w:rPr>
          <w:lang w:val="en-US"/>
        </w:rPr>
        <w:t xml:space="preserve">o what the approach should be. The </w:t>
      </w:r>
      <w:r w:rsidR="00806344" w:rsidRPr="00B0379B">
        <w:rPr>
          <w:lang w:val="en-US"/>
        </w:rPr>
        <w:t xml:space="preserve">VPA doesn’t ask </w:t>
      </w:r>
      <w:r w:rsidR="00A4485F">
        <w:rPr>
          <w:lang w:val="en-US"/>
        </w:rPr>
        <w:t>the Panel</w:t>
      </w:r>
      <w:r w:rsidR="00A4485F" w:rsidRPr="00B0379B">
        <w:rPr>
          <w:lang w:val="en-US"/>
        </w:rPr>
        <w:t xml:space="preserve"> </w:t>
      </w:r>
      <w:r w:rsidR="00806344" w:rsidRPr="00B0379B">
        <w:rPr>
          <w:lang w:val="en-US"/>
        </w:rPr>
        <w:t>not to decide</w:t>
      </w:r>
      <w:r w:rsidR="00A4485F">
        <w:rPr>
          <w:lang w:val="en-US"/>
        </w:rPr>
        <w:t xml:space="preserve"> what is appropriate in this case</w:t>
      </w:r>
      <w:r w:rsidR="00806344" w:rsidRPr="00B0379B">
        <w:rPr>
          <w:lang w:val="en-US"/>
        </w:rPr>
        <w:t xml:space="preserve">.  </w:t>
      </w:r>
      <w:r w:rsidR="00A4485F">
        <w:rPr>
          <w:lang w:val="en-US"/>
        </w:rPr>
        <w:t>Rather t</w:t>
      </w:r>
      <w:r w:rsidR="00A4485F" w:rsidRPr="00B0379B">
        <w:rPr>
          <w:lang w:val="en-US"/>
        </w:rPr>
        <w:t xml:space="preserve">he </w:t>
      </w:r>
      <w:r w:rsidR="00806344" w:rsidRPr="00B0379B">
        <w:rPr>
          <w:lang w:val="en-US"/>
        </w:rPr>
        <w:t xml:space="preserve">VPA asks you to closely consider whether APA have made out their case in support of the permit trigger for retail premises, as a “sensitive use”.   </w:t>
      </w:r>
    </w:p>
    <w:p w14:paraId="0E8AB442" w14:textId="77777777" w:rsidR="00B0379B" w:rsidRPr="00B0379B" w:rsidRDefault="00B0379B" w:rsidP="00AF505E">
      <w:pPr>
        <w:pStyle w:val="ListParagraph"/>
        <w:spacing w:after="0"/>
        <w:rPr>
          <w:lang w:val="en-US"/>
        </w:rPr>
      </w:pPr>
    </w:p>
    <w:p w14:paraId="7DF131AC" w14:textId="77777777" w:rsidR="00B0379B" w:rsidRPr="00B0379B" w:rsidRDefault="00806344" w:rsidP="00736861">
      <w:pPr>
        <w:pStyle w:val="ListParagraph"/>
        <w:numPr>
          <w:ilvl w:val="0"/>
          <w:numId w:val="9"/>
        </w:numPr>
        <w:spacing w:after="0"/>
        <w:ind w:left="1021" w:hanging="1021"/>
        <w:rPr>
          <w:bCs/>
          <w:color w:val="2E74B5" w:themeColor="accent1" w:themeShade="BF"/>
          <w:lang w:val="en-US"/>
        </w:rPr>
      </w:pPr>
      <w:r w:rsidRPr="00B0379B">
        <w:rPr>
          <w:lang w:val="en-US"/>
        </w:rPr>
        <w:t xml:space="preserve">Also, it is not at all surprising that </w:t>
      </w:r>
      <w:r w:rsidR="00803F22" w:rsidRPr="00B0379B">
        <w:rPr>
          <w:lang w:val="en-US"/>
        </w:rPr>
        <w:t xml:space="preserve">the </w:t>
      </w:r>
      <w:r w:rsidRPr="00B0379B">
        <w:rPr>
          <w:lang w:val="en-US"/>
        </w:rPr>
        <w:t xml:space="preserve">VPA and Coles have engaged with APA.  In the circumstances of this amendment, where APA have made a submission, it is simply prudent.  </w:t>
      </w:r>
    </w:p>
    <w:p w14:paraId="3C13B9EC" w14:textId="77777777" w:rsidR="00B0379B" w:rsidRPr="00B0379B" w:rsidRDefault="00B0379B" w:rsidP="00AF505E">
      <w:pPr>
        <w:pStyle w:val="ListParagraph"/>
        <w:spacing w:after="0"/>
        <w:rPr>
          <w:lang w:val="en-US"/>
        </w:rPr>
      </w:pPr>
    </w:p>
    <w:p w14:paraId="16291F82" w14:textId="5B07B8E1" w:rsidR="00B0379B" w:rsidRPr="00B0379B" w:rsidRDefault="00803F22" w:rsidP="00736861">
      <w:pPr>
        <w:pStyle w:val="ListParagraph"/>
        <w:numPr>
          <w:ilvl w:val="0"/>
          <w:numId w:val="9"/>
        </w:numPr>
        <w:spacing w:after="0"/>
        <w:ind w:left="1021" w:hanging="1021"/>
        <w:rPr>
          <w:bCs/>
          <w:color w:val="2E74B5" w:themeColor="accent1" w:themeShade="BF"/>
          <w:lang w:val="en-US"/>
        </w:rPr>
      </w:pPr>
      <w:r w:rsidRPr="00B0379B">
        <w:rPr>
          <w:lang w:val="en-US"/>
        </w:rPr>
        <w:t xml:space="preserve">The </w:t>
      </w:r>
      <w:r w:rsidR="0045044D" w:rsidRPr="00B0379B">
        <w:rPr>
          <w:lang w:val="en-US"/>
        </w:rPr>
        <w:t>VPA submits that it is most helpful to consult with authorities such as APA early</w:t>
      </w:r>
      <w:r w:rsidR="00A4485F">
        <w:rPr>
          <w:lang w:val="en-US"/>
        </w:rPr>
        <w:t xml:space="preserve"> to</w:t>
      </w:r>
      <w:r w:rsidR="0045044D" w:rsidRPr="00B0379B">
        <w:rPr>
          <w:lang w:val="en-US"/>
        </w:rPr>
        <w:t xml:space="preserve">, </w:t>
      </w:r>
      <w:proofErr w:type="spellStart"/>
      <w:r w:rsidR="004066DE" w:rsidRPr="00B0379B">
        <w:rPr>
          <w:lang w:val="en-US"/>
        </w:rPr>
        <w:t>minimi</w:t>
      </w:r>
      <w:r w:rsidR="004066DE">
        <w:rPr>
          <w:lang w:val="en-US"/>
        </w:rPr>
        <w:t>s</w:t>
      </w:r>
      <w:r w:rsidR="004066DE" w:rsidRPr="00B0379B">
        <w:rPr>
          <w:lang w:val="en-US"/>
        </w:rPr>
        <w:t>e</w:t>
      </w:r>
      <w:proofErr w:type="spellEnd"/>
      <w:r w:rsidR="004066DE" w:rsidRPr="00B0379B">
        <w:rPr>
          <w:lang w:val="en-US"/>
        </w:rPr>
        <w:t xml:space="preserve"> </w:t>
      </w:r>
      <w:r w:rsidR="0045044D" w:rsidRPr="00B0379B">
        <w:rPr>
          <w:lang w:val="en-US"/>
        </w:rPr>
        <w:t xml:space="preserve">the risk while weighing up all the planning considerations, and get the strategic planning right. VPA states that it has done this and that therefore there is no further notice required to APA regarding the central question of </w:t>
      </w:r>
      <w:r w:rsidR="00A4485F">
        <w:rPr>
          <w:lang w:val="en-US"/>
        </w:rPr>
        <w:t xml:space="preserve">whether </w:t>
      </w:r>
      <w:r w:rsidR="0045044D" w:rsidRPr="00B0379B">
        <w:rPr>
          <w:lang w:val="en-US"/>
        </w:rPr>
        <w:t>retail use</w:t>
      </w:r>
      <w:r w:rsidR="00A4485F">
        <w:rPr>
          <w:lang w:val="en-US"/>
        </w:rPr>
        <w:t xml:space="preserve"> is appropriate</w:t>
      </w:r>
      <w:r w:rsidR="0045044D" w:rsidRPr="00B0379B">
        <w:rPr>
          <w:lang w:val="en-US"/>
        </w:rPr>
        <w:t>.</w:t>
      </w:r>
    </w:p>
    <w:p w14:paraId="1F715CB8" w14:textId="77777777" w:rsidR="00B0379B" w:rsidRPr="00B0379B" w:rsidRDefault="00B0379B" w:rsidP="00AF505E">
      <w:pPr>
        <w:pStyle w:val="ListParagraph"/>
        <w:spacing w:after="0"/>
        <w:rPr>
          <w:lang w:val="en-AU"/>
        </w:rPr>
      </w:pPr>
    </w:p>
    <w:p w14:paraId="0451634C" w14:textId="6B1005D9" w:rsidR="00B0379B" w:rsidRPr="00B0379B" w:rsidRDefault="00105414" w:rsidP="00736861">
      <w:pPr>
        <w:pStyle w:val="ListParagraph"/>
        <w:numPr>
          <w:ilvl w:val="0"/>
          <w:numId w:val="9"/>
        </w:numPr>
        <w:spacing w:after="0"/>
        <w:ind w:left="1021" w:hanging="1021"/>
        <w:rPr>
          <w:bCs/>
          <w:color w:val="2E74B5" w:themeColor="accent1" w:themeShade="BF"/>
          <w:lang w:val="en-US"/>
        </w:rPr>
      </w:pPr>
      <w:r w:rsidRPr="00B0379B">
        <w:rPr>
          <w:lang w:val="en-AU"/>
        </w:rPr>
        <w:t xml:space="preserve">APA submitted that it would not necessarily approve an application for retail premises within the </w:t>
      </w:r>
      <w:proofErr w:type="spellStart"/>
      <w:r w:rsidRPr="00B0379B">
        <w:rPr>
          <w:lang w:val="en-AU"/>
        </w:rPr>
        <w:t>Kororoit</w:t>
      </w:r>
      <w:proofErr w:type="spellEnd"/>
      <w:r w:rsidRPr="00B0379B">
        <w:rPr>
          <w:lang w:val="en-AU"/>
        </w:rPr>
        <w:t xml:space="preserve"> </w:t>
      </w:r>
      <w:r w:rsidR="00122099">
        <w:rPr>
          <w:lang w:val="en-AU"/>
        </w:rPr>
        <w:t>Local Town Centre (</w:t>
      </w:r>
      <w:r w:rsidRPr="00B0379B">
        <w:rPr>
          <w:lang w:val="en-AU"/>
        </w:rPr>
        <w:t>LTC</w:t>
      </w:r>
      <w:r w:rsidR="00122099">
        <w:rPr>
          <w:lang w:val="en-AU"/>
        </w:rPr>
        <w:t>)</w:t>
      </w:r>
      <w:r w:rsidRPr="00B0379B">
        <w:rPr>
          <w:lang w:val="en-AU"/>
        </w:rPr>
        <w:t xml:space="preserve">.  They further submitted that they had not had the opportunity to say that the LTC should be located outside of the PML. This latter statement is simply incorrect – </w:t>
      </w:r>
      <w:r w:rsidR="00803F22" w:rsidRPr="00B0379B">
        <w:rPr>
          <w:lang w:val="en-AU"/>
        </w:rPr>
        <w:t xml:space="preserve">The </w:t>
      </w:r>
      <w:r w:rsidR="003B19EE" w:rsidRPr="00B0379B">
        <w:rPr>
          <w:lang w:val="en-AU"/>
        </w:rPr>
        <w:t>VPA has been engaging with APA regarding the Future Urban Structure plan. In a more formal sense APA could have submitted at the</w:t>
      </w:r>
      <w:r w:rsidR="000120E6" w:rsidRPr="00B0379B">
        <w:rPr>
          <w:lang w:val="en-AU"/>
        </w:rPr>
        <w:t xml:space="preserve"> PSP public exhibition that the LTC location was not supported, or that retail uses wer</w:t>
      </w:r>
      <w:r w:rsidR="003B19EE" w:rsidRPr="00B0379B">
        <w:rPr>
          <w:lang w:val="en-AU"/>
        </w:rPr>
        <w:t>e not supported, but it did not.</w:t>
      </w:r>
      <w:r w:rsidR="000120E6" w:rsidRPr="00B0379B">
        <w:rPr>
          <w:lang w:val="en-AU"/>
        </w:rPr>
        <w:t xml:space="preserve"> </w:t>
      </w:r>
    </w:p>
    <w:p w14:paraId="5ABA1060" w14:textId="77777777" w:rsidR="00B0379B" w:rsidRPr="00B0379B" w:rsidRDefault="00B0379B" w:rsidP="00AF505E">
      <w:pPr>
        <w:pStyle w:val="ListParagraph"/>
        <w:spacing w:after="0"/>
        <w:rPr>
          <w:lang w:val="en-AU"/>
        </w:rPr>
      </w:pPr>
    </w:p>
    <w:p w14:paraId="434647AF" w14:textId="77777777" w:rsidR="00B0379B" w:rsidRPr="00B0379B" w:rsidRDefault="000120E6" w:rsidP="00736861">
      <w:pPr>
        <w:pStyle w:val="ListParagraph"/>
        <w:numPr>
          <w:ilvl w:val="0"/>
          <w:numId w:val="9"/>
        </w:numPr>
        <w:spacing w:after="0"/>
        <w:ind w:left="1021" w:hanging="1021"/>
        <w:rPr>
          <w:bCs/>
          <w:color w:val="2E74B5" w:themeColor="accent1" w:themeShade="BF"/>
          <w:lang w:val="en-US"/>
        </w:rPr>
      </w:pPr>
      <w:r w:rsidRPr="00B0379B">
        <w:rPr>
          <w:lang w:val="en-AU"/>
        </w:rPr>
        <w:t>As retail is a Section 1 use and the m</w:t>
      </w:r>
      <w:r w:rsidR="000662BE" w:rsidRPr="00B0379B">
        <w:rPr>
          <w:lang w:val="en-AU"/>
        </w:rPr>
        <w:t xml:space="preserve">ain purpose of the applied </w:t>
      </w:r>
      <w:r w:rsidR="003B19EE" w:rsidRPr="00B0379B">
        <w:rPr>
          <w:lang w:val="en-AU"/>
        </w:rPr>
        <w:t>C1Z</w:t>
      </w:r>
      <w:r w:rsidR="000662BE" w:rsidRPr="00B0379B">
        <w:rPr>
          <w:lang w:val="en-AU"/>
        </w:rPr>
        <w:t>,</w:t>
      </w:r>
      <w:r w:rsidRPr="00B0379B">
        <w:rPr>
          <w:lang w:val="en-AU"/>
        </w:rPr>
        <w:t xml:space="preserve"> the strategic planning stage </w:t>
      </w:r>
      <w:r w:rsidR="000662BE" w:rsidRPr="00B0379B">
        <w:rPr>
          <w:lang w:val="en-AU"/>
        </w:rPr>
        <w:t>(i</w:t>
      </w:r>
      <w:r w:rsidR="00A628A7" w:rsidRPr="00B0379B">
        <w:rPr>
          <w:lang w:val="en-AU"/>
        </w:rPr>
        <w:t>.</w:t>
      </w:r>
      <w:r w:rsidR="000662BE" w:rsidRPr="00B0379B">
        <w:rPr>
          <w:lang w:val="en-AU"/>
        </w:rPr>
        <w:t>e</w:t>
      </w:r>
      <w:r w:rsidR="00A628A7" w:rsidRPr="00B0379B">
        <w:rPr>
          <w:lang w:val="en-AU"/>
        </w:rPr>
        <w:t>.</w:t>
      </w:r>
      <w:r w:rsidR="000662BE" w:rsidRPr="00B0379B">
        <w:rPr>
          <w:lang w:val="en-AU"/>
        </w:rPr>
        <w:t xml:space="preserve"> the PSP) </w:t>
      </w:r>
      <w:r w:rsidRPr="00B0379B">
        <w:rPr>
          <w:lang w:val="en-AU"/>
        </w:rPr>
        <w:t>is the most efficient stage at which APA should comment regarding use.</w:t>
      </w:r>
    </w:p>
    <w:p w14:paraId="73CA6DE4" w14:textId="77777777" w:rsidR="00B0379B" w:rsidRPr="00B0379B" w:rsidRDefault="00B0379B" w:rsidP="00AF505E">
      <w:pPr>
        <w:pStyle w:val="ListParagraph"/>
        <w:spacing w:after="0"/>
        <w:rPr>
          <w:lang w:val="en-AU"/>
        </w:rPr>
      </w:pPr>
    </w:p>
    <w:p w14:paraId="3AE14685" w14:textId="53AB83D3" w:rsidR="00B0379B" w:rsidRPr="00B0379B" w:rsidRDefault="000120E6" w:rsidP="00736861">
      <w:pPr>
        <w:pStyle w:val="ListParagraph"/>
        <w:numPr>
          <w:ilvl w:val="0"/>
          <w:numId w:val="9"/>
        </w:numPr>
        <w:spacing w:after="0"/>
        <w:ind w:left="1021" w:hanging="1021"/>
        <w:rPr>
          <w:bCs/>
          <w:color w:val="2E74B5" w:themeColor="accent1" w:themeShade="BF"/>
          <w:lang w:val="en-US"/>
        </w:rPr>
      </w:pPr>
      <w:r w:rsidRPr="00B0379B">
        <w:rPr>
          <w:lang w:val="en-AU"/>
        </w:rPr>
        <w:t>Further, t</w:t>
      </w:r>
      <w:r w:rsidR="00105414" w:rsidRPr="00B0379B">
        <w:rPr>
          <w:lang w:val="en-AU"/>
        </w:rPr>
        <w:t>he SMS was undertaken on the draft F</w:t>
      </w:r>
      <w:r w:rsidR="00122099">
        <w:rPr>
          <w:lang w:val="en-AU"/>
        </w:rPr>
        <w:t>uture Urban Structure Plan</w:t>
      </w:r>
      <w:r w:rsidR="00105414" w:rsidRPr="00B0379B">
        <w:rPr>
          <w:lang w:val="en-AU"/>
        </w:rPr>
        <w:t xml:space="preserve">, such that changes could be made if </w:t>
      </w:r>
      <w:r w:rsidRPr="00B0379B">
        <w:rPr>
          <w:lang w:val="en-AU"/>
        </w:rPr>
        <w:t xml:space="preserve">major risks </w:t>
      </w:r>
      <w:r w:rsidR="00105414" w:rsidRPr="00B0379B">
        <w:rPr>
          <w:lang w:val="en-AU"/>
        </w:rPr>
        <w:t xml:space="preserve">were identified.  </w:t>
      </w:r>
      <w:r w:rsidRPr="00B0379B">
        <w:rPr>
          <w:lang w:val="en-AU"/>
        </w:rPr>
        <w:t xml:space="preserve">They were not. </w:t>
      </w:r>
      <w:r w:rsidR="000E193F" w:rsidRPr="00B0379B">
        <w:rPr>
          <w:lang w:val="en-AU"/>
        </w:rPr>
        <w:t>The SMS did not list as an action to move the retail use out of the PML.</w:t>
      </w:r>
    </w:p>
    <w:p w14:paraId="1A89BF13" w14:textId="77777777" w:rsidR="00B0379B" w:rsidRPr="00B0379B" w:rsidRDefault="00B0379B" w:rsidP="00AF505E">
      <w:pPr>
        <w:pStyle w:val="ListParagraph"/>
        <w:spacing w:after="0"/>
        <w:rPr>
          <w:lang w:val="en-AU"/>
        </w:rPr>
      </w:pPr>
    </w:p>
    <w:p w14:paraId="3772D7D0" w14:textId="3BE5BBF8" w:rsidR="00B0379B" w:rsidRPr="00B0379B" w:rsidRDefault="00105414" w:rsidP="00736861">
      <w:pPr>
        <w:pStyle w:val="ListParagraph"/>
        <w:numPr>
          <w:ilvl w:val="0"/>
          <w:numId w:val="9"/>
        </w:numPr>
        <w:spacing w:after="0"/>
        <w:ind w:left="1021" w:hanging="1021"/>
        <w:rPr>
          <w:bCs/>
          <w:color w:val="2E74B5" w:themeColor="accent1" w:themeShade="BF"/>
          <w:lang w:val="en-US"/>
        </w:rPr>
      </w:pPr>
      <w:r w:rsidRPr="00A73931">
        <w:rPr>
          <w:lang w:val="en-AU"/>
        </w:rPr>
        <w:t xml:space="preserve">That APA now says it might seek to prohibit an application is of concern to </w:t>
      </w:r>
      <w:r w:rsidR="00803F22" w:rsidRPr="00B0379B">
        <w:rPr>
          <w:lang w:val="en-AU"/>
        </w:rPr>
        <w:t xml:space="preserve">the </w:t>
      </w:r>
      <w:r w:rsidRPr="00A73931">
        <w:rPr>
          <w:lang w:val="en-AU"/>
        </w:rPr>
        <w:t>VPA</w:t>
      </w:r>
      <w:r w:rsidR="002B7C34" w:rsidRPr="00B0379B">
        <w:rPr>
          <w:lang w:val="en-AU"/>
        </w:rPr>
        <w:t xml:space="preserve"> especially given the chosen zoning applied to areas is done so in order to realise the future urban structure of the precincts</w:t>
      </w:r>
      <w:r w:rsidRPr="00B0379B">
        <w:rPr>
          <w:lang w:val="en-AU"/>
        </w:rPr>
        <w:t xml:space="preserve">. </w:t>
      </w:r>
    </w:p>
    <w:p w14:paraId="39CFCE5B" w14:textId="77777777" w:rsidR="00B0379B" w:rsidRPr="00B0379B" w:rsidRDefault="00B0379B" w:rsidP="00AF505E">
      <w:pPr>
        <w:pStyle w:val="ListParagraph"/>
        <w:spacing w:after="0"/>
        <w:rPr>
          <w:bCs/>
          <w:color w:val="2E74B5" w:themeColor="accent1" w:themeShade="BF"/>
          <w:lang w:val="en-US"/>
        </w:rPr>
      </w:pPr>
    </w:p>
    <w:p w14:paraId="140F850B" w14:textId="77777777" w:rsidR="00CC498E" w:rsidRDefault="00803F22" w:rsidP="00736861">
      <w:pPr>
        <w:pStyle w:val="ListParagraph"/>
        <w:numPr>
          <w:ilvl w:val="0"/>
          <w:numId w:val="9"/>
        </w:numPr>
        <w:spacing w:after="0"/>
        <w:ind w:left="1021" w:hanging="1021"/>
        <w:rPr>
          <w:bCs/>
          <w:lang w:val="en-US"/>
        </w:rPr>
      </w:pPr>
      <w:r w:rsidRPr="00D20334">
        <w:rPr>
          <w:bCs/>
          <w:lang w:val="en-US"/>
        </w:rPr>
        <w:lastRenderedPageBreak/>
        <w:t xml:space="preserve">The </w:t>
      </w:r>
      <w:r w:rsidR="007D4CF9" w:rsidRPr="00D20334">
        <w:rPr>
          <w:bCs/>
          <w:lang w:val="en-US"/>
        </w:rPr>
        <w:t>VPA notes the Panel’s question to APA, to provide the form of wording of recommendations that APA might seek in respect of it being made a referral authority; and/or there being a State</w:t>
      </w:r>
      <w:r w:rsidR="00B721A2" w:rsidRPr="00D20334">
        <w:rPr>
          <w:bCs/>
          <w:lang w:val="en-US"/>
        </w:rPr>
        <w:t>-</w:t>
      </w:r>
      <w:r w:rsidR="007D4CF9" w:rsidRPr="00D20334">
        <w:rPr>
          <w:bCs/>
          <w:lang w:val="en-US"/>
        </w:rPr>
        <w:t>wide Overlay added which provides notice to APA. The VPA submits that the Panel ought</w:t>
      </w:r>
      <w:r w:rsidRPr="00D20334">
        <w:rPr>
          <w:bCs/>
          <w:lang w:val="en-US"/>
        </w:rPr>
        <w:t xml:space="preserve"> to</w:t>
      </w:r>
      <w:r w:rsidR="007D4CF9" w:rsidRPr="00D20334">
        <w:rPr>
          <w:bCs/>
          <w:lang w:val="en-US"/>
        </w:rPr>
        <w:t xml:space="preserve"> be cautious before making any recommendations that seek to go bey</w:t>
      </w:r>
      <w:r w:rsidR="00B721A2" w:rsidRPr="00D20334">
        <w:rPr>
          <w:bCs/>
          <w:lang w:val="en-US"/>
        </w:rPr>
        <w:t>ond the Amendments at hand</w:t>
      </w:r>
      <w:r w:rsidR="002B7C34" w:rsidRPr="00D20334">
        <w:rPr>
          <w:bCs/>
          <w:lang w:val="en-US"/>
        </w:rPr>
        <w:t xml:space="preserve"> particularly given there is currently an advisory committee convened to advise specifically on this issue.  </w:t>
      </w:r>
    </w:p>
    <w:p w14:paraId="021F47CC" w14:textId="77777777" w:rsidR="00CC498E" w:rsidRPr="00CC498E" w:rsidRDefault="00CC498E" w:rsidP="0073197B">
      <w:pPr>
        <w:pStyle w:val="ListParagraph"/>
        <w:rPr>
          <w:bCs/>
          <w:lang w:val="en-US"/>
        </w:rPr>
      </w:pPr>
    </w:p>
    <w:p w14:paraId="3C8F9967" w14:textId="77777777" w:rsidR="00803F22" w:rsidRPr="00D20334" w:rsidRDefault="00803F22" w:rsidP="00AF505E">
      <w:pPr>
        <w:pStyle w:val="ListParagraph"/>
        <w:spacing w:after="0"/>
        <w:ind w:left="1021"/>
        <w:rPr>
          <w:bCs/>
          <w:lang w:val="en-US"/>
        </w:rPr>
      </w:pPr>
    </w:p>
    <w:p w14:paraId="743C13BD" w14:textId="293786A5" w:rsidR="00A16820" w:rsidRPr="00D20334" w:rsidRDefault="00D82553" w:rsidP="00736861">
      <w:pPr>
        <w:pStyle w:val="ListParagraph"/>
        <w:numPr>
          <w:ilvl w:val="0"/>
          <w:numId w:val="9"/>
        </w:numPr>
        <w:spacing w:after="0"/>
        <w:ind w:left="1021" w:hanging="1021"/>
        <w:rPr>
          <w:bCs/>
          <w:lang w:val="en-US"/>
        </w:rPr>
      </w:pPr>
      <w:r w:rsidRPr="00D20334">
        <w:rPr>
          <w:bCs/>
          <w:lang w:val="en-US"/>
        </w:rPr>
        <w:t xml:space="preserve">In planning these precincts the VPA has not ignored the risk presented by pipelines. The VPA submits that is has appropriately planned these PSP’s and tailored the Schedules to the UGZ in response to the SMS therefore requests the Panel recommend in </w:t>
      </w:r>
      <w:proofErr w:type="spellStart"/>
      <w:r w:rsidRPr="00D20334">
        <w:rPr>
          <w:bCs/>
          <w:lang w:val="en-US"/>
        </w:rPr>
        <w:t>favour</w:t>
      </w:r>
      <w:proofErr w:type="spellEnd"/>
      <w:r w:rsidRPr="00D20334">
        <w:rPr>
          <w:bCs/>
          <w:lang w:val="en-US"/>
        </w:rPr>
        <w:t xml:space="preserve"> of the provisions put forward by the VPA. </w:t>
      </w:r>
    </w:p>
    <w:p w14:paraId="3FCE2376" w14:textId="77777777" w:rsidR="008E6E8C" w:rsidRPr="00D20334" w:rsidRDefault="008E6E8C" w:rsidP="00AF505E">
      <w:pPr>
        <w:pStyle w:val="Heading2"/>
        <w:rPr>
          <w:sz w:val="22"/>
          <w:szCs w:val="22"/>
          <w:lang w:val="en-AU"/>
        </w:rPr>
      </w:pPr>
    </w:p>
    <w:p w14:paraId="601D7715" w14:textId="7D962DF7" w:rsidR="00980B3E" w:rsidRPr="00803F22" w:rsidRDefault="009E6769" w:rsidP="00AF505E">
      <w:pPr>
        <w:pStyle w:val="Heading2"/>
      </w:pPr>
      <w:bookmarkStart w:id="16" w:name="_Toc469573652"/>
      <w:r>
        <w:t xml:space="preserve">3.2 </w:t>
      </w:r>
      <w:r w:rsidR="000479CB" w:rsidRPr="00803F22">
        <w:t>Residential zones</w:t>
      </w:r>
      <w:r w:rsidR="00980B3E" w:rsidRPr="00803F22">
        <w:t xml:space="preserve"> and densities</w:t>
      </w:r>
      <w:bookmarkEnd w:id="16"/>
      <w:r w:rsidR="00980B3E" w:rsidRPr="00803F22">
        <w:t xml:space="preserve"> </w:t>
      </w:r>
    </w:p>
    <w:p w14:paraId="656E584A" w14:textId="77777777" w:rsidR="00980B3E" w:rsidRPr="00D20334" w:rsidRDefault="00980B3E" w:rsidP="00736861">
      <w:pPr>
        <w:pStyle w:val="ListParagraph"/>
        <w:numPr>
          <w:ilvl w:val="0"/>
          <w:numId w:val="9"/>
        </w:numPr>
        <w:spacing w:after="0"/>
        <w:ind w:left="1021" w:hanging="1021"/>
        <w:rPr>
          <w:bCs/>
          <w:lang w:val="en-US"/>
        </w:rPr>
      </w:pPr>
      <w:r w:rsidRPr="00D20334">
        <w:rPr>
          <w:bCs/>
          <w:lang w:val="en-US"/>
        </w:rPr>
        <w:t xml:space="preserve">A number of submissions were made to the Panel in relation to residential zonings and densities. </w:t>
      </w:r>
    </w:p>
    <w:p w14:paraId="553DEBCB" w14:textId="77777777" w:rsidR="00980B3E" w:rsidRPr="00D20334" w:rsidRDefault="00980B3E" w:rsidP="00AF505E">
      <w:pPr>
        <w:pStyle w:val="ListParagraph"/>
        <w:spacing w:after="0"/>
        <w:ind w:left="1021"/>
        <w:rPr>
          <w:bCs/>
          <w:lang w:val="en-US"/>
        </w:rPr>
      </w:pPr>
    </w:p>
    <w:p w14:paraId="66DD81D5" w14:textId="6C8173E0" w:rsidR="00776EAB" w:rsidRPr="00D20334" w:rsidRDefault="00776EAB" w:rsidP="00736861">
      <w:pPr>
        <w:pStyle w:val="ListParagraph"/>
        <w:numPr>
          <w:ilvl w:val="0"/>
          <w:numId w:val="9"/>
        </w:numPr>
        <w:spacing w:after="0"/>
        <w:ind w:left="1021" w:hanging="1021"/>
        <w:rPr>
          <w:bCs/>
          <w:lang w:val="en-US"/>
        </w:rPr>
      </w:pPr>
      <w:r w:rsidRPr="00D20334">
        <w:rPr>
          <w:bCs/>
          <w:lang w:val="en-US"/>
        </w:rPr>
        <w:t xml:space="preserve">The </w:t>
      </w:r>
      <w:r w:rsidR="00980B3E" w:rsidRPr="00D20334">
        <w:rPr>
          <w:bCs/>
          <w:lang w:val="en-US"/>
        </w:rPr>
        <w:t>VPA continues to submit that its proposed zones and densities, as set out in the Part A and B submission, are appropriate</w:t>
      </w:r>
      <w:r w:rsidR="00784A1F">
        <w:rPr>
          <w:bCs/>
          <w:lang w:val="en-US"/>
        </w:rPr>
        <w:t xml:space="preserve"> we note receipt of a letter from DEDJTR related to supporting VPA’s approach in the </w:t>
      </w:r>
      <w:proofErr w:type="spellStart"/>
      <w:r w:rsidR="00784A1F">
        <w:rPr>
          <w:bCs/>
          <w:lang w:val="en-US"/>
        </w:rPr>
        <w:t>Plumpton</w:t>
      </w:r>
      <w:proofErr w:type="spellEnd"/>
      <w:r w:rsidR="00784A1F">
        <w:rPr>
          <w:bCs/>
          <w:lang w:val="en-US"/>
        </w:rPr>
        <w:t xml:space="preserve"> and </w:t>
      </w:r>
      <w:proofErr w:type="spellStart"/>
      <w:r w:rsidR="00784A1F">
        <w:rPr>
          <w:bCs/>
          <w:lang w:val="en-US"/>
        </w:rPr>
        <w:t>Kororoit</w:t>
      </w:r>
      <w:proofErr w:type="spellEnd"/>
      <w:r w:rsidR="00784A1F">
        <w:rPr>
          <w:bCs/>
          <w:lang w:val="en-US"/>
        </w:rPr>
        <w:t xml:space="preserve"> PSP’s. (See Appendix 13)</w:t>
      </w:r>
      <w:r w:rsidR="00980B3E" w:rsidRPr="00D20334">
        <w:rPr>
          <w:bCs/>
          <w:lang w:val="en-US"/>
        </w:rPr>
        <w:t xml:space="preserve"> </w:t>
      </w:r>
    </w:p>
    <w:p w14:paraId="2AF78D6E" w14:textId="77777777" w:rsidR="00776EAB" w:rsidRPr="00776EAB" w:rsidRDefault="00776EAB" w:rsidP="00AF505E">
      <w:pPr>
        <w:pStyle w:val="ListParagraph"/>
        <w:spacing w:after="0"/>
        <w:rPr>
          <w:lang w:val="en-AU"/>
        </w:rPr>
      </w:pPr>
    </w:p>
    <w:p w14:paraId="4757E736" w14:textId="77777777" w:rsidR="00776EAB" w:rsidRPr="00776EAB" w:rsidRDefault="00776EAB" w:rsidP="00736861">
      <w:pPr>
        <w:pStyle w:val="ListParagraph"/>
        <w:numPr>
          <w:ilvl w:val="0"/>
          <w:numId w:val="9"/>
        </w:numPr>
        <w:spacing w:after="0"/>
        <w:ind w:left="1021" w:hanging="1021"/>
        <w:rPr>
          <w:bCs/>
          <w:color w:val="2E74B5" w:themeColor="accent1" w:themeShade="BF"/>
          <w:lang w:val="en-US"/>
        </w:rPr>
      </w:pPr>
      <w:r>
        <w:rPr>
          <w:lang w:val="en-AU"/>
        </w:rPr>
        <w:t xml:space="preserve">The </w:t>
      </w:r>
      <w:r w:rsidR="00980B3E" w:rsidRPr="00776EAB">
        <w:rPr>
          <w:lang w:val="en-AU"/>
        </w:rPr>
        <w:t>VPA makes the following further submissions in relation to specific issues raised.</w:t>
      </w:r>
    </w:p>
    <w:p w14:paraId="51E990D6" w14:textId="77777777" w:rsidR="00776EAB" w:rsidRPr="00776EAB" w:rsidRDefault="00776EAB" w:rsidP="00AF505E">
      <w:pPr>
        <w:pStyle w:val="ListParagraph"/>
        <w:spacing w:after="0"/>
        <w:rPr>
          <w:lang w:val="en-AU"/>
        </w:rPr>
      </w:pPr>
    </w:p>
    <w:p w14:paraId="3DC9330C" w14:textId="7CD8551C" w:rsidR="00776EAB" w:rsidRPr="00776EAB" w:rsidRDefault="00776EAB" w:rsidP="00736861">
      <w:pPr>
        <w:pStyle w:val="ListParagraph"/>
        <w:numPr>
          <w:ilvl w:val="0"/>
          <w:numId w:val="9"/>
        </w:numPr>
        <w:spacing w:after="0"/>
        <w:ind w:left="1021" w:hanging="1021"/>
        <w:rPr>
          <w:bCs/>
          <w:color w:val="2E74B5" w:themeColor="accent1" w:themeShade="BF"/>
          <w:lang w:val="en-US"/>
        </w:rPr>
      </w:pPr>
      <w:r>
        <w:rPr>
          <w:lang w:val="en-AU"/>
        </w:rPr>
        <w:t xml:space="preserve">The </w:t>
      </w:r>
      <w:r w:rsidR="00693BC3" w:rsidRPr="00776EAB">
        <w:rPr>
          <w:lang w:val="en-AU"/>
        </w:rPr>
        <w:t>VPA maintains that it is appropriate to employ the</w:t>
      </w:r>
      <w:r w:rsidR="005E0B00">
        <w:rPr>
          <w:lang w:val="en-AU"/>
        </w:rPr>
        <w:t xml:space="preserve"> Residential Growth Zone</w:t>
      </w:r>
      <w:r w:rsidR="00693BC3" w:rsidRPr="00776EAB">
        <w:rPr>
          <w:lang w:val="en-AU"/>
        </w:rPr>
        <w:t xml:space="preserve"> </w:t>
      </w:r>
      <w:r w:rsidR="005E0B00">
        <w:rPr>
          <w:lang w:val="en-AU"/>
        </w:rPr>
        <w:t>(</w:t>
      </w:r>
      <w:r w:rsidR="00693BC3" w:rsidRPr="00776EAB">
        <w:rPr>
          <w:lang w:val="en-AU"/>
        </w:rPr>
        <w:t>RGZ</w:t>
      </w:r>
      <w:r w:rsidR="005E0B00">
        <w:rPr>
          <w:lang w:val="en-AU"/>
        </w:rPr>
        <w:t>)</w:t>
      </w:r>
      <w:r w:rsidR="00693BC3" w:rsidRPr="00776EAB">
        <w:rPr>
          <w:lang w:val="en-AU"/>
        </w:rPr>
        <w:t xml:space="preserve"> in the areas identified in the Part A plans. These are the areas which are appropriate for the future highest densities in these PSP areas.  As described by ID Land’s representative, </w:t>
      </w:r>
      <w:r w:rsidR="0010334E" w:rsidRPr="00776EAB">
        <w:rPr>
          <w:lang w:val="en-AU"/>
        </w:rPr>
        <w:t xml:space="preserve">developable land in </w:t>
      </w:r>
      <w:r w:rsidR="00693BC3" w:rsidRPr="00776EAB">
        <w:rPr>
          <w:lang w:val="en-AU"/>
        </w:rPr>
        <w:t xml:space="preserve">these growth areas </w:t>
      </w:r>
      <w:r w:rsidR="0010334E" w:rsidRPr="00776EAB">
        <w:rPr>
          <w:lang w:val="en-AU"/>
        </w:rPr>
        <w:t xml:space="preserve">is </w:t>
      </w:r>
      <w:r w:rsidR="00693BC3" w:rsidRPr="00776EAB">
        <w:rPr>
          <w:lang w:val="en-AU"/>
        </w:rPr>
        <w:t>a “precious jewel”, and should not be wasted by under-zoning of the land.</w:t>
      </w:r>
      <w:r w:rsidR="00D4673A" w:rsidRPr="00776EAB">
        <w:rPr>
          <w:lang w:val="en-AU"/>
        </w:rPr>
        <w:t xml:space="preserve">  The RGZ sets appropriate expectations to enable future continued densification of RGZ land. </w:t>
      </w:r>
      <w:r w:rsidR="00693BC3" w:rsidRPr="00776EAB">
        <w:rPr>
          <w:lang w:val="en-AU"/>
        </w:rPr>
        <w:t xml:space="preserve"> </w:t>
      </w:r>
    </w:p>
    <w:p w14:paraId="350CE1D3" w14:textId="77777777" w:rsidR="00776EAB" w:rsidRPr="00776EAB" w:rsidRDefault="00776EAB" w:rsidP="00AF505E">
      <w:pPr>
        <w:pStyle w:val="ListParagraph"/>
        <w:spacing w:after="0"/>
        <w:rPr>
          <w:lang w:val="en-AU"/>
        </w:rPr>
      </w:pPr>
    </w:p>
    <w:p w14:paraId="25074D97" w14:textId="77777777" w:rsidR="00776EAB" w:rsidRPr="00776EAB" w:rsidRDefault="00776EAB" w:rsidP="00736861">
      <w:pPr>
        <w:pStyle w:val="ListParagraph"/>
        <w:numPr>
          <w:ilvl w:val="0"/>
          <w:numId w:val="9"/>
        </w:numPr>
        <w:spacing w:after="0"/>
        <w:ind w:left="1021" w:hanging="1021"/>
        <w:rPr>
          <w:bCs/>
          <w:color w:val="2E74B5" w:themeColor="accent1" w:themeShade="BF"/>
          <w:lang w:val="en-US"/>
        </w:rPr>
      </w:pPr>
      <w:r>
        <w:rPr>
          <w:lang w:val="en-AU"/>
        </w:rPr>
        <w:t xml:space="preserve">The </w:t>
      </w:r>
      <w:r w:rsidR="00693BC3" w:rsidRPr="00776EAB">
        <w:rPr>
          <w:lang w:val="en-AU"/>
        </w:rPr>
        <w:t>VPA maintains that the 20 dwellings per NDH i</w:t>
      </w:r>
      <w:r w:rsidR="00D4673A" w:rsidRPr="00776EAB">
        <w:rPr>
          <w:lang w:val="en-AU"/>
        </w:rPr>
        <w:t>n the RGZ is appropriate in the context of this case.  Importantly, t</w:t>
      </w:r>
      <w:r w:rsidR="00693BC3" w:rsidRPr="00776EAB">
        <w:rPr>
          <w:lang w:val="en-AU"/>
        </w:rPr>
        <w:t xml:space="preserve">he figure is a </w:t>
      </w:r>
      <w:r w:rsidR="00693BC3" w:rsidRPr="00776EAB">
        <w:rPr>
          <w:i/>
          <w:lang w:val="en-AU"/>
        </w:rPr>
        <w:t xml:space="preserve">minimum.  </w:t>
      </w:r>
      <w:r w:rsidR="00D4673A" w:rsidRPr="00776EAB">
        <w:rPr>
          <w:lang w:val="en-AU"/>
        </w:rPr>
        <w:t>Note that the evidence of some submitters considered 25 dwellings was an appropriate target (Battaglia, Woodland), whereas others considered this might be difficult to achieve or was too restrictive (</w:t>
      </w:r>
      <w:proofErr w:type="spellStart"/>
      <w:r w:rsidR="00D4673A" w:rsidRPr="00776EAB">
        <w:rPr>
          <w:lang w:val="en-AU"/>
        </w:rPr>
        <w:t>Lancanshire</w:t>
      </w:r>
      <w:proofErr w:type="spellEnd"/>
      <w:r w:rsidR="00D4673A" w:rsidRPr="00776EAB">
        <w:rPr>
          <w:lang w:val="en-AU"/>
        </w:rPr>
        <w:t xml:space="preserve">, </w:t>
      </w:r>
      <w:proofErr w:type="spellStart"/>
      <w:r w:rsidR="00D4673A" w:rsidRPr="00776EAB">
        <w:rPr>
          <w:lang w:val="en-AU"/>
        </w:rPr>
        <w:t>Lawport</w:t>
      </w:r>
      <w:proofErr w:type="spellEnd"/>
      <w:r w:rsidR="00D4673A" w:rsidRPr="00776EAB">
        <w:rPr>
          <w:lang w:val="en-AU"/>
        </w:rPr>
        <w:t xml:space="preserve"> and ID Land).  </w:t>
      </w:r>
      <w:r>
        <w:rPr>
          <w:lang w:val="en-AU"/>
        </w:rPr>
        <w:t xml:space="preserve">The </w:t>
      </w:r>
      <w:r w:rsidR="00D4673A" w:rsidRPr="00776EAB">
        <w:rPr>
          <w:lang w:val="en-AU"/>
        </w:rPr>
        <w:t xml:space="preserve">VPA submits that this range of views around that figure demonstrate that in fact the proposal for 20 dwellings is a reasonable requirement, particularly for land within a 5-10 minute walk of amenities.  </w:t>
      </w:r>
    </w:p>
    <w:p w14:paraId="22096460" w14:textId="77777777" w:rsidR="00776EAB" w:rsidRPr="00776EAB" w:rsidRDefault="00776EAB" w:rsidP="00AF505E">
      <w:pPr>
        <w:pStyle w:val="ListParagraph"/>
        <w:spacing w:after="0"/>
        <w:rPr>
          <w:lang w:val="en-AU"/>
        </w:rPr>
      </w:pPr>
    </w:p>
    <w:p w14:paraId="7B0048BD" w14:textId="124600B8" w:rsidR="00D4673A" w:rsidRPr="00776EAB" w:rsidRDefault="00776EAB" w:rsidP="00736861">
      <w:pPr>
        <w:pStyle w:val="ListParagraph"/>
        <w:numPr>
          <w:ilvl w:val="0"/>
          <w:numId w:val="9"/>
        </w:numPr>
        <w:spacing w:after="0"/>
        <w:ind w:left="1021" w:hanging="1021"/>
        <w:rPr>
          <w:bCs/>
          <w:color w:val="2E74B5" w:themeColor="accent1" w:themeShade="BF"/>
          <w:lang w:val="en-US"/>
        </w:rPr>
      </w:pPr>
      <w:r w:rsidRPr="00776EAB">
        <w:rPr>
          <w:lang w:val="en-AU"/>
        </w:rPr>
        <w:t xml:space="preserve">The </w:t>
      </w:r>
      <w:r w:rsidR="00D4673A" w:rsidRPr="00776EAB">
        <w:rPr>
          <w:lang w:val="en-AU"/>
        </w:rPr>
        <w:t xml:space="preserve">VPA also notes (including in response to submissions from </w:t>
      </w:r>
      <w:proofErr w:type="spellStart"/>
      <w:r w:rsidR="00D4673A" w:rsidRPr="00776EAB">
        <w:rPr>
          <w:lang w:val="en-AU"/>
        </w:rPr>
        <w:t>Lawport</w:t>
      </w:r>
      <w:proofErr w:type="spellEnd"/>
      <w:r w:rsidR="00D4673A" w:rsidRPr="00776EAB">
        <w:rPr>
          <w:lang w:val="en-AU"/>
        </w:rPr>
        <w:t xml:space="preserve">, ID Land and </w:t>
      </w:r>
      <w:proofErr w:type="spellStart"/>
      <w:r w:rsidR="00D4673A" w:rsidRPr="00776EAB">
        <w:rPr>
          <w:lang w:val="en-AU"/>
        </w:rPr>
        <w:t>Mondous</w:t>
      </w:r>
      <w:proofErr w:type="spellEnd"/>
      <w:r w:rsidR="00D4673A" w:rsidRPr="00776EAB">
        <w:rPr>
          <w:lang w:val="en-AU"/>
        </w:rPr>
        <w:t>) that the 20 dwellings is an average minimum, which does not require uniform delivery across a site.  There is the possibility to set aside super-lots for development later when the market has matured</w:t>
      </w:r>
      <w:r w:rsidR="00CD01B0" w:rsidRPr="00776EAB">
        <w:rPr>
          <w:lang w:val="en-AU"/>
        </w:rPr>
        <w:t xml:space="preserve"> (refer updated R13 </w:t>
      </w:r>
      <w:proofErr w:type="spellStart"/>
      <w:r w:rsidR="00CD01B0" w:rsidRPr="00776EAB">
        <w:rPr>
          <w:lang w:val="en-AU"/>
        </w:rPr>
        <w:t>Kororoit</w:t>
      </w:r>
      <w:proofErr w:type="spellEnd"/>
      <w:r w:rsidR="00CD01B0" w:rsidRPr="00776EAB">
        <w:rPr>
          <w:lang w:val="en-AU"/>
        </w:rPr>
        <w:t xml:space="preserve"> in VPA Part A: </w:t>
      </w:r>
      <w:r w:rsidR="00CD01B0" w:rsidRPr="005E0B00">
        <w:rPr>
          <w:i/>
          <w:lang w:val="en-AU"/>
        </w:rPr>
        <w:t>“… Where a subdivision proposal represents a single stage or limited number of stages, proponents should demonstrate how the subdivision will contribute to the eventual satisfaction of this guideline through further stages of development.”</w:t>
      </w:r>
      <w:r w:rsidR="00CD01B0" w:rsidRPr="00776EAB">
        <w:rPr>
          <w:lang w:val="en-AU"/>
        </w:rPr>
        <w:t>)</w:t>
      </w:r>
      <w:r w:rsidR="00D4673A" w:rsidRPr="00776EAB">
        <w:rPr>
          <w:lang w:val="en-AU"/>
        </w:rPr>
        <w:t xml:space="preserve"> </w:t>
      </w:r>
      <w:r w:rsidR="005E0B00">
        <w:rPr>
          <w:lang w:val="en-AU"/>
        </w:rPr>
        <w:t xml:space="preserve">The </w:t>
      </w:r>
      <w:r w:rsidR="00D4673A" w:rsidRPr="00776EAB">
        <w:rPr>
          <w:lang w:val="en-AU"/>
        </w:rPr>
        <w:t xml:space="preserve">VPA encourages diversity of housing product and expects some parts of these areas to be delivered at lower densities, and some at significantly higher densities.  </w:t>
      </w:r>
    </w:p>
    <w:p w14:paraId="54F3825B" w14:textId="77777777" w:rsidR="00D4673A" w:rsidRPr="0000098E" w:rsidRDefault="00D4673A" w:rsidP="00AF505E">
      <w:pPr>
        <w:pStyle w:val="ListParagraph"/>
        <w:spacing w:after="0"/>
        <w:ind w:left="1440"/>
        <w:rPr>
          <w:lang w:val="en-AU"/>
        </w:rPr>
      </w:pPr>
    </w:p>
    <w:p w14:paraId="4043D28A" w14:textId="5AC2A734" w:rsidR="00776EAB" w:rsidRDefault="00776EAB" w:rsidP="00736861">
      <w:pPr>
        <w:pStyle w:val="ListParagraph"/>
        <w:numPr>
          <w:ilvl w:val="0"/>
          <w:numId w:val="9"/>
        </w:numPr>
        <w:spacing w:after="0"/>
        <w:ind w:left="1021" w:hanging="1021"/>
        <w:rPr>
          <w:lang w:val="en-AU"/>
        </w:rPr>
      </w:pPr>
      <w:r>
        <w:rPr>
          <w:lang w:val="en-AU"/>
        </w:rPr>
        <w:t xml:space="preserve">The </w:t>
      </w:r>
      <w:r w:rsidR="00693BC3">
        <w:rPr>
          <w:lang w:val="en-AU"/>
        </w:rPr>
        <w:t xml:space="preserve">VPA maintains that the 800m distance from the </w:t>
      </w:r>
      <w:r w:rsidR="00122099">
        <w:rPr>
          <w:lang w:val="en-AU"/>
        </w:rPr>
        <w:t>Plumpton Major Town Centre (</w:t>
      </w:r>
      <w:r w:rsidR="00693BC3">
        <w:rPr>
          <w:lang w:val="en-AU"/>
        </w:rPr>
        <w:t>MTC</w:t>
      </w:r>
      <w:r w:rsidR="00122099">
        <w:rPr>
          <w:lang w:val="en-AU"/>
        </w:rPr>
        <w:t>)</w:t>
      </w:r>
      <w:r w:rsidR="00693BC3">
        <w:rPr>
          <w:lang w:val="en-AU"/>
        </w:rPr>
        <w:t xml:space="preserve"> is appropriate.</w:t>
      </w:r>
      <w:r w:rsidR="00A35619">
        <w:rPr>
          <w:lang w:val="en-AU"/>
        </w:rPr>
        <w:t xml:space="preserve">  It ought be observed that most of the witnesses in this hearing consider 800m to be a walkable distance</w:t>
      </w:r>
      <w:r w:rsidR="00EC4C63">
        <w:rPr>
          <w:lang w:val="en-AU"/>
        </w:rPr>
        <w:t xml:space="preserve"> – for example Mr Woodland expressly said this, as did Mr Day</w:t>
      </w:r>
      <w:r w:rsidR="00A35619">
        <w:rPr>
          <w:lang w:val="en-AU"/>
        </w:rPr>
        <w:t xml:space="preserve">.  </w:t>
      </w:r>
      <w:r w:rsidR="00693BC3">
        <w:rPr>
          <w:lang w:val="en-AU"/>
        </w:rPr>
        <w:t xml:space="preserve"> </w:t>
      </w:r>
    </w:p>
    <w:p w14:paraId="256392C0" w14:textId="77777777" w:rsidR="00776EAB" w:rsidRDefault="00776EAB" w:rsidP="00AF505E">
      <w:pPr>
        <w:pStyle w:val="ListParagraph"/>
        <w:spacing w:after="0"/>
        <w:ind w:left="1021"/>
        <w:rPr>
          <w:lang w:val="en-AU"/>
        </w:rPr>
      </w:pPr>
    </w:p>
    <w:p w14:paraId="5054DE56" w14:textId="3A6001FE" w:rsidR="00776EAB" w:rsidRPr="00776EAB" w:rsidRDefault="006C6928" w:rsidP="00736861">
      <w:pPr>
        <w:pStyle w:val="ListParagraph"/>
        <w:numPr>
          <w:ilvl w:val="0"/>
          <w:numId w:val="9"/>
        </w:numPr>
        <w:spacing w:after="0"/>
        <w:ind w:left="1021" w:hanging="1021"/>
        <w:rPr>
          <w:lang w:val="en-AU"/>
        </w:rPr>
      </w:pPr>
      <w:r w:rsidRPr="00776EAB">
        <w:rPr>
          <w:lang w:val="en-US"/>
        </w:rPr>
        <w:t xml:space="preserve">Council refers to various documents to seek to support its submission, but none of the documents it refers to provide express support for its position.  Planning Practice Note 78 would support the application of the RGZ around </w:t>
      </w:r>
      <w:proofErr w:type="spellStart"/>
      <w:r w:rsidRPr="00776EAB">
        <w:rPr>
          <w:lang w:val="en-US"/>
        </w:rPr>
        <w:t>centres</w:t>
      </w:r>
      <w:proofErr w:type="spellEnd"/>
      <w:r w:rsidRPr="00776EAB">
        <w:rPr>
          <w:lang w:val="en-US"/>
        </w:rPr>
        <w:t xml:space="preserve">.  Plan Melbourne echoes PPN78.  Work in relation to the existing residential areas of Melton is of little utility to the Panel in respect of this growth area.  The future is supposed to be more efficient with land than the past.  To the extent that Council submits that it would be appropriate to extend the methodology adopted in House </w:t>
      </w:r>
      <w:proofErr w:type="gramStart"/>
      <w:r w:rsidRPr="00776EAB">
        <w:rPr>
          <w:lang w:val="en-US"/>
        </w:rPr>
        <w:t>Smart</w:t>
      </w:r>
      <w:proofErr w:type="gramEnd"/>
      <w:r w:rsidRPr="00776EAB">
        <w:rPr>
          <w:lang w:val="en-US"/>
        </w:rPr>
        <w:t xml:space="preserve"> to the PSP areas (see [181]) the VPA submits the Panel should not adopt this approach. The extract of the Residential Zones State of Play report (referred to at [173]) merely highlights the importa</w:t>
      </w:r>
      <w:r w:rsidR="003C01BF">
        <w:rPr>
          <w:lang w:val="en-US"/>
        </w:rPr>
        <w:t xml:space="preserve">nce of incentivizing density. </w:t>
      </w:r>
    </w:p>
    <w:p w14:paraId="254FE827" w14:textId="77777777" w:rsidR="00776EAB" w:rsidRPr="00776EAB" w:rsidRDefault="00776EAB" w:rsidP="00AF505E">
      <w:pPr>
        <w:pStyle w:val="ListParagraph"/>
        <w:spacing w:after="0"/>
        <w:rPr>
          <w:lang w:val="en-AU"/>
        </w:rPr>
      </w:pPr>
    </w:p>
    <w:p w14:paraId="766C4FEC" w14:textId="2F46BE0A" w:rsidR="00693BC3" w:rsidRPr="00693BC3" w:rsidRDefault="00776EAB" w:rsidP="0073197B">
      <w:pPr>
        <w:pStyle w:val="ListParagraph"/>
        <w:numPr>
          <w:ilvl w:val="0"/>
          <w:numId w:val="9"/>
        </w:numPr>
        <w:spacing w:after="0"/>
        <w:ind w:left="1021" w:hanging="1021"/>
        <w:rPr>
          <w:lang w:val="en-AU"/>
        </w:rPr>
      </w:pPr>
      <w:r>
        <w:rPr>
          <w:lang w:val="en-AU"/>
        </w:rPr>
        <w:t xml:space="preserve">The </w:t>
      </w:r>
      <w:r w:rsidR="00693BC3" w:rsidRPr="00776EAB">
        <w:rPr>
          <w:lang w:val="en-AU"/>
        </w:rPr>
        <w:t>VPA has also prepared some additional diagrams to assist the Panel to understand the distances employed in the maps</w:t>
      </w:r>
      <w:r w:rsidR="00F566B5">
        <w:rPr>
          <w:lang w:val="en-AU"/>
        </w:rPr>
        <w:t xml:space="preserve"> (refer Appendix </w:t>
      </w:r>
      <w:r w:rsidR="00784A1F">
        <w:rPr>
          <w:lang w:val="en-AU"/>
        </w:rPr>
        <w:t>11 and 12</w:t>
      </w:r>
      <w:r w:rsidR="00F566B5">
        <w:rPr>
          <w:lang w:val="en-AU"/>
        </w:rPr>
        <w:t>)</w:t>
      </w:r>
      <w:r w:rsidR="00A4485F">
        <w:rPr>
          <w:lang w:val="en-AU"/>
        </w:rPr>
        <w:t>.</w:t>
      </w:r>
    </w:p>
    <w:p w14:paraId="294EC7C2" w14:textId="77777777" w:rsidR="009A7B03" w:rsidRDefault="009A7B03" w:rsidP="001574D9">
      <w:pPr>
        <w:pStyle w:val="ListParagraph"/>
        <w:spacing w:after="0"/>
        <w:ind w:left="1021"/>
        <w:rPr>
          <w:lang w:val="en-AU"/>
        </w:rPr>
      </w:pPr>
    </w:p>
    <w:p w14:paraId="267094BB" w14:textId="2A5122A8" w:rsidR="00CE7FAE" w:rsidRDefault="007C494D" w:rsidP="00736861">
      <w:pPr>
        <w:pStyle w:val="ListParagraph"/>
        <w:numPr>
          <w:ilvl w:val="0"/>
          <w:numId w:val="9"/>
        </w:numPr>
        <w:spacing w:after="0"/>
        <w:ind w:left="1021" w:hanging="1021"/>
        <w:rPr>
          <w:lang w:val="en-AU"/>
        </w:rPr>
      </w:pPr>
      <w:r w:rsidRPr="007C494D">
        <w:rPr>
          <w:lang w:val="en-AU"/>
        </w:rPr>
        <w:t xml:space="preserve">Note that </w:t>
      </w:r>
      <w:r>
        <w:rPr>
          <w:lang w:val="en-AU"/>
        </w:rPr>
        <w:t>the</w:t>
      </w:r>
      <w:r w:rsidRPr="00CE7FAE">
        <w:rPr>
          <w:lang w:val="en-AU"/>
        </w:rPr>
        <w:t xml:space="preserve"> approach that </w:t>
      </w:r>
      <w:r w:rsidR="00CE7FAE" w:rsidRPr="00CE7FAE">
        <w:rPr>
          <w:lang w:val="en-AU"/>
        </w:rPr>
        <w:t xml:space="preserve">the </w:t>
      </w:r>
      <w:r w:rsidRPr="00CE7FAE">
        <w:rPr>
          <w:lang w:val="en-AU"/>
        </w:rPr>
        <w:t xml:space="preserve">VPA has taken to </w:t>
      </w:r>
      <w:r w:rsidR="00F566B5">
        <w:rPr>
          <w:lang w:val="en-AU"/>
        </w:rPr>
        <w:t>schools and sports reserves</w:t>
      </w:r>
      <w:r w:rsidR="00F566B5" w:rsidRPr="00CE7FAE">
        <w:rPr>
          <w:lang w:val="en-AU"/>
        </w:rPr>
        <w:t xml:space="preserve"> </w:t>
      </w:r>
      <w:r w:rsidRPr="00CE7FAE">
        <w:rPr>
          <w:lang w:val="en-AU"/>
        </w:rPr>
        <w:t xml:space="preserve">is </w:t>
      </w:r>
      <w:r w:rsidR="00F566B5">
        <w:rPr>
          <w:lang w:val="en-AU"/>
        </w:rPr>
        <w:t xml:space="preserve">generally </w:t>
      </w:r>
      <w:r w:rsidRPr="00CE7FAE">
        <w:rPr>
          <w:lang w:val="en-AU"/>
        </w:rPr>
        <w:t xml:space="preserve">that if most of </w:t>
      </w:r>
      <w:r w:rsidR="00F566B5">
        <w:rPr>
          <w:lang w:val="en-AU"/>
        </w:rPr>
        <w:t xml:space="preserve">the school or sports reserve </w:t>
      </w:r>
      <w:r w:rsidRPr="00CE7FAE">
        <w:rPr>
          <w:lang w:val="en-AU"/>
        </w:rPr>
        <w:t>was in the ‘walkable catchment’, then it was included in the ‘catchment’ line. If most of the school was outside the ‘walkable catchment’, then it was excluded. It is important to have a single applied zone applying to the community uses (i</w:t>
      </w:r>
      <w:r w:rsidR="00CE7FAE">
        <w:rPr>
          <w:lang w:val="en-AU"/>
        </w:rPr>
        <w:t>.</w:t>
      </w:r>
      <w:r w:rsidRPr="00CE7FAE">
        <w:rPr>
          <w:lang w:val="en-AU"/>
        </w:rPr>
        <w:t>e</w:t>
      </w:r>
      <w:r w:rsidR="00CE7FAE">
        <w:rPr>
          <w:lang w:val="en-AU"/>
        </w:rPr>
        <w:t>.</w:t>
      </w:r>
      <w:r w:rsidRPr="00CE7FAE">
        <w:rPr>
          <w:lang w:val="en-AU"/>
        </w:rPr>
        <w:t xml:space="preserve"> not have the walkable catchment line going through the middle of the school).</w:t>
      </w:r>
    </w:p>
    <w:p w14:paraId="6C806645" w14:textId="77777777" w:rsidR="009A7B03" w:rsidRPr="00EE35FD" w:rsidRDefault="009A7B03" w:rsidP="00EE35FD">
      <w:pPr>
        <w:spacing w:after="0"/>
        <w:rPr>
          <w:lang w:val="en-AU"/>
        </w:rPr>
      </w:pPr>
    </w:p>
    <w:p w14:paraId="00A8C4F7" w14:textId="48E63A5D" w:rsidR="009A7B03" w:rsidRDefault="009A7B03" w:rsidP="00736861">
      <w:pPr>
        <w:pStyle w:val="ListParagraph"/>
        <w:numPr>
          <w:ilvl w:val="0"/>
          <w:numId w:val="9"/>
        </w:numPr>
        <w:spacing w:after="0"/>
        <w:ind w:left="1021" w:hanging="1021"/>
        <w:rPr>
          <w:lang w:val="en-AU"/>
        </w:rPr>
      </w:pPr>
      <w:proofErr w:type="spellStart"/>
      <w:r>
        <w:rPr>
          <w:lang w:val="en-AU"/>
        </w:rPr>
        <w:t>Lawport</w:t>
      </w:r>
      <w:proofErr w:type="spellEnd"/>
      <w:r>
        <w:rPr>
          <w:lang w:val="en-AU"/>
        </w:rPr>
        <w:t xml:space="preserve">, </w:t>
      </w:r>
      <w:proofErr w:type="spellStart"/>
      <w:r>
        <w:rPr>
          <w:lang w:val="en-AU"/>
        </w:rPr>
        <w:t>Moremac</w:t>
      </w:r>
      <w:proofErr w:type="spellEnd"/>
      <w:r>
        <w:rPr>
          <w:lang w:val="en-AU"/>
        </w:rPr>
        <w:t xml:space="preserve"> and </w:t>
      </w:r>
      <w:proofErr w:type="spellStart"/>
      <w:r>
        <w:rPr>
          <w:lang w:val="en-AU"/>
        </w:rPr>
        <w:t>Mondous</w:t>
      </w:r>
      <w:proofErr w:type="spellEnd"/>
      <w:r>
        <w:rPr>
          <w:lang w:val="en-AU"/>
        </w:rPr>
        <w:t xml:space="preserve"> queried the extent of RGZ on their land in the revised RGZ in VPA’s Part B, compared to the area shown as ‘medium density’ or ‘high density’ on the exhibited Plan 5.</w:t>
      </w:r>
    </w:p>
    <w:p w14:paraId="4359CCDD" w14:textId="77777777" w:rsidR="009A7B03" w:rsidRPr="00EE35FD" w:rsidRDefault="009A7B03" w:rsidP="00EE35FD">
      <w:pPr>
        <w:spacing w:after="0"/>
        <w:rPr>
          <w:lang w:val="en-AU"/>
        </w:rPr>
      </w:pPr>
    </w:p>
    <w:p w14:paraId="3DF61118" w14:textId="603924D7" w:rsidR="00EB3248" w:rsidRDefault="009A7B03" w:rsidP="00EB3248">
      <w:pPr>
        <w:pStyle w:val="ListParagraph"/>
        <w:numPr>
          <w:ilvl w:val="0"/>
          <w:numId w:val="9"/>
        </w:numPr>
        <w:spacing w:after="0"/>
        <w:ind w:left="1021" w:hanging="1021"/>
        <w:rPr>
          <w:lang w:val="en-AU"/>
        </w:rPr>
      </w:pPr>
      <w:r>
        <w:rPr>
          <w:lang w:val="en-AU"/>
        </w:rPr>
        <w:t>A comparison is provided in the table below, which demonstrates that in fact the revised proposed RGZ does not create an additional onerous requirement on developers</w:t>
      </w:r>
      <w:r w:rsidR="00EB3248">
        <w:rPr>
          <w:lang w:val="en-AU"/>
        </w:rPr>
        <w:t xml:space="preserve"> and in fact requires a reduced number of dwellings be delivered on these properties, as the requirement is extended over a larger area. This will enable developers to implement more of a ‘salt and pepper’ approach to density within their subdivision</w:t>
      </w:r>
      <w:r>
        <w:rPr>
          <w:lang w:val="en-AU"/>
        </w:rPr>
        <w:t xml:space="preserve">. </w:t>
      </w:r>
      <w:r w:rsidR="00EB3248">
        <w:rPr>
          <w:lang w:val="en-AU"/>
        </w:rPr>
        <w:t>The RGZ requires higher density than the surrounding GRZ areas, and sets the expectation of higher densities in these areas in future.</w:t>
      </w:r>
    </w:p>
    <w:p w14:paraId="25ECE3E8" w14:textId="77777777" w:rsidR="00B93A6E" w:rsidRPr="00B93A6E" w:rsidRDefault="00B93A6E" w:rsidP="00B93A6E">
      <w:pPr>
        <w:spacing w:after="0"/>
        <w:rPr>
          <w:lang w:val="en-AU"/>
        </w:rPr>
      </w:pPr>
    </w:p>
    <w:tbl>
      <w:tblPr>
        <w:tblStyle w:val="TableGrid"/>
        <w:tblW w:w="9498" w:type="dxa"/>
        <w:jc w:val="center"/>
        <w:tblLayout w:type="fixed"/>
        <w:tblLook w:val="04A0" w:firstRow="1" w:lastRow="0" w:firstColumn="1" w:lastColumn="0" w:noHBand="0" w:noVBand="1"/>
      </w:tblPr>
      <w:tblGrid>
        <w:gridCol w:w="1135"/>
        <w:gridCol w:w="1094"/>
        <w:gridCol w:w="1055"/>
        <w:gridCol w:w="1160"/>
        <w:gridCol w:w="1055"/>
        <w:gridCol w:w="1447"/>
        <w:gridCol w:w="1276"/>
        <w:gridCol w:w="1276"/>
      </w:tblGrid>
      <w:tr w:rsidR="00EB3248" w:rsidRPr="009F3C2F" w14:paraId="2CF2A5B3" w14:textId="77777777" w:rsidTr="0073197B">
        <w:trPr>
          <w:trHeight w:val="1975"/>
          <w:jc w:val="center"/>
        </w:trPr>
        <w:tc>
          <w:tcPr>
            <w:tcW w:w="1135" w:type="dxa"/>
          </w:tcPr>
          <w:p w14:paraId="27D681F3" w14:textId="77777777" w:rsidR="00EB3248" w:rsidRPr="009F3C2F" w:rsidRDefault="00EB3248" w:rsidP="00282BC1"/>
        </w:tc>
        <w:tc>
          <w:tcPr>
            <w:tcW w:w="1094" w:type="dxa"/>
          </w:tcPr>
          <w:p w14:paraId="6B440611" w14:textId="77777777" w:rsidR="00EB3248" w:rsidRPr="009F3C2F" w:rsidRDefault="00EB3248" w:rsidP="00282BC1">
            <w:r>
              <w:t>High d</w:t>
            </w:r>
            <w:r w:rsidRPr="009F3C2F">
              <w:t xml:space="preserve">ensity </w:t>
            </w:r>
            <w:r>
              <w:t>residential a</w:t>
            </w:r>
            <w:r w:rsidRPr="009F3C2F">
              <w:t>rea as exhibited (Plan 5)</w:t>
            </w:r>
          </w:p>
        </w:tc>
        <w:tc>
          <w:tcPr>
            <w:tcW w:w="1055" w:type="dxa"/>
          </w:tcPr>
          <w:p w14:paraId="2BA99C42" w14:textId="77777777" w:rsidR="00EB3248" w:rsidRPr="009F3C2F" w:rsidRDefault="00EB3248" w:rsidP="00282BC1">
            <w:r w:rsidRPr="009F3C2F">
              <w:t xml:space="preserve">Total </w:t>
            </w:r>
            <w:r>
              <w:t xml:space="preserve">dwellings in high density area @ </w:t>
            </w:r>
            <w:r w:rsidRPr="009F3C2F">
              <w:t xml:space="preserve">30 </w:t>
            </w:r>
            <w:proofErr w:type="spellStart"/>
            <w:r w:rsidRPr="009F3C2F">
              <w:t>d</w:t>
            </w:r>
            <w:r>
              <w:t>p</w:t>
            </w:r>
            <w:r w:rsidRPr="009F3C2F">
              <w:t>ha</w:t>
            </w:r>
            <w:proofErr w:type="spellEnd"/>
          </w:p>
        </w:tc>
        <w:tc>
          <w:tcPr>
            <w:tcW w:w="1160" w:type="dxa"/>
          </w:tcPr>
          <w:p w14:paraId="24DC60FA" w14:textId="77777777" w:rsidR="00EB3248" w:rsidRPr="009F3C2F" w:rsidRDefault="00EB3248" w:rsidP="00282BC1">
            <w:r w:rsidRPr="009F3C2F">
              <w:t xml:space="preserve">Medium </w:t>
            </w:r>
            <w:r>
              <w:t>d</w:t>
            </w:r>
            <w:r w:rsidRPr="009F3C2F">
              <w:t xml:space="preserve">ensity </w:t>
            </w:r>
            <w:r>
              <w:t xml:space="preserve">residential </w:t>
            </w:r>
            <w:r w:rsidRPr="009F3C2F">
              <w:t>area as exhibited (Plan 5)</w:t>
            </w:r>
          </w:p>
        </w:tc>
        <w:tc>
          <w:tcPr>
            <w:tcW w:w="1055" w:type="dxa"/>
          </w:tcPr>
          <w:p w14:paraId="358117DC" w14:textId="77777777" w:rsidR="00EB3248" w:rsidRPr="009F3C2F" w:rsidRDefault="00EB3248" w:rsidP="00282BC1">
            <w:r w:rsidRPr="009F3C2F">
              <w:t>Total dwellin</w:t>
            </w:r>
            <w:r>
              <w:t xml:space="preserve">gs in medium density area @ 25 </w:t>
            </w:r>
            <w:proofErr w:type="spellStart"/>
            <w:r>
              <w:t>dp</w:t>
            </w:r>
            <w:r w:rsidRPr="009F3C2F">
              <w:t>ha</w:t>
            </w:r>
            <w:proofErr w:type="spellEnd"/>
          </w:p>
        </w:tc>
        <w:tc>
          <w:tcPr>
            <w:tcW w:w="1447" w:type="dxa"/>
          </w:tcPr>
          <w:p w14:paraId="347D1FE0" w14:textId="77777777" w:rsidR="00EB3248" w:rsidRPr="009F3C2F" w:rsidRDefault="00EB3248" w:rsidP="00282BC1">
            <w:r>
              <w:t>Total dwellings in medium and higher density area</w:t>
            </w:r>
          </w:p>
        </w:tc>
        <w:tc>
          <w:tcPr>
            <w:tcW w:w="1276" w:type="dxa"/>
          </w:tcPr>
          <w:p w14:paraId="3F3C9CC2" w14:textId="77777777" w:rsidR="00EB3248" w:rsidRPr="009F3C2F" w:rsidRDefault="00EB3248" w:rsidP="00282BC1">
            <w:r w:rsidRPr="009F3C2F">
              <w:t>R</w:t>
            </w:r>
            <w:r>
              <w:t>evised RGZ extent (as per VPA Part A)</w:t>
            </w:r>
          </w:p>
          <w:p w14:paraId="135683CA" w14:textId="77777777" w:rsidR="00EB3248" w:rsidRPr="009F3C2F" w:rsidRDefault="00EB3248" w:rsidP="00282BC1"/>
        </w:tc>
        <w:tc>
          <w:tcPr>
            <w:tcW w:w="1276" w:type="dxa"/>
          </w:tcPr>
          <w:p w14:paraId="790A9088" w14:textId="77777777" w:rsidR="00EB3248" w:rsidRPr="009F3C2F" w:rsidRDefault="00EB3248" w:rsidP="00282BC1">
            <w:r w:rsidRPr="009F3C2F">
              <w:t xml:space="preserve">Total dwellings in </w:t>
            </w:r>
            <w:r>
              <w:t>RGZ</w:t>
            </w:r>
          </w:p>
          <w:p w14:paraId="25579B6F" w14:textId="77777777" w:rsidR="00EB3248" w:rsidRPr="009F3C2F" w:rsidRDefault="00EB3248" w:rsidP="00282BC1">
            <w:r>
              <w:t xml:space="preserve">@ 20 </w:t>
            </w:r>
            <w:proofErr w:type="spellStart"/>
            <w:r>
              <w:t>dpha</w:t>
            </w:r>
            <w:proofErr w:type="spellEnd"/>
          </w:p>
        </w:tc>
      </w:tr>
      <w:tr w:rsidR="00EB3248" w:rsidRPr="009F3C2F" w14:paraId="32B5EA94" w14:textId="77777777" w:rsidTr="0073197B">
        <w:trPr>
          <w:trHeight w:val="484"/>
          <w:jc w:val="center"/>
        </w:trPr>
        <w:tc>
          <w:tcPr>
            <w:tcW w:w="1135" w:type="dxa"/>
          </w:tcPr>
          <w:p w14:paraId="73CB9C97" w14:textId="77777777" w:rsidR="00EB3248" w:rsidRPr="009F3C2F" w:rsidRDefault="00EB3248" w:rsidP="00282BC1">
            <w:proofErr w:type="spellStart"/>
            <w:r w:rsidRPr="009F3C2F">
              <w:t>Lawport</w:t>
            </w:r>
            <w:proofErr w:type="spellEnd"/>
          </w:p>
        </w:tc>
        <w:tc>
          <w:tcPr>
            <w:tcW w:w="1094" w:type="dxa"/>
          </w:tcPr>
          <w:p w14:paraId="65434184" w14:textId="77777777" w:rsidR="00EB3248" w:rsidRPr="009F3C2F" w:rsidRDefault="00EB3248" w:rsidP="00282BC1">
            <w:r w:rsidRPr="009F3C2F">
              <w:t>0</w:t>
            </w:r>
          </w:p>
        </w:tc>
        <w:tc>
          <w:tcPr>
            <w:tcW w:w="1055" w:type="dxa"/>
          </w:tcPr>
          <w:p w14:paraId="60355E1C" w14:textId="77777777" w:rsidR="00EB3248" w:rsidRPr="009F3C2F" w:rsidRDefault="00EB3248" w:rsidP="00282BC1">
            <w:r w:rsidRPr="009F3C2F">
              <w:t>0</w:t>
            </w:r>
          </w:p>
        </w:tc>
        <w:tc>
          <w:tcPr>
            <w:tcW w:w="1160" w:type="dxa"/>
          </w:tcPr>
          <w:p w14:paraId="7A684D5B" w14:textId="77777777" w:rsidR="00EB3248" w:rsidRPr="009F3C2F" w:rsidRDefault="00EB3248" w:rsidP="00282BC1">
            <w:r w:rsidRPr="009F3C2F">
              <w:t>9.066 ha</w:t>
            </w:r>
          </w:p>
        </w:tc>
        <w:tc>
          <w:tcPr>
            <w:tcW w:w="1055" w:type="dxa"/>
          </w:tcPr>
          <w:p w14:paraId="0E6C9F90" w14:textId="77777777" w:rsidR="00EB3248" w:rsidRPr="009F3C2F" w:rsidRDefault="00EB3248" w:rsidP="00282BC1">
            <w:r>
              <w:t>227</w:t>
            </w:r>
          </w:p>
        </w:tc>
        <w:tc>
          <w:tcPr>
            <w:tcW w:w="1447" w:type="dxa"/>
          </w:tcPr>
          <w:p w14:paraId="78320265" w14:textId="77777777" w:rsidR="00EB3248" w:rsidRPr="009F3C2F" w:rsidRDefault="00EB3248" w:rsidP="00282BC1">
            <w:r>
              <w:t>227</w:t>
            </w:r>
          </w:p>
        </w:tc>
        <w:tc>
          <w:tcPr>
            <w:tcW w:w="1276" w:type="dxa"/>
          </w:tcPr>
          <w:p w14:paraId="3192C78A" w14:textId="77777777" w:rsidR="00EB3248" w:rsidRPr="009F3C2F" w:rsidRDefault="00EB3248" w:rsidP="00282BC1">
            <w:r w:rsidRPr="00390EFB">
              <w:t>6.988 ha</w:t>
            </w:r>
          </w:p>
        </w:tc>
        <w:tc>
          <w:tcPr>
            <w:tcW w:w="1276" w:type="dxa"/>
          </w:tcPr>
          <w:p w14:paraId="66FDD3DE" w14:textId="77777777" w:rsidR="00EB3248" w:rsidRPr="009F3C2F" w:rsidRDefault="00EB3248" w:rsidP="00282BC1">
            <w:r>
              <w:t>140</w:t>
            </w:r>
          </w:p>
        </w:tc>
      </w:tr>
      <w:tr w:rsidR="00EB3248" w:rsidRPr="009F3C2F" w14:paraId="2341710A" w14:textId="77777777" w:rsidTr="0073197B">
        <w:trPr>
          <w:trHeight w:val="457"/>
          <w:jc w:val="center"/>
        </w:trPr>
        <w:tc>
          <w:tcPr>
            <w:tcW w:w="1135" w:type="dxa"/>
          </w:tcPr>
          <w:p w14:paraId="07F4FE12" w14:textId="77777777" w:rsidR="00EB3248" w:rsidRPr="009F3C2F" w:rsidRDefault="00EB3248" w:rsidP="00282BC1">
            <w:proofErr w:type="spellStart"/>
            <w:r w:rsidRPr="009F3C2F">
              <w:lastRenderedPageBreak/>
              <w:t>ID_Land</w:t>
            </w:r>
            <w:proofErr w:type="spellEnd"/>
          </w:p>
        </w:tc>
        <w:tc>
          <w:tcPr>
            <w:tcW w:w="1094" w:type="dxa"/>
          </w:tcPr>
          <w:p w14:paraId="5CC3A4E5" w14:textId="77777777" w:rsidR="00EB3248" w:rsidRPr="009F3C2F" w:rsidRDefault="00EB3248" w:rsidP="00282BC1">
            <w:r w:rsidRPr="009F3C2F">
              <w:t>0</w:t>
            </w:r>
          </w:p>
        </w:tc>
        <w:tc>
          <w:tcPr>
            <w:tcW w:w="1055" w:type="dxa"/>
          </w:tcPr>
          <w:p w14:paraId="5899D369" w14:textId="77777777" w:rsidR="00EB3248" w:rsidRPr="009F3C2F" w:rsidRDefault="00EB3248" w:rsidP="00282BC1">
            <w:r w:rsidRPr="009F3C2F">
              <w:t>0</w:t>
            </w:r>
          </w:p>
        </w:tc>
        <w:tc>
          <w:tcPr>
            <w:tcW w:w="1160" w:type="dxa"/>
          </w:tcPr>
          <w:p w14:paraId="20504467" w14:textId="77777777" w:rsidR="00EB3248" w:rsidRPr="009F3C2F" w:rsidRDefault="00EB3248" w:rsidP="00282BC1">
            <w:r w:rsidRPr="009F3C2F">
              <w:t>6.311 ha</w:t>
            </w:r>
          </w:p>
        </w:tc>
        <w:tc>
          <w:tcPr>
            <w:tcW w:w="1055" w:type="dxa"/>
          </w:tcPr>
          <w:p w14:paraId="425CF46A" w14:textId="77777777" w:rsidR="00EB3248" w:rsidRPr="009F3C2F" w:rsidRDefault="00EB3248" w:rsidP="00282BC1">
            <w:r>
              <w:t>158</w:t>
            </w:r>
          </w:p>
        </w:tc>
        <w:tc>
          <w:tcPr>
            <w:tcW w:w="1447" w:type="dxa"/>
          </w:tcPr>
          <w:p w14:paraId="03196DEA" w14:textId="77777777" w:rsidR="00EB3248" w:rsidRPr="009F3C2F" w:rsidRDefault="00EB3248" w:rsidP="00282BC1">
            <w:r>
              <w:t>158</w:t>
            </w:r>
          </w:p>
        </w:tc>
        <w:tc>
          <w:tcPr>
            <w:tcW w:w="1276" w:type="dxa"/>
          </w:tcPr>
          <w:p w14:paraId="019A509A" w14:textId="77777777" w:rsidR="00EB3248" w:rsidRPr="009F3C2F" w:rsidRDefault="00EB3248" w:rsidP="00282BC1">
            <w:r w:rsidRPr="00390EFB">
              <w:t>5.149 ha</w:t>
            </w:r>
          </w:p>
        </w:tc>
        <w:tc>
          <w:tcPr>
            <w:tcW w:w="1276" w:type="dxa"/>
          </w:tcPr>
          <w:p w14:paraId="1812C5F8" w14:textId="77777777" w:rsidR="00EB3248" w:rsidRPr="009F3C2F" w:rsidRDefault="00EB3248" w:rsidP="00282BC1">
            <w:r>
              <w:t>103</w:t>
            </w:r>
          </w:p>
        </w:tc>
      </w:tr>
      <w:tr w:rsidR="00EB3248" w:rsidRPr="009F3C2F" w14:paraId="74F430FB" w14:textId="77777777" w:rsidTr="0073197B">
        <w:trPr>
          <w:trHeight w:val="584"/>
          <w:jc w:val="center"/>
        </w:trPr>
        <w:tc>
          <w:tcPr>
            <w:tcW w:w="1135" w:type="dxa"/>
          </w:tcPr>
          <w:p w14:paraId="209A4AF5" w14:textId="77777777" w:rsidR="00EB3248" w:rsidRPr="009F3C2F" w:rsidRDefault="00EB3248" w:rsidP="00282BC1">
            <w:proofErr w:type="spellStart"/>
            <w:r w:rsidRPr="009F3C2F">
              <w:t>Mondous</w:t>
            </w:r>
            <w:proofErr w:type="spellEnd"/>
          </w:p>
        </w:tc>
        <w:tc>
          <w:tcPr>
            <w:tcW w:w="1094" w:type="dxa"/>
          </w:tcPr>
          <w:p w14:paraId="5A3A5924" w14:textId="77777777" w:rsidR="00EB3248" w:rsidRPr="009F3C2F" w:rsidRDefault="00EB3248" w:rsidP="00282BC1">
            <w:r w:rsidRPr="009F3C2F">
              <w:t>21.607 ha</w:t>
            </w:r>
          </w:p>
        </w:tc>
        <w:tc>
          <w:tcPr>
            <w:tcW w:w="1055" w:type="dxa"/>
          </w:tcPr>
          <w:p w14:paraId="0B7AA681" w14:textId="77777777" w:rsidR="00EB3248" w:rsidRPr="009F3C2F" w:rsidRDefault="00EB3248" w:rsidP="00282BC1">
            <w:r>
              <w:t>648</w:t>
            </w:r>
          </w:p>
        </w:tc>
        <w:tc>
          <w:tcPr>
            <w:tcW w:w="1160" w:type="dxa"/>
          </w:tcPr>
          <w:p w14:paraId="7B524FF8" w14:textId="77777777" w:rsidR="00EB3248" w:rsidRPr="009F3C2F" w:rsidRDefault="00EB3248" w:rsidP="00282BC1">
            <w:r w:rsidRPr="009F3C2F">
              <w:t>4.390 ha</w:t>
            </w:r>
          </w:p>
        </w:tc>
        <w:tc>
          <w:tcPr>
            <w:tcW w:w="1055" w:type="dxa"/>
          </w:tcPr>
          <w:p w14:paraId="1FD2C446" w14:textId="77777777" w:rsidR="00EB3248" w:rsidRPr="009F3C2F" w:rsidRDefault="00EB3248" w:rsidP="00282BC1">
            <w:r>
              <w:t>110</w:t>
            </w:r>
          </w:p>
        </w:tc>
        <w:tc>
          <w:tcPr>
            <w:tcW w:w="1447" w:type="dxa"/>
          </w:tcPr>
          <w:p w14:paraId="73C0698C" w14:textId="77777777" w:rsidR="00EB3248" w:rsidRPr="009F3C2F" w:rsidRDefault="00EB3248" w:rsidP="00282BC1">
            <w:r>
              <w:t>758</w:t>
            </w:r>
          </w:p>
        </w:tc>
        <w:tc>
          <w:tcPr>
            <w:tcW w:w="1276" w:type="dxa"/>
          </w:tcPr>
          <w:p w14:paraId="379E21F0" w14:textId="77777777" w:rsidR="00EB3248" w:rsidRDefault="00EB3248" w:rsidP="00282BC1">
            <w:r w:rsidRPr="00390EFB">
              <w:t>25.997</w:t>
            </w:r>
            <w:r>
              <w:t xml:space="preserve"> ha</w:t>
            </w:r>
          </w:p>
          <w:p w14:paraId="4888B440" w14:textId="77777777" w:rsidR="00EB3248" w:rsidRPr="009F3C2F" w:rsidRDefault="00EB3248" w:rsidP="00282BC1"/>
        </w:tc>
        <w:tc>
          <w:tcPr>
            <w:tcW w:w="1276" w:type="dxa"/>
          </w:tcPr>
          <w:p w14:paraId="3F77E0B4" w14:textId="77777777" w:rsidR="00EB3248" w:rsidRPr="009F3C2F" w:rsidRDefault="00EB3248" w:rsidP="00282BC1">
            <w:r>
              <w:t>520</w:t>
            </w:r>
          </w:p>
        </w:tc>
      </w:tr>
    </w:tbl>
    <w:p w14:paraId="2FC00136" w14:textId="77777777" w:rsidR="00EB3248" w:rsidRPr="00EB3248" w:rsidRDefault="00EB3248" w:rsidP="00EB3248">
      <w:pPr>
        <w:spacing w:after="0"/>
        <w:rPr>
          <w:lang w:val="en-AU"/>
        </w:rPr>
      </w:pPr>
    </w:p>
    <w:p w14:paraId="400548C7" w14:textId="77777777" w:rsidR="00CE7FAE" w:rsidRDefault="00CE7FAE" w:rsidP="00AF505E">
      <w:pPr>
        <w:pStyle w:val="ListParagraph"/>
        <w:spacing w:after="0"/>
        <w:ind w:left="1021"/>
        <w:rPr>
          <w:lang w:val="en-AU"/>
        </w:rPr>
      </w:pPr>
    </w:p>
    <w:p w14:paraId="3EA22F56" w14:textId="236FFA35" w:rsidR="00CE7FAE" w:rsidRDefault="00D4673A" w:rsidP="00736861">
      <w:pPr>
        <w:pStyle w:val="ListParagraph"/>
        <w:numPr>
          <w:ilvl w:val="0"/>
          <w:numId w:val="9"/>
        </w:numPr>
        <w:spacing w:after="0"/>
        <w:ind w:left="1021" w:hanging="1021"/>
        <w:rPr>
          <w:lang w:val="en-AU"/>
        </w:rPr>
      </w:pPr>
      <w:r w:rsidRPr="00CE7FAE">
        <w:rPr>
          <w:lang w:val="en-AU"/>
        </w:rPr>
        <w:t xml:space="preserve">Council was critical of the VPA’s use of the phrase “walkable catchment” as the areas for which RGZ was designated.  </w:t>
      </w:r>
      <w:r w:rsidR="007F3165">
        <w:rPr>
          <w:lang w:val="en-AU"/>
        </w:rPr>
        <w:t xml:space="preserve">The </w:t>
      </w:r>
      <w:r w:rsidRPr="00CE7FAE">
        <w:rPr>
          <w:lang w:val="en-AU"/>
        </w:rPr>
        <w:t xml:space="preserve">VPA submits that this is an appropriate phrase, because it is intended to convey that these distances are those that people will in fact walk to access the corresponding services.  </w:t>
      </w:r>
      <w:r w:rsidR="00A35619" w:rsidRPr="00CE7FAE">
        <w:rPr>
          <w:lang w:val="en-AU"/>
        </w:rPr>
        <w:t xml:space="preserve">It is within this walkable catchment that higher densities </w:t>
      </w:r>
      <w:r w:rsidR="003C01BF" w:rsidRPr="00CE7FAE">
        <w:rPr>
          <w:lang w:val="en-AU"/>
        </w:rPr>
        <w:t>ought to</w:t>
      </w:r>
      <w:r w:rsidR="00A35619" w:rsidRPr="00CE7FAE">
        <w:rPr>
          <w:lang w:val="en-AU"/>
        </w:rPr>
        <w:t xml:space="preserve"> be encouraged. </w:t>
      </w:r>
    </w:p>
    <w:p w14:paraId="76E01A01" w14:textId="77777777" w:rsidR="00B93A6E" w:rsidRDefault="00B93A6E" w:rsidP="00B93A6E">
      <w:pPr>
        <w:pStyle w:val="ListParagraph"/>
        <w:spacing w:after="0"/>
        <w:ind w:left="1021"/>
        <w:rPr>
          <w:lang w:val="en-AU"/>
        </w:rPr>
      </w:pPr>
    </w:p>
    <w:p w14:paraId="401AC07F" w14:textId="31789FAF" w:rsidR="00F566B5" w:rsidRDefault="00F566B5" w:rsidP="00736861">
      <w:pPr>
        <w:pStyle w:val="ListParagraph"/>
        <w:numPr>
          <w:ilvl w:val="0"/>
          <w:numId w:val="9"/>
        </w:numPr>
        <w:spacing w:after="0"/>
        <w:ind w:left="1021" w:hanging="1021"/>
        <w:rPr>
          <w:lang w:val="en-AU"/>
        </w:rPr>
      </w:pPr>
      <w:r>
        <w:rPr>
          <w:lang w:val="en-AU"/>
        </w:rPr>
        <w:t>At this stage Council has not provided analysis of its proposed revision to the RGZ extent, so VPA cannot comment on any implications with respect to overall population proposed.</w:t>
      </w:r>
    </w:p>
    <w:p w14:paraId="3F2B76B1" w14:textId="77777777" w:rsidR="00CE7FAE" w:rsidRPr="00CE7FAE" w:rsidRDefault="00CE7FAE" w:rsidP="00AF505E">
      <w:pPr>
        <w:pStyle w:val="ListParagraph"/>
        <w:spacing w:after="0"/>
        <w:rPr>
          <w:lang w:val="en-AU"/>
        </w:rPr>
      </w:pPr>
    </w:p>
    <w:p w14:paraId="14C4E59C" w14:textId="2DEDA078" w:rsidR="000A486B" w:rsidRDefault="00980B3E" w:rsidP="00736861">
      <w:pPr>
        <w:pStyle w:val="ListParagraph"/>
        <w:numPr>
          <w:ilvl w:val="0"/>
          <w:numId w:val="9"/>
        </w:numPr>
        <w:spacing w:after="0"/>
        <w:ind w:left="1021" w:hanging="1021"/>
        <w:rPr>
          <w:lang w:val="en-AU"/>
        </w:rPr>
      </w:pPr>
      <w:r w:rsidRPr="00CE7FAE">
        <w:rPr>
          <w:lang w:val="en-AU"/>
        </w:rPr>
        <w:t xml:space="preserve">In respect of the submissions of </w:t>
      </w:r>
      <w:r w:rsidR="00A35619" w:rsidRPr="00CE7FAE">
        <w:rPr>
          <w:lang w:val="en-AU"/>
        </w:rPr>
        <w:t>ID Land on this point, the evidence of Mr Woodland is really supportive of the underpinning rationale of the exhibited PSPs.  Mr Woodland’s evidence was that he suppo</w:t>
      </w:r>
      <w:r w:rsidR="000A486B">
        <w:rPr>
          <w:lang w:val="en-AU"/>
        </w:rPr>
        <w:t xml:space="preserve">rts the densities in the PSP – Mr Woodland did not </w:t>
      </w:r>
      <w:r w:rsidR="00A35619" w:rsidRPr="00CE7FAE">
        <w:rPr>
          <w:lang w:val="en-AU"/>
        </w:rPr>
        <w:t xml:space="preserve">consider there was a policy basis for the numbers to be mandatory: that guidelines would suffice.  </w:t>
      </w:r>
      <w:r w:rsidR="00CE7FAE">
        <w:rPr>
          <w:lang w:val="en-AU"/>
        </w:rPr>
        <w:t xml:space="preserve">The </w:t>
      </w:r>
      <w:r w:rsidR="00A35619" w:rsidRPr="00CE7FAE">
        <w:rPr>
          <w:lang w:val="en-AU"/>
        </w:rPr>
        <w:t xml:space="preserve">VPA submits that achieving the minimum densities is of such importance that a mandatory overall minimum is justified.  We also note the evidence given in cross examination that a </w:t>
      </w:r>
      <w:proofErr w:type="spellStart"/>
      <w:r w:rsidR="00A35619" w:rsidRPr="00CE7FAE">
        <w:rPr>
          <w:lang w:val="en-AU"/>
        </w:rPr>
        <w:t>superlot</w:t>
      </w:r>
      <w:proofErr w:type="spellEnd"/>
      <w:r w:rsidR="00A35619" w:rsidRPr="00CE7FAE">
        <w:rPr>
          <w:lang w:val="en-AU"/>
        </w:rPr>
        <w:t xml:space="preserve"> could be “parked”</w:t>
      </w:r>
      <w:r w:rsidR="007F3165">
        <w:rPr>
          <w:lang w:val="en-AU"/>
        </w:rPr>
        <w:t xml:space="preserve"> effectively on the ID Land parcel</w:t>
      </w:r>
      <w:r w:rsidR="00A35619" w:rsidRPr="00CE7FAE">
        <w:rPr>
          <w:lang w:val="en-AU"/>
        </w:rPr>
        <w:t>, until the market warrants medium density in the L</w:t>
      </w:r>
      <w:r w:rsidR="001B0FBE">
        <w:rPr>
          <w:lang w:val="en-AU"/>
        </w:rPr>
        <w:t>ocal Convenience Centre (L</w:t>
      </w:r>
      <w:r w:rsidR="00A35619" w:rsidRPr="00CE7FAE">
        <w:rPr>
          <w:lang w:val="en-AU"/>
        </w:rPr>
        <w:t>CC</w:t>
      </w:r>
      <w:r w:rsidR="001B0FBE">
        <w:rPr>
          <w:lang w:val="en-AU"/>
        </w:rPr>
        <w:t>)</w:t>
      </w:r>
      <w:r w:rsidR="00A35619" w:rsidRPr="00CE7FAE">
        <w:rPr>
          <w:lang w:val="en-AU"/>
        </w:rPr>
        <w:t xml:space="preserve">.    </w:t>
      </w:r>
    </w:p>
    <w:p w14:paraId="5C8329CC" w14:textId="77777777" w:rsidR="000A486B" w:rsidRPr="000A486B" w:rsidRDefault="000A486B" w:rsidP="00AF505E">
      <w:pPr>
        <w:pStyle w:val="ListParagraph"/>
        <w:spacing w:after="0"/>
        <w:rPr>
          <w:lang w:val="en-AU"/>
        </w:rPr>
      </w:pPr>
    </w:p>
    <w:p w14:paraId="5D343AA4" w14:textId="3ABEC016" w:rsidR="000A486B" w:rsidRDefault="007C494D" w:rsidP="00736861">
      <w:pPr>
        <w:pStyle w:val="ListParagraph"/>
        <w:numPr>
          <w:ilvl w:val="0"/>
          <w:numId w:val="9"/>
        </w:numPr>
        <w:spacing w:after="0"/>
        <w:ind w:left="1021" w:hanging="1021"/>
        <w:rPr>
          <w:lang w:val="en-AU"/>
        </w:rPr>
      </w:pPr>
      <w:r w:rsidRPr="000A486B">
        <w:rPr>
          <w:lang w:val="en-AU"/>
        </w:rPr>
        <w:t xml:space="preserve">The submissions made by both ID Land and </w:t>
      </w:r>
      <w:proofErr w:type="spellStart"/>
      <w:r w:rsidRPr="000A486B">
        <w:rPr>
          <w:lang w:val="en-AU"/>
        </w:rPr>
        <w:t>Lawport</w:t>
      </w:r>
      <w:proofErr w:type="spellEnd"/>
      <w:r w:rsidRPr="000A486B">
        <w:rPr>
          <w:lang w:val="en-AU"/>
        </w:rPr>
        <w:t xml:space="preserve"> in relation to the designation of the RGZ around the sports reserve and the school</w:t>
      </w:r>
      <w:r w:rsidR="000A486B">
        <w:rPr>
          <w:lang w:val="en-AU"/>
        </w:rPr>
        <w:t xml:space="preserve"> ultimately are not persuasive.</w:t>
      </w:r>
      <w:r w:rsidRPr="000A486B">
        <w:rPr>
          <w:lang w:val="en-AU"/>
        </w:rPr>
        <w:t xml:space="preserve"> The densities can readily be achieved, and the convenience centre is an appropriate location for this pocket of encouragement for higher built form. ID Land is not precluded from the placement of higher density housing on other areas of their land also.  </w:t>
      </w:r>
    </w:p>
    <w:p w14:paraId="080D652D" w14:textId="77777777" w:rsidR="000A486B" w:rsidRPr="000A486B" w:rsidRDefault="000A486B" w:rsidP="00AF505E">
      <w:pPr>
        <w:pStyle w:val="ListParagraph"/>
        <w:spacing w:after="0"/>
        <w:rPr>
          <w:lang w:val="en-AU"/>
        </w:rPr>
      </w:pPr>
    </w:p>
    <w:p w14:paraId="739E2C64" w14:textId="53E9CFFD" w:rsidR="000A486B" w:rsidRDefault="00A35619" w:rsidP="00736861">
      <w:pPr>
        <w:pStyle w:val="ListParagraph"/>
        <w:numPr>
          <w:ilvl w:val="0"/>
          <w:numId w:val="9"/>
        </w:numPr>
        <w:spacing w:after="0"/>
        <w:ind w:left="1021" w:hanging="1021"/>
        <w:rPr>
          <w:lang w:val="en-AU"/>
        </w:rPr>
      </w:pPr>
      <w:r w:rsidRPr="000A486B">
        <w:rPr>
          <w:lang w:val="en-AU"/>
        </w:rPr>
        <w:t>In respect of the submissions of</w:t>
      </w:r>
      <w:r w:rsidR="007F3165">
        <w:rPr>
          <w:lang w:val="en-AU"/>
        </w:rPr>
        <w:t xml:space="preserve"> Urban Design and Management</w:t>
      </w:r>
      <w:r w:rsidR="001B0FBE">
        <w:rPr>
          <w:lang w:val="en-AU"/>
        </w:rPr>
        <w:t xml:space="preserve"> (on behalf of </w:t>
      </w:r>
      <w:proofErr w:type="spellStart"/>
      <w:r w:rsidR="001B0FBE">
        <w:rPr>
          <w:lang w:val="en-AU"/>
        </w:rPr>
        <w:t>Failli</w:t>
      </w:r>
      <w:proofErr w:type="spellEnd"/>
      <w:r w:rsidR="001B0FBE">
        <w:rPr>
          <w:lang w:val="en-AU"/>
        </w:rPr>
        <w:t>)</w:t>
      </w:r>
      <w:r w:rsidRPr="000A486B">
        <w:rPr>
          <w:lang w:val="en-AU"/>
        </w:rPr>
        <w:t xml:space="preserve">, </w:t>
      </w:r>
      <w:r w:rsidR="000A486B">
        <w:rPr>
          <w:lang w:val="en-AU"/>
        </w:rPr>
        <w:t xml:space="preserve">the </w:t>
      </w:r>
      <w:r w:rsidRPr="000A486B">
        <w:rPr>
          <w:lang w:val="en-AU"/>
        </w:rPr>
        <w:t xml:space="preserve">VPA notes the submission that it is logical to expect that there will be medium density housing near facilities. </w:t>
      </w:r>
    </w:p>
    <w:p w14:paraId="78FC5DA4" w14:textId="77777777" w:rsidR="000A486B" w:rsidRPr="000A486B" w:rsidRDefault="000A486B" w:rsidP="00AF505E">
      <w:pPr>
        <w:pStyle w:val="ListParagraph"/>
        <w:spacing w:after="0"/>
        <w:rPr>
          <w:lang w:val="en-AU"/>
        </w:rPr>
      </w:pPr>
    </w:p>
    <w:p w14:paraId="0AFF0331" w14:textId="77777777" w:rsidR="000A486B" w:rsidRDefault="00A35619" w:rsidP="00736861">
      <w:pPr>
        <w:pStyle w:val="ListParagraph"/>
        <w:numPr>
          <w:ilvl w:val="0"/>
          <w:numId w:val="9"/>
        </w:numPr>
        <w:spacing w:after="0"/>
        <w:ind w:left="1021" w:hanging="1021"/>
        <w:rPr>
          <w:lang w:val="en-AU"/>
        </w:rPr>
      </w:pPr>
      <w:r w:rsidRPr="000A486B">
        <w:rPr>
          <w:lang w:val="en-AU"/>
        </w:rPr>
        <w:t xml:space="preserve">Note that Luzon Holdings were satisfied with the residential zoning and densities identified for their land. </w:t>
      </w:r>
    </w:p>
    <w:p w14:paraId="0F15D39B" w14:textId="77777777" w:rsidR="000A486B" w:rsidRPr="000A486B" w:rsidRDefault="000A486B" w:rsidP="00AF505E">
      <w:pPr>
        <w:pStyle w:val="ListParagraph"/>
        <w:spacing w:after="0"/>
        <w:rPr>
          <w:lang w:val="en-AU"/>
        </w:rPr>
      </w:pPr>
    </w:p>
    <w:p w14:paraId="1D35DE61" w14:textId="65FDC7E0" w:rsidR="00F756CC" w:rsidRDefault="007C494D" w:rsidP="00736861">
      <w:pPr>
        <w:pStyle w:val="ListParagraph"/>
        <w:numPr>
          <w:ilvl w:val="0"/>
          <w:numId w:val="9"/>
        </w:numPr>
        <w:spacing w:after="0"/>
        <w:ind w:left="1021" w:hanging="1021"/>
        <w:rPr>
          <w:lang w:val="en-AU"/>
        </w:rPr>
      </w:pPr>
      <w:r w:rsidRPr="000A486B">
        <w:rPr>
          <w:lang w:val="en-AU"/>
        </w:rPr>
        <w:t xml:space="preserve">The </w:t>
      </w:r>
      <w:proofErr w:type="spellStart"/>
      <w:r w:rsidRPr="000A486B">
        <w:rPr>
          <w:lang w:val="en-AU"/>
        </w:rPr>
        <w:t>Mondous</w:t>
      </w:r>
      <w:proofErr w:type="spellEnd"/>
      <w:r w:rsidRPr="000A486B">
        <w:rPr>
          <w:lang w:val="en-AU"/>
        </w:rPr>
        <w:t xml:space="preserve"> Group raised a number of landholder specific issues, but overall in fact supported the residential zoning </w:t>
      </w:r>
      <w:r w:rsidR="007F3165">
        <w:rPr>
          <w:lang w:val="en-AU"/>
        </w:rPr>
        <w:t>and revised dwelling densities.</w:t>
      </w:r>
      <w:r w:rsidRPr="000A486B">
        <w:rPr>
          <w:lang w:val="en-AU"/>
        </w:rPr>
        <w:t xml:space="preserve"> In response to the </w:t>
      </w:r>
      <w:proofErr w:type="spellStart"/>
      <w:r w:rsidRPr="000A486B">
        <w:rPr>
          <w:lang w:val="en-AU"/>
        </w:rPr>
        <w:t>Mondous</w:t>
      </w:r>
      <w:proofErr w:type="spellEnd"/>
      <w:r w:rsidRPr="000A486B">
        <w:rPr>
          <w:lang w:val="en-AU"/>
        </w:rPr>
        <w:t xml:space="preserve"> Group’s observation that for the Specialised Town Centre of Mt Atkinson a 600m walkable catchment was applied, </w:t>
      </w:r>
      <w:r w:rsidR="007F3165">
        <w:rPr>
          <w:lang w:val="en-AU"/>
        </w:rPr>
        <w:t xml:space="preserve">the </w:t>
      </w:r>
      <w:r w:rsidRPr="000A486B">
        <w:rPr>
          <w:lang w:val="en-AU"/>
        </w:rPr>
        <w:t xml:space="preserve">VPA notes that the </w:t>
      </w:r>
      <w:r w:rsidR="001B0FBE">
        <w:rPr>
          <w:lang w:val="en-AU"/>
        </w:rPr>
        <w:t>Specialised Town Centre (</w:t>
      </w:r>
      <w:r w:rsidRPr="000A486B">
        <w:rPr>
          <w:lang w:val="en-AU"/>
        </w:rPr>
        <w:t>STC</w:t>
      </w:r>
      <w:r w:rsidR="001B0FBE">
        <w:rPr>
          <w:lang w:val="en-AU"/>
        </w:rPr>
        <w:t>)</w:t>
      </w:r>
      <w:r w:rsidRPr="000A486B">
        <w:rPr>
          <w:lang w:val="en-AU"/>
        </w:rPr>
        <w:t xml:space="preserve"> is a lower order provision i</w:t>
      </w:r>
      <w:r w:rsidR="007F3165">
        <w:rPr>
          <w:lang w:val="en-AU"/>
        </w:rPr>
        <w:t>n terms of retail and services.</w:t>
      </w:r>
      <w:r w:rsidRPr="000A486B">
        <w:rPr>
          <w:lang w:val="en-AU"/>
        </w:rPr>
        <w:t xml:space="preserve"> The Plumpton MTC has additional features of a library, waterway, and aquatic centre in close proximity.   </w:t>
      </w:r>
    </w:p>
    <w:p w14:paraId="596D86E1" w14:textId="77777777" w:rsidR="00F756CC" w:rsidRPr="00F756CC" w:rsidRDefault="00F756CC" w:rsidP="00AF505E">
      <w:pPr>
        <w:pStyle w:val="ListParagraph"/>
        <w:spacing w:after="0"/>
        <w:rPr>
          <w:lang w:val="en-AU"/>
        </w:rPr>
      </w:pPr>
    </w:p>
    <w:p w14:paraId="1EF237B6" w14:textId="7DC8229A" w:rsidR="007C494D" w:rsidRPr="00F756CC" w:rsidRDefault="00F756CC" w:rsidP="00736861">
      <w:pPr>
        <w:pStyle w:val="ListParagraph"/>
        <w:numPr>
          <w:ilvl w:val="0"/>
          <w:numId w:val="9"/>
        </w:numPr>
        <w:spacing w:after="0"/>
        <w:ind w:left="1021" w:hanging="1021"/>
        <w:rPr>
          <w:lang w:val="en-AU"/>
        </w:rPr>
      </w:pPr>
      <w:r>
        <w:rPr>
          <w:lang w:val="en-AU"/>
        </w:rPr>
        <w:t xml:space="preserve">The </w:t>
      </w:r>
      <w:r w:rsidR="007C494D" w:rsidRPr="00F756CC">
        <w:rPr>
          <w:lang w:val="en-AU"/>
        </w:rPr>
        <w:t>VPA seeks that the Panel recommend support for the residential zones and d</w:t>
      </w:r>
      <w:r w:rsidR="007F3165">
        <w:rPr>
          <w:lang w:val="en-AU"/>
        </w:rPr>
        <w:t xml:space="preserve">ensities set out in the Part </w:t>
      </w:r>
      <w:proofErr w:type="gramStart"/>
      <w:r w:rsidR="007F3165">
        <w:rPr>
          <w:lang w:val="en-AU"/>
        </w:rPr>
        <w:t>A</w:t>
      </w:r>
      <w:proofErr w:type="gramEnd"/>
      <w:r w:rsidR="007F3165">
        <w:rPr>
          <w:lang w:val="en-AU"/>
        </w:rPr>
        <w:t xml:space="preserve"> S</w:t>
      </w:r>
      <w:r w:rsidR="007C494D" w:rsidRPr="00F756CC">
        <w:rPr>
          <w:lang w:val="en-AU"/>
        </w:rPr>
        <w:t xml:space="preserve">ubmission. </w:t>
      </w:r>
    </w:p>
    <w:p w14:paraId="4D5F0B8C" w14:textId="4564C27D" w:rsidR="00BE05BA" w:rsidRPr="00F756CC" w:rsidRDefault="003B20BA" w:rsidP="00AF505E">
      <w:pPr>
        <w:tabs>
          <w:tab w:val="right" w:pos="9026"/>
        </w:tabs>
        <w:spacing w:after="0"/>
      </w:pPr>
      <w:r>
        <w:tab/>
      </w:r>
    </w:p>
    <w:p w14:paraId="01E47053" w14:textId="0E529246" w:rsidR="007F3165" w:rsidRPr="007F3165" w:rsidRDefault="00F756CC" w:rsidP="00B93A6E">
      <w:pPr>
        <w:spacing w:after="0"/>
        <w:rPr>
          <w:b/>
          <w:sz w:val="36"/>
          <w:lang w:val="en-AU"/>
        </w:rPr>
      </w:pPr>
      <w:r>
        <w:rPr>
          <w:b/>
          <w:sz w:val="36"/>
          <w:lang w:val="en-AU"/>
        </w:rPr>
        <w:br w:type="page"/>
      </w:r>
      <w:r w:rsidR="00E14A87" w:rsidRPr="00385A5C">
        <w:rPr>
          <w:b/>
          <w:sz w:val="36"/>
          <w:lang w:val="en-AU"/>
        </w:rPr>
        <w:lastRenderedPageBreak/>
        <w:t xml:space="preserve">4. </w:t>
      </w:r>
      <w:r w:rsidR="008C6C51">
        <w:rPr>
          <w:b/>
          <w:sz w:val="36"/>
          <w:lang w:val="en-AU"/>
        </w:rPr>
        <w:t>Response to submissions made at the hearing (in order of presentation)</w:t>
      </w:r>
    </w:p>
    <w:p w14:paraId="1D57784E" w14:textId="13E355B5" w:rsidR="008C6C51" w:rsidRPr="00446CB1" w:rsidRDefault="009E6769" w:rsidP="00AF505E">
      <w:pPr>
        <w:pStyle w:val="Heading2"/>
        <w:rPr>
          <w:b/>
        </w:rPr>
      </w:pPr>
      <w:bookmarkStart w:id="17" w:name="_Toc469573653"/>
      <w:r>
        <w:t xml:space="preserve">4.1 </w:t>
      </w:r>
      <w:r w:rsidR="008C6C51" w:rsidRPr="007704AF">
        <w:t>Submission</w:t>
      </w:r>
      <w:r w:rsidR="008C6C51">
        <w:t>s</w:t>
      </w:r>
      <w:r w:rsidR="008C6C51" w:rsidRPr="007704AF">
        <w:t xml:space="preserve"> 20</w:t>
      </w:r>
      <w:r w:rsidR="008C6C51">
        <w:t xml:space="preserve"> &amp; 32</w:t>
      </w:r>
      <w:r w:rsidR="00A719F7">
        <w:t xml:space="preserve"> (</w:t>
      </w:r>
      <w:proofErr w:type="spellStart"/>
      <w:r w:rsidR="00A719F7">
        <w:t>Plumpton</w:t>
      </w:r>
      <w:proofErr w:type="spellEnd"/>
      <w:r w:rsidR="00A719F7">
        <w:t>)</w:t>
      </w:r>
      <w:r w:rsidR="008C6C51" w:rsidRPr="007704AF">
        <w:t xml:space="preserve"> –</w:t>
      </w:r>
      <w:r w:rsidR="008C6C51" w:rsidRPr="0021131D">
        <w:t>Urban Design and Management (on</w:t>
      </w:r>
      <w:r w:rsidR="008C6C51">
        <w:t xml:space="preserve"> behalf of </w:t>
      </w:r>
      <w:proofErr w:type="spellStart"/>
      <w:r w:rsidR="008C6C51">
        <w:t>Cagrier</w:t>
      </w:r>
      <w:proofErr w:type="spellEnd"/>
      <w:r w:rsidR="008C6C51">
        <w:t xml:space="preserve"> Investments P/L</w:t>
      </w:r>
      <w:r w:rsidR="008C6C51" w:rsidRPr="0021131D">
        <w:t>)</w:t>
      </w:r>
      <w:bookmarkEnd w:id="17"/>
      <w:r w:rsidR="00A719F7">
        <w:t xml:space="preserve"> </w:t>
      </w:r>
    </w:p>
    <w:p w14:paraId="3FAEF704" w14:textId="53CE8CF3" w:rsidR="008C6C51" w:rsidRDefault="008C6C51" w:rsidP="00AF505E">
      <w:pPr>
        <w:pStyle w:val="BodyText"/>
        <w:spacing w:line="276" w:lineRule="auto"/>
        <w:rPr>
          <w:rFonts w:asciiTheme="minorHAnsi" w:hAnsiTheme="minorHAnsi"/>
          <w:spacing w:val="-1"/>
        </w:rPr>
      </w:pPr>
      <w:r w:rsidRPr="003F5261">
        <w:rPr>
          <w:rFonts w:asciiTheme="minorHAnsi" w:hAnsiTheme="minorHAnsi"/>
          <w:b/>
          <w:bCs/>
          <w:spacing w:val="-1"/>
        </w:rPr>
        <w:t>Address:</w:t>
      </w:r>
      <w:r w:rsidRPr="003F5261">
        <w:rPr>
          <w:rFonts w:asciiTheme="minorHAnsi" w:hAnsiTheme="minorHAnsi"/>
          <w:b/>
          <w:bCs/>
          <w:spacing w:val="-3"/>
        </w:rPr>
        <w:t xml:space="preserve"> </w:t>
      </w:r>
      <w:r w:rsidR="009E6769">
        <w:rPr>
          <w:rFonts w:asciiTheme="minorHAnsi" w:hAnsiTheme="minorHAnsi"/>
          <w:b/>
          <w:bCs/>
          <w:spacing w:val="-3"/>
        </w:rPr>
        <w:tab/>
      </w:r>
      <w:r w:rsidRPr="003F5261">
        <w:rPr>
          <w:rFonts w:asciiTheme="minorHAnsi" w:hAnsiTheme="minorHAnsi"/>
          <w:spacing w:val="-1"/>
        </w:rPr>
        <w:t xml:space="preserve">1259-1265 </w:t>
      </w:r>
      <w:proofErr w:type="spellStart"/>
      <w:r w:rsidRPr="003F5261">
        <w:rPr>
          <w:rFonts w:asciiTheme="minorHAnsi" w:hAnsiTheme="minorHAnsi"/>
          <w:spacing w:val="-1"/>
        </w:rPr>
        <w:t>Plumpton</w:t>
      </w:r>
      <w:proofErr w:type="spellEnd"/>
      <w:r w:rsidRPr="003F5261">
        <w:rPr>
          <w:rFonts w:asciiTheme="minorHAnsi" w:hAnsiTheme="minorHAnsi"/>
          <w:spacing w:val="-1"/>
        </w:rPr>
        <w:t xml:space="preserve"> Road, </w:t>
      </w:r>
      <w:proofErr w:type="spellStart"/>
      <w:r w:rsidRPr="003F5261">
        <w:rPr>
          <w:rFonts w:asciiTheme="minorHAnsi" w:hAnsiTheme="minorHAnsi"/>
          <w:spacing w:val="-1"/>
        </w:rPr>
        <w:t>Plumpton</w:t>
      </w:r>
      <w:proofErr w:type="spellEnd"/>
      <w:r w:rsidRPr="003F5261">
        <w:rPr>
          <w:rFonts w:asciiTheme="minorHAnsi" w:hAnsiTheme="minorHAnsi"/>
          <w:spacing w:val="-1"/>
        </w:rPr>
        <w:t xml:space="preserve"> / #38</w:t>
      </w:r>
      <w:r>
        <w:rPr>
          <w:rFonts w:asciiTheme="minorHAnsi" w:hAnsiTheme="minorHAnsi"/>
          <w:spacing w:val="-1"/>
        </w:rPr>
        <w:t xml:space="preserve"> </w:t>
      </w:r>
    </w:p>
    <w:p w14:paraId="36473483" w14:textId="77777777" w:rsidR="008C6C51" w:rsidRDefault="008C6C51" w:rsidP="00AF505E">
      <w:pPr>
        <w:pStyle w:val="BodyText"/>
        <w:spacing w:line="276" w:lineRule="auto"/>
        <w:ind w:left="720" w:firstLine="720"/>
        <w:rPr>
          <w:rFonts w:asciiTheme="minorHAnsi" w:hAnsiTheme="minorHAnsi"/>
          <w:spacing w:val="-1"/>
        </w:rPr>
      </w:pPr>
      <w:r>
        <w:rPr>
          <w:rFonts w:asciiTheme="minorHAnsi" w:hAnsiTheme="minorHAnsi"/>
          <w:spacing w:val="-1"/>
        </w:rPr>
        <w:t xml:space="preserve">313-337 </w:t>
      </w:r>
      <w:proofErr w:type="spellStart"/>
      <w:r>
        <w:rPr>
          <w:rFonts w:asciiTheme="minorHAnsi" w:hAnsiTheme="minorHAnsi"/>
          <w:spacing w:val="-1"/>
        </w:rPr>
        <w:t>Beattys</w:t>
      </w:r>
      <w:proofErr w:type="spellEnd"/>
      <w:r>
        <w:rPr>
          <w:rFonts w:asciiTheme="minorHAnsi" w:hAnsiTheme="minorHAnsi"/>
          <w:spacing w:val="-1"/>
        </w:rPr>
        <w:t xml:space="preserve"> Road, </w:t>
      </w:r>
      <w:proofErr w:type="spellStart"/>
      <w:r>
        <w:rPr>
          <w:rFonts w:asciiTheme="minorHAnsi" w:hAnsiTheme="minorHAnsi"/>
          <w:spacing w:val="-1"/>
        </w:rPr>
        <w:t>Plumpton</w:t>
      </w:r>
      <w:proofErr w:type="spellEnd"/>
      <w:r>
        <w:rPr>
          <w:rFonts w:asciiTheme="minorHAnsi" w:hAnsiTheme="minorHAnsi"/>
          <w:spacing w:val="-1"/>
        </w:rPr>
        <w:t xml:space="preserve"> / #29</w:t>
      </w:r>
    </w:p>
    <w:p w14:paraId="64B65A2F" w14:textId="77777777" w:rsidR="008C6C51" w:rsidRDefault="008C6C51" w:rsidP="00AF505E">
      <w:pPr>
        <w:pStyle w:val="BodyText"/>
        <w:spacing w:line="276" w:lineRule="auto"/>
        <w:ind w:left="720" w:firstLine="720"/>
        <w:rPr>
          <w:rFonts w:asciiTheme="minorHAnsi" w:hAnsiTheme="minorHAnsi"/>
          <w:spacing w:val="-1"/>
        </w:rPr>
      </w:pPr>
      <w:r>
        <w:rPr>
          <w:rFonts w:asciiTheme="minorHAnsi" w:hAnsiTheme="minorHAnsi"/>
          <w:spacing w:val="-1"/>
        </w:rPr>
        <w:t xml:space="preserve">339-363 </w:t>
      </w:r>
      <w:proofErr w:type="spellStart"/>
      <w:r>
        <w:rPr>
          <w:rFonts w:asciiTheme="minorHAnsi" w:hAnsiTheme="minorHAnsi"/>
          <w:spacing w:val="-1"/>
        </w:rPr>
        <w:t>Beattys</w:t>
      </w:r>
      <w:proofErr w:type="spellEnd"/>
      <w:r>
        <w:rPr>
          <w:rFonts w:asciiTheme="minorHAnsi" w:hAnsiTheme="minorHAnsi"/>
          <w:spacing w:val="-1"/>
        </w:rPr>
        <w:t xml:space="preserve"> Road, </w:t>
      </w:r>
      <w:proofErr w:type="spellStart"/>
      <w:r>
        <w:rPr>
          <w:rFonts w:asciiTheme="minorHAnsi" w:hAnsiTheme="minorHAnsi"/>
          <w:spacing w:val="-1"/>
        </w:rPr>
        <w:t>Plumpton</w:t>
      </w:r>
      <w:proofErr w:type="spellEnd"/>
      <w:r>
        <w:rPr>
          <w:rFonts w:asciiTheme="minorHAnsi" w:hAnsiTheme="minorHAnsi"/>
          <w:spacing w:val="-1"/>
        </w:rPr>
        <w:t xml:space="preserve"> / #30</w:t>
      </w:r>
    </w:p>
    <w:p w14:paraId="42AE99B0" w14:textId="77777777" w:rsidR="008C6C51" w:rsidRPr="003F5261" w:rsidRDefault="008C6C51" w:rsidP="00AF505E">
      <w:pPr>
        <w:pStyle w:val="BodyText"/>
        <w:spacing w:line="276" w:lineRule="auto"/>
        <w:rPr>
          <w:rFonts w:asciiTheme="minorHAnsi" w:hAnsiTheme="minorHAnsi"/>
          <w:spacing w:val="-1"/>
        </w:rPr>
      </w:pPr>
    </w:p>
    <w:p w14:paraId="31171A8E" w14:textId="723F8567" w:rsidR="008C6C51" w:rsidRPr="009E6769" w:rsidRDefault="009E6769" w:rsidP="00736861">
      <w:pPr>
        <w:pStyle w:val="ListParagraph"/>
        <w:numPr>
          <w:ilvl w:val="0"/>
          <w:numId w:val="9"/>
        </w:numPr>
        <w:spacing w:after="0"/>
        <w:ind w:left="1021" w:hanging="1021"/>
        <w:rPr>
          <w:lang w:val="en-AU"/>
        </w:rPr>
      </w:pPr>
      <w:r>
        <w:rPr>
          <w:lang w:val="en-AU"/>
        </w:rPr>
        <w:t xml:space="preserve">The </w:t>
      </w:r>
      <w:r w:rsidR="007C494D" w:rsidRPr="009E6769">
        <w:rPr>
          <w:lang w:val="en-AU"/>
        </w:rPr>
        <w:t xml:space="preserve">VPA submits that the Panel ought </w:t>
      </w:r>
      <w:proofErr w:type="gramStart"/>
      <w:r w:rsidR="007C494D" w:rsidRPr="009E6769">
        <w:rPr>
          <w:lang w:val="en-AU"/>
        </w:rPr>
        <w:t>not</w:t>
      </w:r>
      <w:proofErr w:type="gramEnd"/>
      <w:r w:rsidR="007C494D" w:rsidRPr="009E6769">
        <w:rPr>
          <w:lang w:val="en-AU"/>
        </w:rPr>
        <w:t xml:space="preserve"> recommend adoption of the UDM proposed reconfigurations, for the reasons set out in the Part B submission. </w:t>
      </w:r>
    </w:p>
    <w:p w14:paraId="5E6295AC" w14:textId="77777777" w:rsidR="0020626D" w:rsidRPr="007C494D" w:rsidRDefault="0020626D" w:rsidP="00AF505E">
      <w:pPr>
        <w:pStyle w:val="BodyText"/>
        <w:spacing w:line="276" w:lineRule="auto"/>
        <w:rPr>
          <w:noProof/>
        </w:rPr>
      </w:pPr>
    </w:p>
    <w:p w14:paraId="0714CA65" w14:textId="4CC0AE73" w:rsidR="008C6C51" w:rsidRDefault="009E6769" w:rsidP="00AF505E">
      <w:pPr>
        <w:pStyle w:val="Heading2"/>
        <w:rPr>
          <w:i/>
          <w:noProof/>
          <w:color w:val="0070C0"/>
          <w:u w:val="single"/>
        </w:rPr>
      </w:pPr>
      <w:bookmarkStart w:id="18" w:name="_Toc469573654"/>
      <w:r>
        <w:rPr>
          <w:noProof/>
        </w:rPr>
        <w:t xml:space="preserve">4.2 </w:t>
      </w:r>
      <w:r w:rsidR="007F3165">
        <w:rPr>
          <w:noProof/>
        </w:rPr>
        <w:t>Submission 20</w:t>
      </w:r>
      <w:r w:rsidR="00A719F7">
        <w:rPr>
          <w:noProof/>
        </w:rPr>
        <w:t xml:space="preserve"> (Kororoit)</w:t>
      </w:r>
      <w:r w:rsidR="007F3165">
        <w:rPr>
          <w:noProof/>
        </w:rPr>
        <w:t xml:space="preserve"> – ID </w:t>
      </w:r>
      <w:r w:rsidR="008C6C51" w:rsidRPr="00A73A34">
        <w:rPr>
          <w:noProof/>
        </w:rPr>
        <w:t>Land</w:t>
      </w:r>
      <w:bookmarkEnd w:id="18"/>
    </w:p>
    <w:p w14:paraId="43A52F2D" w14:textId="77777777" w:rsidR="008C6C51" w:rsidRDefault="008C6C51" w:rsidP="00AF505E">
      <w:pPr>
        <w:spacing w:after="0" w:line="276" w:lineRule="auto"/>
        <w:rPr>
          <w:rFonts w:cs="Arial"/>
          <w:b/>
          <w:i/>
          <w:noProof/>
          <w:color w:val="0070C0"/>
          <w:u w:val="single"/>
        </w:rPr>
      </w:pPr>
      <w:r w:rsidRPr="0061415D">
        <w:rPr>
          <w:rFonts w:cs="Arial"/>
          <w:b/>
          <w:noProof/>
        </w:rPr>
        <w:t xml:space="preserve">Address: </w:t>
      </w:r>
      <w:r w:rsidRPr="0061415D">
        <w:rPr>
          <w:rFonts w:cs="Arial"/>
          <w:noProof/>
        </w:rPr>
        <w:t>905 &amp; 961 Taylors Road /#67 &amp; #68</w:t>
      </w:r>
    </w:p>
    <w:p w14:paraId="330FAAD0" w14:textId="77777777" w:rsidR="008C6C51" w:rsidRPr="00F452A1" w:rsidRDefault="008C6C51" w:rsidP="00AF505E">
      <w:pPr>
        <w:spacing w:after="0" w:line="276" w:lineRule="auto"/>
        <w:rPr>
          <w:rFonts w:cs="Arial"/>
          <w:noProof/>
          <w:color w:val="0070C0"/>
        </w:rPr>
      </w:pPr>
    </w:p>
    <w:p w14:paraId="7B18C2C1" w14:textId="65CA6800" w:rsidR="007C494D" w:rsidRDefault="009E6769" w:rsidP="00736861">
      <w:pPr>
        <w:pStyle w:val="ListParagraph"/>
        <w:numPr>
          <w:ilvl w:val="0"/>
          <w:numId w:val="9"/>
        </w:numPr>
        <w:spacing w:after="0"/>
        <w:ind w:left="1021" w:hanging="1021"/>
        <w:rPr>
          <w:lang w:val="en-AU"/>
        </w:rPr>
      </w:pPr>
      <w:r w:rsidRPr="009E6769">
        <w:rPr>
          <w:lang w:val="en-AU"/>
        </w:rPr>
        <w:t xml:space="preserve">The </w:t>
      </w:r>
      <w:r w:rsidR="007C494D" w:rsidRPr="009E6769">
        <w:rPr>
          <w:lang w:val="en-AU"/>
        </w:rPr>
        <w:t xml:space="preserve">VPA notes that no further information has been received from ID </w:t>
      </w:r>
      <w:r w:rsidR="00202A74">
        <w:rPr>
          <w:lang w:val="en-AU"/>
        </w:rPr>
        <w:t>Land in relation to Melbourne Water’s</w:t>
      </w:r>
      <w:r w:rsidR="007C494D" w:rsidRPr="009E6769">
        <w:rPr>
          <w:lang w:val="en-AU"/>
        </w:rPr>
        <w:t xml:space="preserve"> position, or any form of revised wordings for local parks or residential requirements.  </w:t>
      </w:r>
    </w:p>
    <w:p w14:paraId="61D5158A" w14:textId="77777777" w:rsidR="007F3165" w:rsidRPr="009E6769" w:rsidRDefault="007F3165" w:rsidP="007F3165">
      <w:pPr>
        <w:pStyle w:val="ListParagraph"/>
        <w:spacing w:after="0"/>
        <w:ind w:left="1021"/>
        <w:rPr>
          <w:lang w:val="en-AU"/>
        </w:rPr>
      </w:pPr>
    </w:p>
    <w:p w14:paraId="6D1A2F84" w14:textId="6BEF8F3A" w:rsidR="00202A74" w:rsidRPr="003676D3" w:rsidRDefault="009E6769">
      <w:pPr>
        <w:pStyle w:val="ListParagraph"/>
        <w:numPr>
          <w:ilvl w:val="0"/>
          <w:numId w:val="9"/>
        </w:numPr>
        <w:spacing w:after="0"/>
        <w:ind w:left="1021" w:hanging="1021"/>
        <w:rPr>
          <w:lang w:val="en-AU"/>
        </w:rPr>
      </w:pPr>
      <w:r w:rsidRPr="003676D3">
        <w:rPr>
          <w:lang w:val="en-AU"/>
        </w:rPr>
        <w:t xml:space="preserve">The </w:t>
      </w:r>
      <w:r w:rsidR="007C494D" w:rsidRPr="003676D3">
        <w:rPr>
          <w:lang w:val="en-AU"/>
        </w:rPr>
        <w:t xml:space="preserve">VPA submits that the Panel </w:t>
      </w:r>
      <w:r w:rsidR="00F452A1" w:rsidRPr="003676D3">
        <w:rPr>
          <w:lang w:val="en-AU"/>
        </w:rPr>
        <w:t>ought to</w:t>
      </w:r>
      <w:r w:rsidR="00202A74" w:rsidRPr="003676D3">
        <w:rPr>
          <w:lang w:val="en-AU"/>
        </w:rPr>
        <w:t xml:space="preserve"> recommend t</w:t>
      </w:r>
      <w:r w:rsidR="00EC4C63" w:rsidRPr="003676D3">
        <w:rPr>
          <w:lang w:val="en-AU"/>
        </w:rPr>
        <w:t>he retention of the exhibited intersection.  The traffic evidence was that the exhibited location was in fact “preferable” and the evidence as to loss of yield was not compelling.  Loss of profits alone is not a compe</w:t>
      </w:r>
      <w:r w:rsidR="00202A74" w:rsidRPr="003676D3">
        <w:rPr>
          <w:lang w:val="en-AU"/>
        </w:rPr>
        <w:t>lling strategic planning reason.</w:t>
      </w:r>
    </w:p>
    <w:p w14:paraId="78EB1E74" w14:textId="77777777" w:rsidR="00202A74" w:rsidRDefault="00202A74" w:rsidP="007F3165">
      <w:pPr>
        <w:pStyle w:val="ListParagraph"/>
        <w:spacing w:after="0"/>
        <w:ind w:left="1021"/>
        <w:rPr>
          <w:lang w:val="en-AU"/>
        </w:rPr>
      </w:pPr>
    </w:p>
    <w:p w14:paraId="55815CC2" w14:textId="6E208CCD" w:rsidR="00202A74" w:rsidRDefault="00EC4C63" w:rsidP="0073197B">
      <w:pPr>
        <w:pStyle w:val="ListParagraph"/>
        <w:numPr>
          <w:ilvl w:val="0"/>
          <w:numId w:val="16"/>
        </w:numPr>
        <w:spacing w:after="0"/>
        <w:rPr>
          <w:lang w:val="en-AU"/>
        </w:rPr>
      </w:pPr>
      <w:r w:rsidRPr="00202A74">
        <w:rPr>
          <w:lang w:val="en-AU"/>
        </w:rPr>
        <w:t>The retention of the exhibited location for the local park.  The requirement is flexible enough in terms of being ab</w:t>
      </w:r>
      <w:r w:rsidR="00F7265F">
        <w:rPr>
          <w:lang w:val="en-AU"/>
        </w:rPr>
        <w:t>l</w:t>
      </w:r>
      <w:r w:rsidRPr="00202A74">
        <w:rPr>
          <w:lang w:val="en-AU"/>
        </w:rPr>
        <w:t>e to relocate the park.  It would be inappropriate to reduce the amount of unencumbered open space.  Play equipment would be limited in the easement; and</w:t>
      </w:r>
    </w:p>
    <w:p w14:paraId="7DC14017" w14:textId="77777777" w:rsidR="00202A74" w:rsidRDefault="00202A74" w:rsidP="00AF505E">
      <w:pPr>
        <w:pStyle w:val="ListParagraph"/>
        <w:spacing w:after="0"/>
        <w:ind w:left="1021"/>
        <w:rPr>
          <w:lang w:val="en-AU"/>
        </w:rPr>
      </w:pPr>
    </w:p>
    <w:p w14:paraId="570BD5B6" w14:textId="5ED07264" w:rsidR="007704AF" w:rsidRPr="00202A74" w:rsidRDefault="00EC4C63" w:rsidP="0073197B">
      <w:pPr>
        <w:pStyle w:val="ListParagraph"/>
        <w:numPr>
          <w:ilvl w:val="0"/>
          <w:numId w:val="16"/>
        </w:numPr>
        <w:spacing w:after="0"/>
        <w:rPr>
          <w:lang w:val="en-AU"/>
        </w:rPr>
      </w:pPr>
      <w:r w:rsidRPr="00202A74">
        <w:rPr>
          <w:lang w:val="en-AU"/>
        </w:rPr>
        <w:t xml:space="preserve">No further change to the residential zoning, densities, or applicable requirements and guidelines.      </w:t>
      </w:r>
    </w:p>
    <w:p w14:paraId="154CF22B" w14:textId="77777777" w:rsidR="009E6769" w:rsidRPr="009E6769" w:rsidRDefault="009E6769" w:rsidP="00AF505E">
      <w:pPr>
        <w:spacing w:after="0" w:line="276" w:lineRule="auto"/>
        <w:rPr>
          <w:rFonts w:cs="Arial"/>
          <w:noProof/>
          <w:color w:val="0070C0"/>
          <w:u w:val="single"/>
        </w:rPr>
      </w:pPr>
    </w:p>
    <w:p w14:paraId="7C129B2E" w14:textId="1A907E1C" w:rsidR="008C6C51" w:rsidRPr="00F56957" w:rsidRDefault="009E6769" w:rsidP="00AF505E">
      <w:pPr>
        <w:pStyle w:val="Heading2"/>
      </w:pPr>
      <w:bookmarkStart w:id="19" w:name="_Toc469573655"/>
      <w:r>
        <w:t xml:space="preserve">4.3 </w:t>
      </w:r>
      <w:r w:rsidR="008C6C51" w:rsidRPr="00F56957">
        <w:t>Submission 12</w:t>
      </w:r>
      <w:r w:rsidR="00A719F7">
        <w:t xml:space="preserve"> (</w:t>
      </w:r>
      <w:proofErr w:type="spellStart"/>
      <w:r w:rsidR="00A719F7">
        <w:t>Plumpton</w:t>
      </w:r>
      <w:proofErr w:type="spellEnd"/>
      <w:r w:rsidR="00A719F7">
        <w:t>)</w:t>
      </w:r>
      <w:r w:rsidR="008C6C51" w:rsidRPr="00F56957">
        <w:rPr>
          <w:spacing w:val="-2"/>
        </w:rPr>
        <w:t xml:space="preserve"> </w:t>
      </w:r>
      <w:r w:rsidR="008C6C51" w:rsidRPr="00F56957">
        <w:t>–</w:t>
      </w:r>
      <w:proofErr w:type="spellStart"/>
      <w:r w:rsidR="008C6C51" w:rsidRPr="00F56957">
        <w:t>Mondous</w:t>
      </w:r>
      <w:proofErr w:type="spellEnd"/>
      <w:r w:rsidR="008C6C51" w:rsidRPr="00F56957">
        <w:t xml:space="preserve"> Group</w:t>
      </w:r>
      <w:bookmarkEnd w:id="19"/>
    </w:p>
    <w:p w14:paraId="7530F4C4" w14:textId="33F94670" w:rsidR="00F452A1" w:rsidRDefault="008C6C51" w:rsidP="00AF505E">
      <w:pPr>
        <w:pStyle w:val="BodyText"/>
        <w:spacing w:line="276" w:lineRule="auto"/>
        <w:rPr>
          <w:rFonts w:asciiTheme="minorHAnsi" w:hAnsiTheme="minorHAnsi"/>
          <w:spacing w:val="-1"/>
        </w:rPr>
      </w:pPr>
      <w:r w:rsidRPr="003F5261">
        <w:rPr>
          <w:rFonts w:asciiTheme="minorHAnsi" w:hAnsiTheme="minorHAnsi"/>
          <w:b/>
          <w:bCs/>
          <w:spacing w:val="-1"/>
        </w:rPr>
        <w:t>Address:</w:t>
      </w:r>
      <w:r w:rsidRPr="003F5261">
        <w:rPr>
          <w:rFonts w:asciiTheme="minorHAnsi" w:hAnsiTheme="minorHAnsi"/>
          <w:b/>
          <w:bCs/>
          <w:spacing w:val="-3"/>
        </w:rPr>
        <w:t xml:space="preserve"> </w:t>
      </w:r>
      <w:r w:rsidRPr="003F5261">
        <w:rPr>
          <w:rFonts w:asciiTheme="minorHAnsi" w:hAnsiTheme="minorHAnsi"/>
          <w:spacing w:val="-1"/>
        </w:rPr>
        <w:t>20-388</w:t>
      </w:r>
      <w:r w:rsidRPr="003F5261">
        <w:rPr>
          <w:rFonts w:asciiTheme="minorHAnsi" w:hAnsiTheme="minorHAnsi"/>
          <w:spacing w:val="1"/>
        </w:rPr>
        <w:t xml:space="preserve"> </w:t>
      </w:r>
      <w:proofErr w:type="spellStart"/>
      <w:r w:rsidR="007F3165">
        <w:rPr>
          <w:rFonts w:asciiTheme="minorHAnsi" w:hAnsiTheme="minorHAnsi"/>
          <w:spacing w:val="-1"/>
        </w:rPr>
        <w:t>Beatty</w:t>
      </w:r>
      <w:r w:rsidRPr="003F5261">
        <w:rPr>
          <w:rFonts w:asciiTheme="minorHAnsi" w:hAnsiTheme="minorHAnsi"/>
          <w:spacing w:val="-1"/>
        </w:rPr>
        <w:t>s</w:t>
      </w:r>
      <w:proofErr w:type="spellEnd"/>
      <w:r w:rsidRPr="003F5261">
        <w:rPr>
          <w:rFonts w:asciiTheme="minorHAnsi" w:hAnsiTheme="minorHAnsi"/>
        </w:rPr>
        <w:t xml:space="preserve"> </w:t>
      </w:r>
      <w:r w:rsidRPr="003F5261">
        <w:rPr>
          <w:rFonts w:asciiTheme="minorHAnsi" w:hAnsiTheme="minorHAnsi"/>
          <w:spacing w:val="-1"/>
        </w:rPr>
        <w:t xml:space="preserve">Road </w:t>
      </w:r>
      <w:r w:rsidRPr="003F5261">
        <w:rPr>
          <w:rFonts w:asciiTheme="minorHAnsi" w:hAnsiTheme="minorHAnsi"/>
        </w:rPr>
        <w:t>/</w:t>
      </w:r>
      <w:r w:rsidRPr="003F5261">
        <w:rPr>
          <w:rFonts w:asciiTheme="minorHAnsi" w:hAnsiTheme="minorHAnsi"/>
          <w:spacing w:val="-1"/>
        </w:rPr>
        <w:t xml:space="preserve"> #12,</w:t>
      </w:r>
      <w:r w:rsidRPr="003F5261">
        <w:rPr>
          <w:rFonts w:asciiTheme="minorHAnsi" w:hAnsiTheme="minorHAnsi"/>
          <w:spacing w:val="-2"/>
        </w:rPr>
        <w:t xml:space="preserve"> </w:t>
      </w:r>
      <w:r w:rsidRPr="003F5261">
        <w:rPr>
          <w:rFonts w:asciiTheme="minorHAnsi" w:hAnsiTheme="minorHAnsi"/>
          <w:spacing w:val="-1"/>
        </w:rPr>
        <w:t>#13</w:t>
      </w:r>
      <w:r w:rsidRPr="003F5261">
        <w:rPr>
          <w:rFonts w:asciiTheme="minorHAnsi" w:hAnsiTheme="minorHAnsi"/>
          <w:spacing w:val="1"/>
        </w:rPr>
        <w:t xml:space="preserve"> </w:t>
      </w:r>
      <w:r w:rsidRPr="003F5261">
        <w:rPr>
          <w:rFonts w:asciiTheme="minorHAnsi" w:hAnsiTheme="minorHAnsi"/>
          <w:spacing w:val="-1"/>
        </w:rPr>
        <w:t>and</w:t>
      </w:r>
      <w:r w:rsidRPr="003F5261">
        <w:rPr>
          <w:rFonts w:asciiTheme="minorHAnsi" w:hAnsiTheme="minorHAnsi"/>
          <w:spacing w:val="-3"/>
        </w:rPr>
        <w:t xml:space="preserve"> </w:t>
      </w:r>
      <w:r>
        <w:rPr>
          <w:rFonts w:asciiTheme="minorHAnsi" w:hAnsiTheme="minorHAnsi"/>
          <w:spacing w:val="-1"/>
        </w:rPr>
        <w:t>#15</w:t>
      </w:r>
    </w:p>
    <w:p w14:paraId="286DC9B4" w14:textId="77777777" w:rsidR="00F452A1" w:rsidRPr="00F452A1" w:rsidRDefault="00F452A1" w:rsidP="00AF505E">
      <w:pPr>
        <w:pStyle w:val="BodyText"/>
        <w:spacing w:line="276" w:lineRule="auto"/>
        <w:rPr>
          <w:rFonts w:asciiTheme="minorHAnsi" w:hAnsiTheme="minorHAnsi"/>
          <w:spacing w:val="-1"/>
        </w:rPr>
      </w:pPr>
    </w:p>
    <w:p w14:paraId="58D4247E" w14:textId="0DC8B50A" w:rsidR="00B0379B" w:rsidRDefault="009E6769" w:rsidP="00736861">
      <w:pPr>
        <w:pStyle w:val="ListParagraph"/>
        <w:numPr>
          <w:ilvl w:val="0"/>
          <w:numId w:val="9"/>
        </w:numPr>
        <w:spacing w:after="0"/>
        <w:ind w:left="1021" w:hanging="1021"/>
        <w:rPr>
          <w:lang w:val="en-AU"/>
        </w:rPr>
      </w:pPr>
      <w:r w:rsidRPr="009E6769">
        <w:rPr>
          <w:lang w:val="en-AU"/>
        </w:rPr>
        <w:t xml:space="preserve">The </w:t>
      </w:r>
      <w:r w:rsidR="0055198F" w:rsidRPr="009E6769">
        <w:rPr>
          <w:lang w:val="en-AU"/>
        </w:rPr>
        <w:t>VPA submits</w:t>
      </w:r>
      <w:r w:rsidR="00B0379B">
        <w:rPr>
          <w:lang w:val="en-AU"/>
        </w:rPr>
        <w:t xml:space="preserve"> that the Panel </w:t>
      </w:r>
      <w:r w:rsidR="00F452A1">
        <w:rPr>
          <w:lang w:val="en-AU"/>
        </w:rPr>
        <w:t>ought to</w:t>
      </w:r>
      <w:r w:rsidR="00B0379B">
        <w:rPr>
          <w:lang w:val="en-AU"/>
        </w:rPr>
        <w:t xml:space="preserve"> recommend n</w:t>
      </w:r>
      <w:r w:rsidR="0055198F" w:rsidRPr="00B0379B">
        <w:rPr>
          <w:lang w:val="en-AU"/>
        </w:rPr>
        <w:t xml:space="preserve">o change to the configuration of uses on the </w:t>
      </w:r>
      <w:proofErr w:type="spellStart"/>
      <w:r w:rsidR="0055198F" w:rsidRPr="00B0379B">
        <w:rPr>
          <w:lang w:val="en-AU"/>
        </w:rPr>
        <w:t>Mondous</w:t>
      </w:r>
      <w:proofErr w:type="spellEnd"/>
      <w:r w:rsidR="0055198F" w:rsidRPr="00B0379B">
        <w:rPr>
          <w:lang w:val="en-AU"/>
        </w:rPr>
        <w:t xml:space="preserve"> Land. </w:t>
      </w:r>
      <w:r w:rsidR="00F452A1">
        <w:rPr>
          <w:lang w:val="en-AU"/>
        </w:rPr>
        <w:t>The</w:t>
      </w:r>
      <w:r w:rsidR="0055198F" w:rsidRPr="00B0379B">
        <w:rPr>
          <w:lang w:val="en-AU"/>
        </w:rPr>
        <w:t xml:space="preserve"> VPA observes that no planning evidence was called by the </w:t>
      </w:r>
      <w:proofErr w:type="spellStart"/>
      <w:r w:rsidR="0055198F" w:rsidRPr="00B0379B">
        <w:rPr>
          <w:lang w:val="en-AU"/>
        </w:rPr>
        <w:t>Mondous</w:t>
      </w:r>
      <w:proofErr w:type="spellEnd"/>
      <w:r w:rsidR="0055198F" w:rsidRPr="00B0379B">
        <w:rPr>
          <w:lang w:val="en-AU"/>
        </w:rPr>
        <w:t xml:space="preserve"> Group in support of the submission that there would be difficulties in developing the land.  Ultimately, this submission was not taken very far. </w:t>
      </w:r>
      <w:r w:rsidR="00F452A1">
        <w:rPr>
          <w:lang w:val="en-AU"/>
        </w:rPr>
        <w:t xml:space="preserve">The </w:t>
      </w:r>
      <w:r w:rsidR="0055198F" w:rsidRPr="00B0379B">
        <w:rPr>
          <w:lang w:val="en-AU"/>
        </w:rPr>
        <w:t xml:space="preserve">VPA also notes that it would be possible to set aside a number of </w:t>
      </w:r>
      <w:proofErr w:type="spellStart"/>
      <w:r w:rsidR="0055198F" w:rsidRPr="00B0379B">
        <w:rPr>
          <w:lang w:val="en-AU"/>
        </w:rPr>
        <w:t>superlots</w:t>
      </w:r>
      <w:proofErr w:type="spellEnd"/>
      <w:r w:rsidR="0055198F" w:rsidRPr="00B0379B">
        <w:rPr>
          <w:lang w:val="en-AU"/>
        </w:rPr>
        <w:t xml:space="preserve"> and achieve conventional density housing now on portions of the </w:t>
      </w:r>
      <w:proofErr w:type="spellStart"/>
      <w:r w:rsidR="0055198F" w:rsidRPr="00B0379B">
        <w:rPr>
          <w:lang w:val="en-AU"/>
        </w:rPr>
        <w:t>Mondous</w:t>
      </w:r>
      <w:proofErr w:type="spellEnd"/>
      <w:r w:rsidR="0055198F" w:rsidRPr="00B0379B">
        <w:rPr>
          <w:lang w:val="en-AU"/>
        </w:rPr>
        <w:t xml:space="preserve"> Group land, if that is desired.  </w:t>
      </w:r>
    </w:p>
    <w:p w14:paraId="3F65C1BB" w14:textId="77777777" w:rsidR="00784A1F" w:rsidRDefault="00784A1F" w:rsidP="0073197B">
      <w:pPr>
        <w:pStyle w:val="ListParagraph"/>
        <w:spacing w:after="0"/>
        <w:ind w:left="1021"/>
        <w:rPr>
          <w:lang w:val="en-AU"/>
        </w:rPr>
      </w:pPr>
    </w:p>
    <w:p w14:paraId="1B37FD12" w14:textId="190DE7C4" w:rsidR="00784A1F" w:rsidRDefault="00784A1F" w:rsidP="00736861">
      <w:pPr>
        <w:pStyle w:val="ListParagraph"/>
        <w:numPr>
          <w:ilvl w:val="0"/>
          <w:numId w:val="9"/>
        </w:numPr>
        <w:spacing w:after="0"/>
        <w:ind w:left="1021" w:hanging="1021"/>
        <w:rPr>
          <w:lang w:val="en-AU"/>
        </w:rPr>
      </w:pPr>
      <w:r>
        <w:rPr>
          <w:lang w:val="en-AU"/>
        </w:rPr>
        <w:t xml:space="preserve">VPA notes that it has agreed revised extent of Major Town Centre with </w:t>
      </w:r>
      <w:proofErr w:type="spellStart"/>
      <w:r>
        <w:rPr>
          <w:lang w:val="en-AU"/>
        </w:rPr>
        <w:t>Mondous</w:t>
      </w:r>
      <w:proofErr w:type="spellEnd"/>
      <w:r>
        <w:rPr>
          <w:lang w:val="en-AU"/>
        </w:rPr>
        <w:t xml:space="preserve"> as per the Part B submission. Refer Appendix 14, which reflects this revised area.</w:t>
      </w:r>
    </w:p>
    <w:p w14:paraId="7D67C70F" w14:textId="77777777" w:rsidR="00B0379B" w:rsidRDefault="00B0379B" w:rsidP="00AF505E">
      <w:pPr>
        <w:pStyle w:val="ListParagraph"/>
        <w:spacing w:after="0"/>
        <w:ind w:left="1021"/>
        <w:rPr>
          <w:lang w:val="en-AU"/>
        </w:rPr>
      </w:pPr>
    </w:p>
    <w:p w14:paraId="2A56ABF2" w14:textId="1BA0D25C" w:rsidR="00F452A1" w:rsidRDefault="00A4485F" w:rsidP="00736861">
      <w:pPr>
        <w:pStyle w:val="ListParagraph"/>
        <w:numPr>
          <w:ilvl w:val="0"/>
          <w:numId w:val="9"/>
        </w:numPr>
        <w:spacing w:after="0"/>
        <w:ind w:left="1021" w:hanging="1021"/>
        <w:rPr>
          <w:lang w:val="en-AU"/>
        </w:rPr>
      </w:pPr>
      <w:r>
        <w:rPr>
          <w:lang w:val="en-AU"/>
        </w:rPr>
        <w:t xml:space="preserve">VPA also submits the Panel </w:t>
      </w:r>
      <w:r w:rsidR="003C01BF">
        <w:rPr>
          <w:lang w:val="en-AU"/>
        </w:rPr>
        <w:t>ought to</w:t>
      </w:r>
      <w:r>
        <w:rPr>
          <w:lang w:val="en-AU"/>
        </w:rPr>
        <w:t xml:space="preserve"> recommend no</w:t>
      </w:r>
      <w:r w:rsidR="0055198F" w:rsidRPr="00B0379B">
        <w:rPr>
          <w:lang w:val="en-AU"/>
        </w:rPr>
        <w:t xml:space="preserve"> change to the zoning of land within the Plumpton Busines</w:t>
      </w:r>
      <w:r w:rsidR="00F452A1">
        <w:rPr>
          <w:lang w:val="en-AU"/>
        </w:rPr>
        <w:t>s and Industrial Precinct.</w:t>
      </w:r>
      <w:r w:rsidR="00784A1F">
        <w:rPr>
          <w:lang w:val="en-AU"/>
        </w:rPr>
        <w:t xml:space="preserve"> VPA does note that it agreed to changes to the Business and Industrial concept plan which are included at Appendix 15.</w:t>
      </w:r>
    </w:p>
    <w:p w14:paraId="135BA3A7" w14:textId="77777777" w:rsidR="00F452A1" w:rsidRDefault="00F452A1" w:rsidP="00AF505E">
      <w:pPr>
        <w:pStyle w:val="ListParagraph"/>
        <w:spacing w:after="0"/>
      </w:pPr>
    </w:p>
    <w:p w14:paraId="114C9299" w14:textId="5A0F2DC4" w:rsidR="00B0379B" w:rsidRPr="00F452A1" w:rsidRDefault="00B0379B" w:rsidP="00AF505E">
      <w:pPr>
        <w:pStyle w:val="Heading3"/>
        <w:rPr>
          <w:lang w:val="en-AU"/>
        </w:rPr>
      </w:pPr>
      <w:bookmarkStart w:id="20" w:name="_Toc469573656"/>
      <w:r>
        <w:t>Industrial land take</w:t>
      </w:r>
      <w:bookmarkEnd w:id="20"/>
    </w:p>
    <w:p w14:paraId="61B65DC2" w14:textId="77777777" w:rsidR="00B0379B" w:rsidRDefault="0055198F" w:rsidP="00736861">
      <w:pPr>
        <w:pStyle w:val="ListParagraph"/>
        <w:numPr>
          <w:ilvl w:val="0"/>
          <w:numId w:val="9"/>
        </w:numPr>
        <w:spacing w:after="0"/>
        <w:ind w:left="1021" w:hanging="1021"/>
        <w:rPr>
          <w:lang w:val="en-AU"/>
        </w:rPr>
      </w:pPr>
      <w:r w:rsidRPr="009E6769">
        <w:rPr>
          <w:lang w:val="en-AU"/>
        </w:rPr>
        <w:t>In terms of the Industrial land take up, the VPA submits</w:t>
      </w:r>
      <w:r w:rsidR="00B0379B">
        <w:rPr>
          <w:lang w:val="en-AU"/>
        </w:rPr>
        <w:t xml:space="preserve"> a</w:t>
      </w:r>
      <w:r w:rsidR="00E74E5B" w:rsidRPr="00B0379B">
        <w:rPr>
          <w:lang w:val="en-AU"/>
        </w:rPr>
        <w:t>n</w:t>
      </w:r>
      <w:r w:rsidRPr="00B0379B">
        <w:rPr>
          <w:lang w:val="en-AU"/>
        </w:rPr>
        <w:t xml:space="preserve"> appropriate amount of land has been designated for Industrial use.</w:t>
      </w:r>
      <w:r w:rsidR="00E74E5B" w:rsidRPr="00B0379B">
        <w:rPr>
          <w:lang w:val="en-AU"/>
        </w:rPr>
        <w:t xml:space="preserve">  In fact Mr </w:t>
      </w:r>
      <w:proofErr w:type="spellStart"/>
      <w:r w:rsidR="00E74E5B" w:rsidRPr="00B0379B">
        <w:rPr>
          <w:lang w:val="en-AU"/>
        </w:rPr>
        <w:t>Hrelja’s</w:t>
      </w:r>
      <w:proofErr w:type="spellEnd"/>
      <w:r w:rsidR="00E74E5B" w:rsidRPr="00B0379B">
        <w:rPr>
          <w:lang w:val="en-AU"/>
        </w:rPr>
        <w:t xml:space="preserve"> evidence is there may be an undersupply over time. </w:t>
      </w:r>
      <w:r w:rsidRPr="00B0379B">
        <w:rPr>
          <w:lang w:val="en-AU"/>
        </w:rPr>
        <w:t xml:space="preserve">  </w:t>
      </w:r>
    </w:p>
    <w:p w14:paraId="73FC6A83" w14:textId="77777777" w:rsidR="00B0379B" w:rsidRDefault="00B0379B" w:rsidP="00AF505E">
      <w:pPr>
        <w:pStyle w:val="ListParagraph"/>
        <w:spacing w:after="0"/>
        <w:ind w:left="1021"/>
        <w:rPr>
          <w:lang w:val="en-AU"/>
        </w:rPr>
      </w:pPr>
    </w:p>
    <w:p w14:paraId="73CC331E" w14:textId="15984CA2" w:rsidR="00B0379B" w:rsidRDefault="0055198F" w:rsidP="00736861">
      <w:pPr>
        <w:pStyle w:val="ListParagraph"/>
        <w:numPr>
          <w:ilvl w:val="0"/>
          <w:numId w:val="9"/>
        </w:numPr>
        <w:spacing w:after="0"/>
        <w:ind w:left="1021" w:hanging="1021"/>
        <w:rPr>
          <w:lang w:val="en-AU"/>
        </w:rPr>
      </w:pPr>
      <w:r w:rsidRPr="00B0379B">
        <w:rPr>
          <w:lang w:val="en-AU"/>
        </w:rPr>
        <w:t xml:space="preserve">The Panel should accept Mr </w:t>
      </w:r>
      <w:proofErr w:type="spellStart"/>
      <w:r w:rsidRPr="00B0379B">
        <w:rPr>
          <w:lang w:val="en-AU"/>
        </w:rPr>
        <w:t>Hrelja’s</w:t>
      </w:r>
      <w:proofErr w:type="spellEnd"/>
      <w:r w:rsidRPr="00B0379B">
        <w:rPr>
          <w:lang w:val="en-AU"/>
        </w:rPr>
        <w:t xml:space="preserve"> evidence.  Mr </w:t>
      </w:r>
      <w:proofErr w:type="spellStart"/>
      <w:r w:rsidRPr="00B0379B">
        <w:rPr>
          <w:lang w:val="en-AU"/>
        </w:rPr>
        <w:t>Hrelja</w:t>
      </w:r>
      <w:proofErr w:type="spellEnd"/>
      <w:r w:rsidRPr="00B0379B">
        <w:rPr>
          <w:lang w:val="en-AU"/>
        </w:rPr>
        <w:t xml:space="preserve"> gave evidence and was made available for cross examination.  But as it stands, his evidence was </w:t>
      </w:r>
      <w:r w:rsidR="00F452A1" w:rsidRPr="00B0379B">
        <w:rPr>
          <w:lang w:val="en-AU"/>
        </w:rPr>
        <w:t>unchallenged –</w:t>
      </w:r>
      <w:r w:rsidRPr="00B0379B">
        <w:rPr>
          <w:lang w:val="en-AU"/>
        </w:rPr>
        <w:t xml:space="preserve"> despite the opportunity having been made available.  Mr </w:t>
      </w:r>
      <w:proofErr w:type="spellStart"/>
      <w:r w:rsidRPr="00B0379B">
        <w:rPr>
          <w:lang w:val="en-AU"/>
        </w:rPr>
        <w:t>Hrelja’s</w:t>
      </w:r>
      <w:proofErr w:type="spellEnd"/>
      <w:r w:rsidRPr="00B0379B">
        <w:rPr>
          <w:lang w:val="en-AU"/>
        </w:rPr>
        <w:t xml:space="preserve"> evidence was clear,</w:t>
      </w:r>
      <w:r w:rsidR="00E74E5B" w:rsidRPr="00B0379B">
        <w:rPr>
          <w:lang w:val="en-AU"/>
        </w:rPr>
        <w:t xml:space="preserve"> considered,</w:t>
      </w:r>
      <w:r w:rsidRPr="00B0379B">
        <w:rPr>
          <w:lang w:val="en-AU"/>
        </w:rPr>
        <w:t xml:space="preserve"> </w:t>
      </w:r>
      <w:r w:rsidR="00E74E5B" w:rsidRPr="00B0379B">
        <w:rPr>
          <w:lang w:val="en-AU"/>
        </w:rPr>
        <w:t xml:space="preserve">and based on a methodology that Mr </w:t>
      </w:r>
      <w:proofErr w:type="spellStart"/>
      <w:r w:rsidR="00E74E5B" w:rsidRPr="00B0379B">
        <w:rPr>
          <w:lang w:val="en-AU"/>
        </w:rPr>
        <w:t>Henshall</w:t>
      </w:r>
      <w:proofErr w:type="spellEnd"/>
      <w:r w:rsidR="00E74E5B" w:rsidRPr="00B0379B">
        <w:rPr>
          <w:lang w:val="en-AU"/>
        </w:rPr>
        <w:t xml:space="preserve"> accepted as “one way to do it”.  Mr </w:t>
      </w:r>
      <w:proofErr w:type="spellStart"/>
      <w:r w:rsidR="00E74E5B" w:rsidRPr="00B0379B">
        <w:rPr>
          <w:lang w:val="en-AU"/>
        </w:rPr>
        <w:t>Hrelja</w:t>
      </w:r>
      <w:proofErr w:type="spellEnd"/>
      <w:r w:rsidR="00E74E5B" w:rsidRPr="00B0379B">
        <w:rPr>
          <w:lang w:val="en-AU"/>
        </w:rPr>
        <w:t xml:space="preserve"> employed appropriate techniques to assess the amount of industrial land that could be supported.</w:t>
      </w:r>
      <w:r w:rsidR="00232A9C" w:rsidRPr="00B0379B">
        <w:rPr>
          <w:lang w:val="en-AU"/>
        </w:rPr>
        <w:t xml:space="preserve">  The “core” assessment of looking at future population numbers and corresponding ratios of need for industrial land in the area is a sound approach. </w:t>
      </w:r>
      <w:r w:rsidR="00E74E5B" w:rsidRPr="00B0379B">
        <w:rPr>
          <w:lang w:val="en-AU"/>
        </w:rPr>
        <w:t xml:space="preserve">  </w:t>
      </w:r>
      <w:r w:rsidRPr="00B0379B">
        <w:rPr>
          <w:lang w:val="en-AU"/>
        </w:rPr>
        <w:t xml:space="preserve"> </w:t>
      </w:r>
    </w:p>
    <w:p w14:paraId="4274CE4D" w14:textId="77777777" w:rsidR="00B0379B" w:rsidRPr="00B0379B" w:rsidRDefault="00B0379B" w:rsidP="00AF505E">
      <w:pPr>
        <w:pStyle w:val="ListParagraph"/>
        <w:spacing w:after="0"/>
        <w:rPr>
          <w:lang w:val="en-AU"/>
        </w:rPr>
      </w:pPr>
    </w:p>
    <w:p w14:paraId="0E2F5EA2" w14:textId="7E0945C4" w:rsidR="00B0379B" w:rsidRDefault="00E74E5B" w:rsidP="00736861">
      <w:pPr>
        <w:pStyle w:val="ListParagraph"/>
        <w:numPr>
          <w:ilvl w:val="0"/>
          <w:numId w:val="9"/>
        </w:numPr>
        <w:spacing w:after="0"/>
        <w:ind w:left="1021" w:hanging="1021"/>
        <w:rPr>
          <w:lang w:val="en-AU"/>
        </w:rPr>
      </w:pPr>
      <w:r w:rsidRPr="00B0379B">
        <w:rPr>
          <w:lang w:val="en-AU"/>
        </w:rPr>
        <w:t xml:space="preserve">By contrast, the Panel should give very little weight to Mr </w:t>
      </w:r>
      <w:proofErr w:type="spellStart"/>
      <w:r w:rsidRPr="00B0379B">
        <w:rPr>
          <w:lang w:val="en-AU"/>
        </w:rPr>
        <w:t>Henshall’s</w:t>
      </w:r>
      <w:proofErr w:type="spellEnd"/>
      <w:r w:rsidRPr="00B0379B">
        <w:rPr>
          <w:lang w:val="en-AU"/>
        </w:rPr>
        <w:t xml:space="preserve"> evidence.  Mr </w:t>
      </w:r>
      <w:proofErr w:type="spellStart"/>
      <w:r w:rsidR="0055198F" w:rsidRPr="00B0379B">
        <w:rPr>
          <w:lang w:val="en-AU"/>
        </w:rPr>
        <w:t>Henshall</w:t>
      </w:r>
      <w:proofErr w:type="spellEnd"/>
      <w:r w:rsidR="0055198F" w:rsidRPr="00B0379B">
        <w:rPr>
          <w:lang w:val="en-AU"/>
        </w:rPr>
        <w:t xml:space="preserve"> did not do his own assessment of what the</w:t>
      </w:r>
      <w:r w:rsidRPr="00B0379B">
        <w:rPr>
          <w:lang w:val="en-AU"/>
        </w:rPr>
        <w:t xml:space="preserve"> actual</w:t>
      </w:r>
      <w:r w:rsidR="0055198F" w:rsidRPr="00B0379B">
        <w:rPr>
          <w:lang w:val="en-AU"/>
        </w:rPr>
        <w:t xml:space="preserve"> take up rates</w:t>
      </w:r>
      <w:r w:rsidRPr="00B0379B">
        <w:rPr>
          <w:lang w:val="en-AU"/>
        </w:rPr>
        <w:t xml:space="preserve"> or demand</w:t>
      </w:r>
      <w:r w:rsidR="0055198F" w:rsidRPr="00B0379B">
        <w:rPr>
          <w:lang w:val="en-AU"/>
        </w:rPr>
        <w:t xml:space="preserve"> would be</w:t>
      </w:r>
      <w:r w:rsidRPr="00B0379B">
        <w:rPr>
          <w:lang w:val="en-AU"/>
        </w:rPr>
        <w:t>. He d</w:t>
      </w:r>
      <w:r w:rsidR="0055198F" w:rsidRPr="00B0379B">
        <w:rPr>
          <w:lang w:val="en-AU"/>
        </w:rPr>
        <w:t xml:space="preserve">id not say the land would never be used, just </w:t>
      </w:r>
      <w:r w:rsidRPr="00B0379B">
        <w:rPr>
          <w:lang w:val="en-AU"/>
        </w:rPr>
        <w:t>that</w:t>
      </w:r>
      <w:r w:rsidR="0055198F" w:rsidRPr="00B0379B">
        <w:rPr>
          <w:lang w:val="en-AU"/>
        </w:rPr>
        <w:t xml:space="preserve"> estimates of time vary</w:t>
      </w:r>
      <w:r w:rsidRPr="00B0379B">
        <w:rPr>
          <w:lang w:val="en-AU"/>
        </w:rPr>
        <w:t xml:space="preserve"> depending upon which rate you use. Mr </w:t>
      </w:r>
      <w:proofErr w:type="spellStart"/>
      <w:r w:rsidRPr="00B0379B">
        <w:rPr>
          <w:lang w:val="en-AU"/>
        </w:rPr>
        <w:t>Henshall’s</w:t>
      </w:r>
      <w:proofErr w:type="spellEnd"/>
      <w:r w:rsidRPr="00B0379B">
        <w:rPr>
          <w:lang w:val="en-AU"/>
        </w:rPr>
        <w:t xml:space="preserve"> </w:t>
      </w:r>
      <w:r w:rsidR="0055198F" w:rsidRPr="00B0379B">
        <w:rPr>
          <w:lang w:val="en-AU"/>
        </w:rPr>
        <w:t xml:space="preserve">position to Mr </w:t>
      </w:r>
      <w:proofErr w:type="spellStart"/>
      <w:r w:rsidR="0055198F" w:rsidRPr="00B0379B">
        <w:rPr>
          <w:lang w:val="en-AU"/>
        </w:rPr>
        <w:t>Hrelja’s</w:t>
      </w:r>
      <w:proofErr w:type="spellEnd"/>
      <w:r w:rsidR="0055198F" w:rsidRPr="00B0379B">
        <w:rPr>
          <w:lang w:val="en-AU"/>
        </w:rPr>
        <w:t xml:space="preserve"> evidence was not convincing – he criticized aspects of the report, but did not disagree with the core </w:t>
      </w:r>
      <w:r w:rsidR="003C01BF" w:rsidRPr="00B0379B">
        <w:rPr>
          <w:lang w:val="en-AU"/>
        </w:rPr>
        <w:t>analysis</w:t>
      </w:r>
      <w:r w:rsidR="0055198F" w:rsidRPr="00B0379B">
        <w:rPr>
          <w:lang w:val="en-AU"/>
        </w:rPr>
        <w:t xml:space="preserve"> undertaken by Mr </w:t>
      </w:r>
      <w:proofErr w:type="spellStart"/>
      <w:r w:rsidR="0055198F" w:rsidRPr="00B0379B">
        <w:rPr>
          <w:lang w:val="en-AU"/>
        </w:rPr>
        <w:t>Hrelja</w:t>
      </w:r>
      <w:proofErr w:type="spellEnd"/>
      <w:r w:rsidR="0055198F" w:rsidRPr="00B0379B">
        <w:rPr>
          <w:lang w:val="en-AU"/>
        </w:rPr>
        <w:t xml:space="preserve">.  </w:t>
      </w:r>
      <w:r w:rsidRPr="00B0379B">
        <w:rPr>
          <w:lang w:val="en-AU"/>
        </w:rPr>
        <w:t>He agreed in cross examination</w:t>
      </w:r>
      <w:r w:rsidR="0055198F" w:rsidRPr="00B0379B">
        <w:rPr>
          <w:lang w:val="en-AU"/>
        </w:rPr>
        <w:t xml:space="preserve"> that this core analysis was “one way to do it”</w:t>
      </w:r>
      <w:r w:rsidRPr="00B0379B">
        <w:rPr>
          <w:lang w:val="en-AU"/>
        </w:rPr>
        <w:t xml:space="preserve">.  </w:t>
      </w:r>
      <w:r w:rsidR="0055198F" w:rsidRPr="00B0379B">
        <w:rPr>
          <w:lang w:val="en-AU"/>
        </w:rPr>
        <w:t>He</w:t>
      </w:r>
      <w:r w:rsidRPr="00B0379B">
        <w:rPr>
          <w:lang w:val="en-AU"/>
        </w:rPr>
        <w:t xml:space="preserve"> also</w:t>
      </w:r>
      <w:r w:rsidR="0055198F" w:rsidRPr="00B0379B">
        <w:rPr>
          <w:lang w:val="en-AU"/>
        </w:rPr>
        <w:t xml:space="preserve"> agreed in </w:t>
      </w:r>
      <w:r w:rsidRPr="00B0379B">
        <w:rPr>
          <w:lang w:val="en-AU"/>
        </w:rPr>
        <w:t>cross examination</w:t>
      </w:r>
      <w:r w:rsidR="0055198F" w:rsidRPr="00B0379B">
        <w:rPr>
          <w:lang w:val="en-AU"/>
        </w:rPr>
        <w:t xml:space="preserve"> that there will be a change from past take up rates to future take up rates</w:t>
      </w:r>
      <w:r w:rsidRPr="00B0379B">
        <w:rPr>
          <w:lang w:val="en-AU"/>
        </w:rPr>
        <w:t xml:space="preserve">. </w:t>
      </w:r>
      <w:r w:rsidR="0055198F" w:rsidRPr="00B0379B">
        <w:rPr>
          <w:lang w:val="en-AU"/>
        </w:rPr>
        <w:t xml:space="preserve">He agreed that Mr </w:t>
      </w:r>
      <w:proofErr w:type="spellStart"/>
      <w:r w:rsidR="0055198F" w:rsidRPr="00B0379B">
        <w:rPr>
          <w:lang w:val="en-AU"/>
        </w:rPr>
        <w:t>Hrelja</w:t>
      </w:r>
      <w:proofErr w:type="spellEnd"/>
      <w:r w:rsidR="0055198F" w:rsidRPr="00B0379B">
        <w:rPr>
          <w:lang w:val="en-AU"/>
        </w:rPr>
        <w:t xml:space="preserve"> had factored in the difference between likely take up rates for State significant industry as compared with local, in this PSP</w:t>
      </w:r>
      <w:r w:rsidRPr="00B0379B">
        <w:rPr>
          <w:lang w:val="en-AU"/>
        </w:rPr>
        <w:t xml:space="preserve">. </w:t>
      </w:r>
    </w:p>
    <w:p w14:paraId="323DE80F" w14:textId="77777777" w:rsidR="00B0379B" w:rsidRPr="00B0379B" w:rsidRDefault="00B0379B" w:rsidP="00AF505E">
      <w:pPr>
        <w:pStyle w:val="ListParagraph"/>
        <w:spacing w:after="0"/>
        <w:rPr>
          <w:lang w:val="en-AU"/>
        </w:rPr>
      </w:pPr>
    </w:p>
    <w:p w14:paraId="5C1F15A6" w14:textId="61D8F6F2" w:rsidR="00B0379B" w:rsidRDefault="0055198F" w:rsidP="00736861">
      <w:pPr>
        <w:pStyle w:val="ListParagraph"/>
        <w:numPr>
          <w:ilvl w:val="0"/>
          <w:numId w:val="9"/>
        </w:numPr>
        <w:spacing w:after="0"/>
        <w:ind w:left="1021" w:hanging="1021"/>
        <w:rPr>
          <w:lang w:val="en-AU"/>
        </w:rPr>
      </w:pPr>
      <w:r w:rsidRPr="00B0379B">
        <w:rPr>
          <w:lang w:val="en-AU"/>
        </w:rPr>
        <w:t>In fact,</w:t>
      </w:r>
      <w:r w:rsidR="00E74E5B" w:rsidRPr="00B0379B">
        <w:rPr>
          <w:lang w:val="en-AU"/>
        </w:rPr>
        <w:t xml:space="preserve"> with respect, Mr</w:t>
      </w:r>
      <w:r w:rsidRPr="00B0379B">
        <w:rPr>
          <w:lang w:val="en-AU"/>
        </w:rPr>
        <w:t xml:space="preserve"> </w:t>
      </w:r>
      <w:proofErr w:type="spellStart"/>
      <w:r w:rsidRPr="00B0379B">
        <w:rPr>
          <w:lang w:val="en-AU"/>
        </w:rPr>
        <w:t>Henshall</w:t>
      </w:r>
      <w:proofErr w:type="spellEnd"/>
      <w:r w:rsidRPr="00B0379B">
        <w:rPr>
          <w:lang w:val="en-AU"/>
        </w:rPr>
        <w:t xml:space="preserve"> concluded </w:t>
      </w:r>
      <w:r w:rsidR="00E74E5B" w:rsidRPr="00B0379B">
        <w:rPr>
          <w:lang w:val="en-AU"/>
        </w:rPr>
        <w:t xml:space="preserve">Mr </w:t>
      </w:r>
      <w:proofErr w:type="spellStart"/>
      <w:r w:rsidRPr="00B0379B">
        <w:rPr>
          <w:lang w:val="en-AU"/>
        </w:rPr>
        <w:t>Hrelja</w:t>
      </w:r>
      <w:r w:rsidR="00E74E5B" w:rsidRPr="00B0379B">
        <w:rPr>
          <w:lang w:val="en-AU"/>
        </w:rPr>
        <w:t>’s</w:t>
      </w:r>
      <w:proofErr w:type="spellEnd"/>
      <w:r w:rsidRPr="00B0379B">
        <w:rPr>
          <w:lang w:val="en-AU"/>
        </w:rPr>
        <w:t xml:space="preserve"> evidence was optimistic without really explaining why.  Two reasons</w:t>
      </w:r>
      <w:r w:rsidR="00E74E5B" w:rsidRPr="00B0379B">
        <w:rPr>
          <w:lang w:val="en-AU"/>
        </w:rPr>
        <w:t xml:space="preserve"> were given: one related to the use of</w:t>
      </w:r>
      <w:r w:rsidRPr="00B0379B">
        <w:rPr>
          <w:lang w:val="en-AU"/>
        </w:rPr>
        <w:t xml:space="preserve"> “pipeline” figures and </w:t>
      </w:r>
      <w:r w:rsidR="00E74E5B" w:rsidRPr="00B0379B">
        <w:rPr>
          <w:lang w:val="en-AU"/>
        </w:rPr>
        <w:t>the other</w:t>
      </w:r>
      <w:r w:rsidR="00A4485F">
        <w:rPr>
          <w:lang w:val="en-AU"/>
        </w:rPr>
        <w:t xml:space="preserve"> was</w:t>
      </w:r>
      <w:r w:rsidR="00E74E5B" w:rsidRPr="00B0379B">
        <w:rPr>
          <w:lang w:val="en-AU"/>
        </w:rPr>
        <w:t xml:space="preserve"> that</w:t>
      </w:r>
      <w:r w:rsidRPr="00B0379B">
        <w:rPr>
          <w:lang w:val="en-AU"/>
        </w:rPr>
        <w:t xml:space="preserve"> other</w:t>
      </w:r>
      <w:r w:rsidR="00E74E5B" w:rsidRPr="00B0379B">
        <w:rPr>
          <w:lang w:val="en-AU"/>
        </w:rPr>
        <w:t xml:space="preserve"> industrial</w:t>
      </w:r>
      <w:r w:rsidRPr="00B0379B">
        <w:rPr>
          <w:lang w:val="en-AU"/>
        </w:rPr>
        <w:t xml:space="preserve"> areas exist</w:t>
      </w:r>
      <w:r w:rsidR="00E74E5B" w:rsidRPr="00B0379B">
        <w:rPr>
          <w:lang w:val="en-AU"/>
        </w:rPr>
        <w:t xml:space="preserve"> in the region</w:t>
      </w:r>
      <w:r w:rsidRPr="00B0379B">
        <w:rPr>
          <w:lang w:val="en-AU"/>
        </w:rPr>
        <w:t xml:space="preserve">.  But </w:t>
      </w:r>
      <w:r w:rsidR="00E74E5B" w:rsidRPr="00B0379B">
        <w:rPr>
          <w:lang w:val="en-AU"/>
        </w:rPr>
        <w:t xml:space="preserve">there was </w:t>
      </w:r>
      <w:r w:rsidRPr="00B0379B">
        <w:rPr>
          <w:lang w:val="en-AU"/>
        </w:rPr>
        <w:t xml:space="preserve">no hard analysis around these things. </w:t>
      </w:r>
      <w:r w:rsidR="00E74E5B" w:rsidRPr="00B0379B">
        <w:rPr>
          <w:lang w:val="en-AU"/>
        </w:rPr>
        <w:t xml:space="preserve">Therefore the evidence was lacking. </w:t>
      </w:r>
    </w:p>
    <w:p w14:paraId="04B87BB1" w14:textId="77777777" w:rsidR="00B0379B" w:rsidRPr="00B0379B" w:rsidRDefault="00B0379B" w:rsidP="00AF505E">
      <w:pPr>
        <w:pStyle w:val="ListParagraph"/>
        <w:spacing w:after="0"/>
        <w:rPr>
          <w:lang w:val="en-AU"/>
        </w:rPr>
      </w:pPr>
    </w:p>
    <w:p w14:paraId="2A6C183F" w14:textId="5B867ADA" w:rsidR="00B0379B" w:rsidRDefault="00E74E5B" w:rsidP="00736861">
      <w:pPr>
        <w:pStyle w:val="ListParagraph"/>
        <w:numPr>
          <w:ilvl w:val="0"/>
          <w:numId w:val="9"/>
        </w:numPr>
        <w:spacing w:after="0"/>
        <w:ind w:left="1021" w:hanging="1021"/>
        <w:rPr>
          <w:lang w:val="en-AU"/>
        </w:rPr>
      </w:pPr>
      <w:r w:rsidRPr="00B0379B">
        <w:rPr>
          <w:lang w:val="en-AU"/>
        </w:rPr>
        <w:t xml:space="preserve">When asked by the Panel </w:t>
      </w:r>
      <w:r w:rsidR="0055198F" w:rsidRPr="00B0379B">
        <w:rPr>
          <w:lang w:val="en-AU"/>
        </w:rPr>
        <w:t xml:space="preserve">what </w:t>
      </w:r>
      <w:proofErr w:type="gramStart"/>
      <w:r w:rsidR="0055198F" w:rsidRPr="00B0379B">
        <w:rPr>
          <w:lang w:val="en-AU"/>
        </w:rPr>
        <w:t xml:space="preserve">is </w:t>
      </w:r>
      <w:r w:rsidRPr="00B0379B">
        <w:rPr>
          <w:lang w:val="en-AU"/>
        </w:rPr>
        <w:t xml:space="preserve">the </w:t>
      </w:r>
      <w:r w:rsidR="0055198F" w:rsidRPr="00B0379B">
        <w:rPr>
          <w:lang w:val="en-AU"/>
        </w:rPr>
        <w:t>downside of oversupply</w:t>
      </w:r>
      <w:proofErr w:type="gramEnd"/>
      <w:r w:rsidR="0055198F" w:rsidRPr="00B0379B">
        <w:rPr>
          <w:lang w:val="en-AU"/>
        </w:rPr>
        <w:t xml:space="preserve"> – </w:t>
      </w:r>
      <w:r w:rsidRPr="00B0379B">
        <w:rPr>
          <w:lang w:val="en-AU"/>
        </w:rPr>
        <w:t xml:space="preserve">Mr </w:t>
      </w:r>
      <w:proofErr w:type="spellStart"/>
      <w:r w:rsidR="0055198F" w:rsidRPr="00B0379B">
        <w:rPr>
          <w:lang w:val="en-AU"/>
        </w:rPr>
        <w:t>Henshall</w:t>
      </w:r>
      <w:proofErr w:type="spellEnd"/>
      <w:r w:rsidR="0055198F" w:rsidRPr="00B0379B">
        <w:rPr>
          <w:lang w:val="en-AU"/>
        </w:rPr>
        <w:t xml:space="preserve"> said</w:t>
      </w:r>
      <w:r w:rsidRPr="00B0379B">
        <w:rPr>
          <w:lang w:val="en-AU"/>
        </w:rPr>
        <w:t xml:space="preserve"> industrial land takes longer to absorb.  VPA submits this is not a true</w:t>
      </w:r>
      <w:r w:rsidR="0055198F" w:rsidRPr="00B0379B">
        <w:rPr>
          <w:lang w:val="en-AU"/>
        </w:rPr>
        <w:t xml:space="preserve"> downside – </w:t>
      </w:r>
      <w:r w:rsidRPr="00B0379B">
        <w:rPr>
          <w:lang w:val="en-AU"/>
        </w:rPr>
        <w:t>it is undesirable</w:t>
      </w:r>
      <w:r w:rsidR="0055198F" w:rsidRPr="00B0379B">
        <w:rPr>
          <w:lang w:val="en-AU"/>
        </w:rPr>
        <w:t xml:space="preserve"> to have to retrofit</w:t>
      </w:r>
      <w:r w:rsidRPr="00B0379B">
        <w:rPr>
          <w:lang w:val="en-AU"/>
        </w:rPr>
        <w:t xml:space="preserve"> for industrial land</w:t>
      </w:r>
      <w:r w:rsidR="0055198F" w:rsidRPr="00B0379B">
        <w:rPr>
          <w:lang w:val="en-AU"/>
        </w:rPr>
        <w:t xml:space="preserve">.  </w:t>
      </w:r>
      <w:r w:rsidR="00A4485F">
        <w:rPr>
          <w:lang w:val="en-AU"/>
        </w:rPr>
        <w:t>He also</w:t>
      </w:r>
      <w:r w:rsidR="0055198F" w:rsidRPr="00B0379B">
        <w:rPr>
          <w:lang w:val="en-AU"/>
        </w:rPr>
        <w:t xml:space="preserve"> said that land will lie vacant. This is not an issue in itself: </w:t>
      </w:r>
      <w:r w:rsidRPr="00B0379B">
        <w:rPr>
          <w:lang w:val="en-AU"/>
        </w:rPr>
        <w:t xml:space="preserve">there ought </w:t>
      </w:r>
      <w:r w:rsidR="00F452A1">
        <w:rPr>
          <w:lang w:val="en-AU"/>
        </w:rPr>
        <w:t xml:space="preserve">to </w:t>
      </w:r>
      <w:r w:rsidRPr="00B0379B">
        <w:rPr>
          <w:lang w:val="en-AU"/>
        </w:rPr>
        <w:t>be</w:t>
      </w:r>
      <w:r w:rsidR="0055198F" w:rsidRPr="00B0379B">
        <w:rPr>
          <w:lang w:val="en-AU"/>
        </w:rPr>
        <w:t xml:space="preserve"> room to exp</w:t>
      </w:r>
      <w:r w:rsidR="008738A0" w:rsidRPr="00B0379B">
        <w:rPr>
          <w:lang w:val="en-AU"/>
        </w:rPr>
        <w:t>a</w:t>
      </w:r>
      <w:r w:rsidR="0055198F" w:rsidRPr="00B0379B">
        <w:rPr>
          <w:lang w:val="en-AU"/>
        </w:rPr>
        <w:t xml:space="preserve">nd inside the UGB in coming decades. These were the only downsides he could point to. </w:t>
      </w:r>
    </w:p>
    <w:p w14:paraId="430B8B51" w14:textId="77777777" w:rsidR="00B0379B" w:rsidRPr="00B0379B" w:rsidRDefault="00B0379B" w:rsidP="00AF505E">
      <w:pPr>
        <w:pStyle w:val="ListParagraph"/>
        <w:spacing w:after="0"/>
        <w:rPr>
          <w:lang w:val="en-AU"/>
        </w:rPr>
      </w:pPr>
    </w:p>
    <w:p w14:paraId="5B33339D" w14:textId="77777777" w:rsidR="00B0379B" w:rsidRDefault="00B0379B" w:rsidP="00736861">
      <w:pPr>
        <w:pStyle w:val="ListParagraph"/>
        <w:numPr>
          <w:ilvl w:val="0"/>
          <w:numId w:val="9"/>
        </w:numPr>
        <w:spacing w:after="0"/>
        <w:ind w:left="1021" w:hanging="1021"/>
        <w:rPr>
          <w:lang w:val="en-AU"/>
        </w:rPr>
      </w:pPr>
      <w:r>
        <w:rPr>
          <w:lang w:val="en-AU"/>
        </w:rPr>
        <w:t xml:space="preserve">The </w:t>
      </w:r>
      <w:r w:rsidR="00E74E5B" w:rsidRPr="00B0379B">
        <w:rPr>
          <w:lang w:val="en-AU"/>
        </w:rPr>
        <w:t>VPA notes the Panel’s</w:t>
      </w:r>
      <w:r w:rsidR="0055198F" w:rsidRPr="00B0379B">
        <w:rPr>
          <w:lang w:val="en-AU"/>
        </w:rPr>
        <w:t xml:space="preserve"> question</w:t>
      </w:r>
      <w:r w:rsidR="00E74E5B" w:rsidRPr="00B0379B">
        <w:rPr>
          <w:lang w:val="en-AU"/>
        </w:rPr>
        <w:t>,</w:t>
      </w:r>
      <w:r w:rsidR="0055198F" w:rsidRPr="00B0379B">
        <w:rPr>
          <w:lang w:val="en-AU"/>
        </w:rPr>
        <w:t xml:space="preserve"> that if the Panel accepts evidence that job densities are overestimated, surely more employment land is required, rather than less, and </w:t>
      </w:r>
      <w:r w:rsidR="00E74E5B" w:rsidRPr="00B0379B">
        <w:rPr>
          <w:lang w:val="en-AU"/>
        </w:rPr>
        <w:t xml:space="preserve">that if this is correct then Mr </w:t>
      </w:r>
      <w:proofErr w:type="spellStart"/>
      <w:r w:rsidR="0055198F" w:rsidRPr="00B0379B">
        <w:rPr>
          <w:lang w:val="en-AU"/>
        </w:rPr>
        <w:t>Hrelja</w:t>
      </w:r>
      <w:proofErr w:type="spellEnd"/>
      <w:r w:rsidR="0055198F" w:rsidRPr="00B0379B">
        <w:rPr>
          <w:lang w:val="en-AU"/>
        </w:rPr>
        <w:t xml:space="preserve"> conclusions about land conservative. VPA submits </w:t>
      </w:r>
      <w:r w:rsidR="00E74E5B" w:rsidRPr="00B0379B">
        <w:rPr>
          <w:lang w:val="en-AU"/>
        </w:rPr>
        <w:t>this question from the Panel raises a very good point</w:t>
      </w:r>
      <w:r w:rsidR="0055198F" w:rsidRPr="00B0379B">
        <w:rPr>
          <w:lang w:val="en-AU"/>
        </w:rPr>
        <w:t>.</w:t>
      </w:r>
    </w:p>
    <w:p w14:paraId="5384E247" w14:textId="77777777" w:rsidR="00B0379B" w:rsidRPr="00B0379B" w:rsidRDefault="00B0379B" w:rsidP="00AF505E">
      <w:pPr>
        <w:pStyle w:val="ListParagraph"/>
        <w:spacing w:after="0"/>
        <w:rPr>
          <w:lang w:val="en-AU"/>
        </w:rPr>
      </w:pPr>
    </w:p>
    <w:p w14:paraId="3B6CF8F7" w14:textId="54B4BBEE" w:rsidR="00B0379B" w:rsidRDefault="00E74E5B" w:rsidP="00736861">
      <w:pPr>
        <w:pStyle w:val="ListParagraph"/>
        <w:numPr>
          <w:ilvl w:val="0"/>
          <w:numId w:val="9"/>
        </w:numPr>
        <w:spacing w:after="0"/>
        <w:ind w:left="1021" w:hanging="1021"/>
        <w:rPr>
          <w:lang w:val="en-AU"/>
        </w:rPr>
      </w:pPr>
      <w:r w:rsidRPr="00B0379B">
        <w:rPr>
          <w:lang w:val="en-AU"/>
        </w:rPr>
        <w:t>As the Panel is aware, the amount of industrial land was based on work done, and still support</w:t>
      </w:r>
      <w:r w:rsidR="008738A0" w:rsidRPr="00B0379B">
        <w:rPr>
          <w:lang w:val="en-AU"/>
        </w:rPr>
        <w:t>ed</w:t>
      </w:r>
      <w:r w:rsidRPr="00B0379B">
        <w:rPr>
          <w:lang w:val="en-AU"/>
        </w:rPr>
        <w:t xml:space="preserve"> by</w:t>
      </w:r>
      <w:r w:rsidR="008738A0" w:rsidRPr="00B0379B">
        <w:rPr>
          <w:lang w:val="en-AU"/>
        </w:rPr>
        <w:t>,</w:t>
      </w:r>
      <w:r w:rsidRPr="00B0379B">
        <w:rPr>
          <w:lang w:val="en-AU"/>
        </w:rPr>
        <w:t xml:space="preserve"> </w:t>
      </w:r>
      <w:r w:rsidR="007F3165">
        <w:rPr>
          <w:lang w:val="en-AU"/>
        </w:rPr>
        <w:t>Department of Economic Development, Jobs, Transport and Resources</w:t>
      </w:r>
      <w:r w:rsidR="0055198F" w:rsidRPr="00B0379B">
        <w:rPr>
          <w:lang w:val="en-AU"/>
        </w:rPr>
        <w:t xml:space="preserve"> </w:t>
      </w:r>
      <w:r w:rsidRPr="00B0379B">
        <w:rPr>
          <w:lang w:val="en-AU"/>
        </w:rPr>
        <w:t xml:space="preserve">for </w:t>
      </w:r>
      <w:r w:rsidRPr="00B0379B">
        <w:rPr>
          <w:lang w:val="en-AU"/>
        </w:rPr>
        <w:lastRenderedPageBreak/>
        <w:t>the</w:t>
      </w:r>
      <w:r w:rsidR="0055198F" w:rsidRPr="00B0379B">
        <w:rPr>
          <w:lang w:val="en-AU"/>
        </w:rPr>
        <w:t xml:space="preserve"> </w:t>
      </w:r>
      <w:r w:rsidR="008738A0" w:rsidRPr="00B0379B">
        <w:rPr>
          <w:lang w:val="en-AU"/>
        </w:rPr>
        <w:t xml:space="preserve">West </w:t>
      </w:r>
      <w:r w:rsidR="007F3165">
        <w:rPr>
          <w:lang w:val="en-AU"/>
        </w:rPr>
        <w:t>Growth Corridor Plan</w:t>
      </w:r>
      <w:r w:rsidRPr="00B0379B">
        <w:rPr>
          <w:lang w:val="en-AU"/>
        </w:rPr>
        <w:t xml:space="preserve">. </w:t>
      </w:r>
      <w:r w:rsidR="00130282" w:rsidRPr="00B0379B">
        <w:rPr>
          <w:lang w:val="en-AU"/>
        </w:rPr>
        <w:t>The amount of land represents goo</w:t>
      </w:r>
      <w:r w:rsidR="00B0379B">
        <w:rPr>
          <w:lang w:val="en-AU"/>
        </w:rPr>
        <w:t>d, prudent, long term planning.</w:t>
      </w:r>
    </w:p>
    <w:p w14:paraId="0405B2A0" w14:textId="77777777" w:rsidR="00B0379B" w:rsidRDefault="00B0379B" w:rsidP="00AF505E">
      <w:pPr>
        <w:pStyle w:val="ListParagraph"/>
        <w:spacing w:after="0"/>
      </w:pPr>
    </w:p>
    <w:p w14:paraId="27049B9D" w14:textId="5E97E3A9" w:rsidR="0055198F" w:rsidRPr="00B0379B" w:rsidRDefault="00B0379B" w:rsidP="00AF505E">
      <w:pPr>
        <w:pStyle w:val="Heading3"/>
        <w:rPr>
          <w:lang w:val="en-AU"/>
        </w:rPr>
      </w:pPr>
      <w:bookmarkStart w:id="21" w:name="_Toc469573657"/>
      <w:r>
        <w:t>Mixed Use Zone</w:t>
      </w:r>
      <w:bookmarkEnd w:id="21"/>
    </w:p>
    <w:p w14:paraId="03D96EAC" w14:textId="7ED94139" w:rsidR="00B0379B" w:rsidRDefault="00E74E5B" w:rsidP="00736861">
      <w:pPr>
        <w:pStyle w:val="ListParagraph"/>
        <w:numPr>
          <w:ilvl w:val="0"/>
          <w:numId w:val="9"/>
        </w:numPr>
        <w:spacing w:after="0"/>
        <w:ind w:left="1021" w:hanging="1021"/>
        <w:rPr>
          <w:lang w:val="en-AU"/>
        </w:rPr>
      </w:pPr>
      <w:r w:rsidRPr="00202A74">
        <w:rPr>
          <w:lang w:val="en-AU"/>
        </w:rPr>
        <w:t xml:space="preserve">In terms of the proposal to expand the </w:t>
      </w:r>
      <w:r w:rsidR="007F3165">
        <w:rPr>
          <w:lang w:val="en-AU"/>
        </w:rPr>
        <w:t>Mixed Use Zone (</w:t>
      </w:r>
      <w:r w:rsidRPr="00202A74">
        <w:rPr>
          <w:lang w:val="en-AU"/>
        </w:rPr>
        <w:t>MUZ</w:t>
      </w:r>
      <w:r w:rsidR="007F3165">
        <w:rPr>
          <w:lang w:val="en-AU"/>
        </w:rPr>
        <w:t>)</w:t>
      </w:r>
      <w:r w:rsidR="00202A74">
        <w:rPr>
          <w:lang w:val="en-AU"/>
        </w:rPr>
        <w:t>, the VPA submits that</w:t>
      </w:r>
      <w:r w:rsidR="00B0379B">
        <w:rPr>
          <w:lang w:val="en-AU"/>
        </w:rPr>
        <w:t xml:space="preserve"> t</w:t>
      </w:r>
      <w:r w:rsidR="00202A74" w:rsidRPr="00B0379B">
        <w:rPr>
          <w:lang w:val="en-AU"/>
        </w:rPr>
        <w:t>he</w:t>
      </w:r>
      <w:r w:rsidRPr="00B0379B">
        <w:rPr>
          <w:lang w:val="en-AU"/>
        </w:rPr>
        <w:t xml:space="preserve"> submission this will lead to more jobs is overstated.  Mr </w:t>
      </w:r>
      <w:proofErr w:type="spellStart"/>
      <w:r w:rsidR="0055198F" w:rsidRPr="00B0379B">
        <w:rPr>
          <w:lang w:val="en-AU"/>
        </w:rPr>
        <w:t>Henshall</w:t>
      </w:r>
      <w:proofErr w:type="spellEnd"/>
      <w:r w:rsidR="0055198F" w:rsidRPr="00B0379B">
        <w:rPr>
          <w:lang w:val="en-AU"/>
        </w:rPr>
        <w:t xml:space="preserve"> sa</w:t>
      </w:r>
      <w:r w:rsidRPr="00B0379B">
        <w:rPr>
          <w:lang w:val="en-AU"/>
        </w:rPr>
        <w:t>id</w:t>
      </w:r>
      <w:r w:rsidR="0055198F" w:rsidRPr="00B0379B">
        <w:rPr>
          <w:lang w:val="en-AU"/>
        </w:rPr>
        <w:t xml:space="preserve"> the exp</w:t>
      </w:r>
      <w:r w:rsidRPr="00B0379B">
        <w:rPr>
          <w:lang w:val="en-AU"/>
        </w:rPr>
        <w:t>anded MUZ will create more jobs.</w:t>
      </w:r>
      <w:r w:rsidR="0055198F" w:rsidRPr="00B0379B">
        <w:rPr>
          <w:lang w:val="en-AU"/>
        </w:rPr>
        <w:t xml:space="preserve"> </w:t>
      </w:r>
      <w:r w:rsidRPr="00B0379B">
        <w:rPr>
          <w:lang w:val="en-AU"/>
        </w:rPr>
        <w:t xml:space="preserve"> </w:t>
      </w:r>
      <w:r w:rsidR="0055198F" w:rsidRPr="00B0379B">
        <w:rPr>
          <w:lang w:val="en-AU"/>
        </w:rPr>
        <w:t>VPA says this is due to removal of I</w:t>
      </w:r>
      <w:r w:rsidR="008738A0" w:rsidRPr="00B0379B">
        <w:rPr>
          <w:lang w:val="en-AU"/>
        </w:rPr>
        <w:t>N</w:t>
      </w:r>
      <w:r w:rsidR="0055198F" w:rsidRPr="00B0379B">
        <w:rPr>
          <w:lang w:val="en-AU"/>
        </w:rPr>
        <w:t>Z land which is inappropriate</w:t>
      </w:r>
      <w:r w:rsidRPr="00B0379B">
        <w:rPr>
          <w:lang w:val="en-AU"/>
        </w:rPr>
        <w:t xml:space="preserve">.  VPA </w:t>
      </w:r>
      <w:r w:rsidR="0055198F" w:rsidRPr="00B0379B">
        <w:rPr>
          <w:lang w:val="en-AU"/>
        </w:rPr>
        <w:t>also note</w:t>
      </w:r>
      <w:r w:rsidRPr="00B0379B">
        <w:rPr>
          <w:lang w:val="en-AU"/>
        </w:rPr>
        <w:t>s</w:t>
      </w:r>
      <w:r w:rsidR="0055198F" w:rsidRPr="00B0379B">
        <w:rPr>
          <w:lang w:val="en-AU"/>
        </w:rPr>
        <w:t xml:space="preserve"> that</w:t>
      </w:r>
      <w:r w:rsidRPr="00B0379B">
        <w:rPr>
          <w:lang w:val="en-AU"/>
        </w:rPr>
        <w:t xml:space="preserve"> Mr</w:t>
      </w:r>
      <w:r w:rsidR="0055198F" w:rsidRPr="00B0379B">
        <w:rPr>
          <w:lang w:val="en-AU"/>
        </w:rPr>
        <w:t xml:space="preserve"> </w:t>
      </w:r>
      <w:proofErr w:type="spellStart"/>
      <w:r w:rsidR="0055198F" w:rsidRPr="00B0379B">
        <w:rPr>
          <w:lang w:val="en-AU"/>
        </w:rPr>
        <w:t>Henshall</w:t>
      </w:r>
      <w:proofErr w:type="spellEnd"/>
      <w:r w:rsidR="0055198F" w:rsidRPr="00B0379B">
        <w:rPr>
          <w:lang w:val="en-AU"/>
        </w:rPr>
        <w:t xml:space="preserve"> used a “rule of thumb” industrial figure.  </w:t>
      </w:r>
      <w:r w:rsidR="007F3165">
        <w:rPr>
          <w:lang w:val="en-AU"/>
        </w:rPr>
        <w:t xml:space="preserve">The </w:t>
      </w:r>
      <w:r w:rsidR="0055198F" w:rsidRPr="00B0379B">
        <w:rPr>
          <w:lang w:val="en-AU"/>
        </w:rPr>
        <w:t xml:space="preserve">VPA submits </w:t>
      </w:r>
      <w:r w:rsidRPr="00B0379B">
        <w:rPr>
          <w:lang w:val="en-AU"/>
        </w:rPr>
        <w:t>its</w:t>
      </w:r>
      <w:r w:rsidR="0055198F" w:rsidRPr="00B0379B">
        <w:rPr>
          <w:lang w:val="en-AU"/>
        </w:rPr>
        <w:t xml:space="preserve"> job figures, whilst long term, are achievable (</w:t>
      </w:r>
      <w:r w:rsidRPr="00B0379B">
        <w:rPr>
          <w:lang w:val="en-AU"/>
        </w:rPr>
        <w:t>VPA relies</w:t>
      </w:r>
      <w:r w:rsidR="0055198F" w:rsidRPr="00B0379B">
        <w:rPr>
          <w:lang w:val="en-AU"/>
        </w:rPr>
        <w:t xml:space="preserve"> on </w:t>
      </w:r>
      <w:r w:rsidRPr="00B0379B">
        <w:rPr>
          <w:lang w:val="en-AU"/>
        </w:rPr>
        <w:t xml:space="preserve">Mr </w:t>
      </w:r>
      <w:proofErr w:type="spellStart"/>
      <w:r w:rsidR="0055198F" w:rsidRPr="00B0379B">
        <w:rPr>
          <w:lang w:val="en-AU"/>
        </w:rPr>
        <w:t>Hrelja</w:t>
      </w:r>
      <w:r w:rsidRPr="00B0379B">
        <w:rPr>
          <w:lang w:val="en-AU"/>
        </w:rPr>
        <w:t>’s</w:t>
      </w:r>
      <w:proofErr w:type="spellEnd"/>
      <w:r w:rsidR="0055198F" w:rsidRPr="00B0379B">
        <w:rPr>
          <w:lang w:val="en-AU"/>
        </w:rPr>
        <w:t xml:space="preserve"> evidence). Note</w:t>
      </w:r>
      <w:r w:rsidRPr="00B0379B">
        <w:rPr>
          <w:lang w:val="en-AU"/>
        </w:rPr>
        <w:t xml:space="preserve"> Mr</w:t>
      </w:r>
      <w:r w:rsidR="0055198F" w:rsidRPr="00B0379B">
        <w:rPr>
          <w:lang w:val="en-AU"/>
        </w:rPr>
        <w:t xml:space="preserve"> </w:t>
      </w:r>
      <w:proofErr w:type="spellStart"/>
      <w:r w:rsidR="0055198F" w:rsidRPr="00B0379B">
        <w:rPr>
          <w:lang w:val="en-AU"/>
        </w:rPr>
        <w:t>Henshall</w:t>
      </w:r>
      <w:proofErr w:type="spellEnd"/>
      <w:r w:rsidR="0055198F" w:rsidRPr="00B0379B">
        <w:rPr>
          <w:lang w:val="en-AU"/>
        </w:rPr>
        <w:t xml:space="preserve"> immediately referred to City of Melbourne’s </w:t>
      </w:r>
      <w:r w:rsidR="007F3165" w:rsidRPr="00B0379B">
        <w:rPr>
          <w:lang w:val="en-AU"/>
        </w:rPr>
        <w:t>C</w:t>
      </w:r>
      <w:r w:rsidR="007F3165">
        <w:rPr>
          <w:lang w:val="en-AU"/>
        </w:rPr>
        <w:t>ensus of Land Use and Employment (C</w:t>
      </w:r>
      <w:r w:rsidR="0055198F" w:rsidRPr="00B0379B">
        <w:rPr>
          <w:lang w:val="en-AU"/>
        </w:rPr>
        <w:t>LUE</w:t>
      </w:r>
      <w:r w:rsidR="007F3165">
        <w:rPr>
          <w:lang w:val="en-AU"/>
        </w:rPr>
        <w:t>)</w:t>
      </w:r>
      <w:r w:rsidR="0055198F" w:rsidRPr="00B0379B">
        <w:rPr>
          <w:lang w:val="en-AU"/>
        </w:rPr>
        <w:t xml:space="preserve"> when responding to re-examination questions from Mr Cicero about trends in job densities in industrial precincts</w:t>
      </w:r>
      <w:r w:rsidR="008738A0" w:rsidRPr="00B0379B">
        <w:rPr>
          <w:lang w:val="en-AU"/>
        </w:rPr>
        <w:t xml:space="preserve">, despite having earlier questioned Mr </w:t>
      </w:r>
      <w:proofErr w:type="spellStart"/>
      <w:r w:rsidR="008738A0" w:rsidRPr="00B0379B">
        <w:rPr>
          <w:lang w:val="en-AU"/>
        </w:rPr>
        <w:t>Hrelja’s</w:t>
      </w:r>
      <w:proofErr w:type="spellEnd"/>
      <w:r w:rsidR="008738A0" w:rsidRPr="00B0379B">
        <w:rPr>
          <w:lang w:val="en-AU"/>
        </w:rPr>
        <w:t xml:space="preserve"> use of them in Mr </w:t>
      </w:r>
      <w:proofErr w:type="spellStart"/>
      <w:r w:rsidR="008738A0" w:rsidRPr="00B0379B">
        <w:rPr>
          <w:lang w:val="en-AU"/>
        </w:rPr>
        <w:t>Hrelja’s</w:t>
      </w:r>
      <w:proofErr w:type="spellEnd"/>
      <w:r w:rsidR="008738A0" w:rsidRPr="00B0379B">
        <w:rPr>
          <w:lang w:val="en-AU"/>
        </w:rPr>
        <w:t xml:space="preserve"> evidence</w:t>
      </w:r>
      <w:r w:rsidR="0055198F" w:rsidRPr="00B0379B">
        <w:rPr>
          <w:lang w:val="en-AU"/>
        </w:rPr>
        <w:t xml:space="preserve">.   </w:t>
      </w:r>
    </w:p>
    <w:p w14:paraId="4D84B13A" w14:textId="77777777" w:rsidR="00B0379B" w:rsidRDefault="00B0379B" w:rsidP="00AF505E">
      <w:pPr>
        <w:pStyle w:val="ListParagraph"/>
        <w:spacing w:after="0"/>
        <w:ind w:left="1021"/>
        <w:rPr>
          <w:lang w:val="en-AU"/>
        </w:rPr>
      </w:pPr>
    </w:p>
    <w:p w14:paraId="000885A3" w14:textId="6FA834B8" w:rsidR="00B0379B" w:rsidRDefault="00B0379B" w:rsidP="00736861">
      <w:pPr>
        <w:pStyle w:val="ListParagraph"/>
        <w:numPr>
          <w:ilvl w:val="0"/>
          <w:numId w:val="9"/>
        </w:numPr>
        <w:spacing w:after="0"/>
        <w:ind w:left="1021" w:hanging="1021"/>
        <w:rPr>
          <w:lang w:val="en-AU"/>
        </w:rPr>
      </w:pPr>
      <w:r w:rsidRPr="00B0379B">
        <w:rPr>
          <w:lang w:val="en-AU"/>
        </w:rPr>
        <w:t xml:space="preserve">The </w:t>
      </w:r>
      <w:r w:rsidR="00E74E5B" w:rsidRPr="00B0379B">
        <w:rPr>
          <w:lang w:val="en-AU"/>
        </w:rPr>
        <w:t xml:space="preserve">VPA also submits that there is no need to take </w:t>
      </w:r>
      <w:r w:rsidR="008738A0" w:rsidRPr="00B0379B">
        <w:rPr>
          <w:lang w:val="en-AU"/>
        </w:rPr>
        <w:t>the</w:t>
      </w:r>
      <w:r w:rsidR="00E74E5B" w:rsidRPr="00B0379B">
        <w:rPr>
          <w:lang w:val="en-AU"/>
        </w:rPr>
        <w:t xml:space="preserve"> “more nuanced approach” that was urged by the </w:t>
      </w:r>
      <w:proofErr w:type="spellStart"/>
      <w:r w:rsidR="00E74E5B" w:rsidRPr="00B0379B">
        <w:rPr>
          <w:lang w:val="en-AU"/>
        </w:rPr>
        <w:t>Mondous</w:t>
      </w:r>
      <w:proofErr w:type="spellEnd"/>
      <w:r w:rsidR="00E74E5B" w:rsidRPr="00B0379B">
        <w:rPr>
          <w:lang w:val="en-AU"/>
        </w:rPr>
        <w:t xml:space="preserve"> Group.  The </w:t>
      </w:r>
      <w:r w:rsidR="0055198F" w:rsidRPr="00B0379B">
        <w:rPr>
          <w:lang w:val="en-AU"/>
        </w:rPr>
        <w:t xml:space="preserve">VPA exhibited PSP represents a </w:t>
      </w:r>
      <w:r w:rsidR="008738A0" w:rsidRPr="00B0379B">
        <w:rPr>
          <w:lang w:val="en-AU"/>
        </w:rPr>
        <w:t xml:space="preserve">sufficiently </w:t>
      </w:r>
      <w:r w:rsidR="0055198F" w:rsidRPr="00B0379B">
        <w:rPr>
          <w:lang w:val="en-AU"/>
        </w:rPr>
        <w:t>“nuanced approach”</w:t>
      </w:r>
      <w:r w:rsidR="00E74E5B" w:rsidRPr="00B0379B">
        <w:rPr>
          <w:lang w:val="en-AU"/>
        </w:rPr>
        <w:t xml:space="preserve">.  </w:t>
      </w:r>
      <w:r w:rsidR="0055198F" w:rsidRPr="00B0379B">
        <w:rPr>
          <w:lang w:val="en-AU"/>
        </w:rPr>
        <w:t>Insofar as</w:t>
      </w:r>
      <w:r w:rsidR="00E74E5B" w:rsidRPr="00B0379B">
        <w:rPr>
          <w:lang w:val="en-AU"/>
        </w:rPr>
        <w:t xml:space="preserve"> Mr</w:t>
      </w:r>
      <w:r w:rsidR="0055198F" w:rsidRPr="00B0379B">
        <w:rPr>
          <w:lang w:val="en-AU"/>
        </w:rPr>
        <w:t xml:space="preserve"> Cicero has </w:t>
      </w:r>
      <w:r w:rsidR="00E74E5B" w:rsidRPr="00B0379B">
        <w:rPr>
          <w:lang w:val="en-AU"/>
        </w:rPr>
        <w:t xml:space="preserve">an </w:t>
      </w:r>
      <w:r w:rsidR="0055198F" w:rsidRPr="00B0379B">
        <w:rPr>
          <w:lang w:val="en-AU"/>
        </w:rPr>
        <w:t xml:space="preserve">idea of people “living and working on the same dirt” </w:t>
      </w:r>
      <w:r w:rsidR="007F3165">
        <w:rPr>
          <w:lang w:val="en-AU"/>
        </w:rPr>
        <w:t xml:space="preserve">the </w:t>
      </w:r>
      <w:r w:rsidR="0055198F" w:rsidRPr="00B0379B">
        <w:rPr>
          <w:lang w:val="en-AU"/>
        </w:rPr>
        <w:t>VPA has endeavoured to provide opportunity for this</w:t>
      </w:r>
      <w:r w:rsidR="00E74E5B" w:rsidRPr="00B0379B">
        <w:rPr>
          <w:lang w:val="en-AU"/>
        </w:rPr>
        <w:t>.</w:t>
      </w:r>
    </w:p>
    <w:p w14:paraId="032C08AC" w14:textId="77777777" w:rsidR="00B0379B" w:rsidRPr="00B0379B" w:rsidRDefault="00B0379B" w:rsidP="00AF505E">
      <w:pPr>
        <w:pStyle w:val="ListParagraph"/>
        <w:spacing w:after="0"/>
        <w:rPr>
          <w:lang w:val="en-AU"/>
        </w:rPr>
      </w:pPr>
    </w:p>
    <w:p w14:paraId="480A5781" w14:textId="77777777" w:rsidR="00B0379B" w:rsidRDefault="00E74E5B" w:rsidP="00736861">
      <w:pPr>
        <w:pStyle w:val="ListParagraph"/>
        <w:numPr>
          <w:ilvl w:val="0"/>
          <w:numId w:val="9"/>
        </w:numPr>
        <w:spacing w:after="0"/>
        <w:ind w:left="1021" w:hanging="1021"/>
        <w:rPr>
          <w:lang w:val="en-AU"/>
        </w:rPr>
      </w:pPr>
      <w:r w:rsidRPr="00B0379B">
        <w:rPr>
          <w:lang w:val="en-AU"/>
        </w:rPr>
        <w:t xml:space="preserve">Further, there would be concerns about extending the MUZ. </w:t>
      </w:r>
    </w:p>
    <w:p w14:paraId="55B5AAB4" w14:textId="77777777" w:rsidR="00B0379B" w:rsidRPr="00B0379B" w:rsidRDefault="00B0379B" w:rsidP="00AF505E">
      <w:pPr>
        <w:pStyle w:val="ListParagraph"/>
        <w:spacing w:after="0"/>
        <w:rPr>
          <w:lang w:val="en-AU"/>
        </w:rPr>
      </w:pPr>
    </w:p>
    <w:p w14:paraId="13B52B33" w14:textId="0279F84B" w:rsidR="00B0379B" w:rsidRDefault="00E74E5B" w:rsidP="00736861">
      <w:pPr>
        <w:pStyle w:val="ListParagraph"/>
        <w:numPr>
          <w:ilvl w:val="0"/>
          <w:numId w:val="9"/>
        </w:numPr>
        <w:spacing w:after="0"/>
        <w:ind w:left="1021" w:hanging="1021"/>
        <w:rPr>
          <w:lang w:val="en-AU"/>
        </w:rPr>
      </w:pPr>
      <w:r w:rsidRPr="00B0379B">
        <w:rPr>
          <w:lang w:val="en-AU"/>
        </w:rPr>
        <w:t>First, there i</w:t>
      </w:r>
      <w:r w:rsidR="0055198F" w:rsidRPr="00B0379B">
        <w:rPr>
          <w:lang w:val="en-AU"/>
        </w:rPr>
        <w:t>s a risk that will be pressure for more housing rather than employment uses (</w:t>
      </w:r>
      <w:r w:rsidRPr="00B0379B">
        <w:rPr>
          <w:lang w:val="en-AU"/>
        </w:rPr>
        <w:t xml:space="preserve">Mr </w:t>
      </w:r>
      <w:proofErr w:type="spellStart"/>
      <w:r w:rsidR="0055198F" w:rsidRPr="00B0379B">
        <w:rPr>
          <w:lang w:val="en-AU"/>
        </w:rPr>
        <w:t>Hrelja</w:t>
      </w:r>
      <w:proofErr w:type="spellEnd"/>
      <w:r w:rsidR="0055198F" w:rsidRPr="00B0379B">
        <w:rPr>
          <w:lang w:val="en-AU"/>
        </w:rPr>
        <w:t xml:space="preserve"> said use usually follows the strongest land use, </w:t>
      </w:r>
      <w:r w:rsidR="00F452A1" w:rsidRPr="00B0379B">
        <w:rPr>
          <w:lang w:val="en-AU"/>
        </w:rPr>
        <w:t>i.e.</w:t>
      </w:r>
      <w:r w:rsidR="0055198F" w:rsidRPr="00B0379B">
        <w:rPr>
          <w:lang w:val="en-AU"/>
        </w:rPr>
        <w:t xml:space="preserve"> housing – </w:t>
      </w:r>
      <w:r w:rsidR="008738A0" w:rsidRPr="00B0379B">
        <w:rPr>
          <w:lang w:val="en-AU"/>
        </w:rPr>
        <w:t xml:space="preserve">refer </w:t>
      </w:r>
      <w:proofErr w:type="spellStart"/>
      <w:r w:rsidR="0055198F" w:rsidRPr="00B0379B">
        <w:rPr>
          <w:lang w:val="en-AU"/>
        </w:rPr>
        <w:t>Brimbank</w:t>
      </w:r>
      <w:proofErr w:type="spellEnd"/>
      <w:r w:rsidR="0055198F" w:rsidRPr="00B0379B">
        <w:rPr>
          <w:lang w:val="en-AU"/>
        </w:rPr>
        <w:t xml:space="preserve"> example) – and we know employment uses will be important</w:t>
      </w:r>
      <w:r w:rsidRPr="00B0379B">
        <w:rPr>
          <w:lang w:val="en-AU"/>
        </w:rPr>
        <w:t>.</w:t>
      </w:r>
    </w:p>
    <w:p w14:paraId="494A4753" w14:textId="77777777" w:rsidR="00B0379B" w:rsidRPr="00B0379B" w:rsidRDefault="00B0379B" w:rsidP="00AF505E">
      <w:pPr>
        <w:pStyle w:val="ListParagraph"/>
        <w:spacing w:after="0"/>
        <w:rPr>
          <w:lang w:val="en-AU"/>
        </w:rPr>
      </w:pPr>
    </w:p>
    <w:p w14:paraId="516B83D8" w14:textId="6A02F597" w:rsidR="00530393" w:rsidRDefault="00E74E5B" w:rsidP="00736861">
      <w:pPr>
        <w:pStyle w:val="ListParagraph"/>
        <w:numPr>
          <w:ilvl w:val="0"/>
          <w:numId w:val="9"/>
        </w:numPr>
        <w:spacing w:after="0"/>
        <w:ind w:left="1021" w:hanging="1021"/>
        <w:rPr>
          <w:lang w:val="en-AU"/>
        </w:rPr>
      </w:pPr>
      <w:r w:rsidRPr="00B0379B">
        <w:rPr>
          <w:lang w:val="en-AU"/>
        </w:rPr>
        <w:t>Second</w:t>
      </w:r>
      <w:r w:rsidR="00232A9C" w:rsidRPr="00B0379B">
        <w:rPr>
          <w:lang w:val="en-AU"/>
        </w:rPr>
        <w:t xml:space="preserve">, it is unclear how any “buffer” will be suitably achieved.  No form of words has been provided to </w:t>
      </w:r>
      <w:r w:rsidR="00F452A1">
        <w:rPr>
          <w:lang w:val="en-AU"/>
        </w:rPr>
        <w:t xml:space="preserve">the </w:t>
      </w:r>
      <w:r w:rsidR="00232A9C" w:rsidRPr="00B0379B">
        <w:rPr>
          <w:lang w:val="en-AU"/>
        </w:rPr>
        <w:t xml:space="preserve">VPA from the </w:t>
      </w:r>
      <w:proofErr w:type="spellStart"/>
      <w:r w:rsidR="00232A9C" w:rsidRPr="00B0379B">
        <w:rPr>
          <w:lang w:val="en-AU"/>
        </w:rPr>
        <w:t>Mondous</w:t>
      </w:r>
      <w:proofErr w:type="spellEnd"/>
      <w:r w:rsidR="00232A9C" w:rsidRPr="00B0379B">
        <w:rPr>
          <w:lang w:val="en-AU"/>
        </w:rPr>
        <w:t xml:space="preserve"> Group.  </w:t>
      </w:r>
      <w:r w:rsidR="00F452A1">
        <w:rPr>
          <w:lang w:val="en-AU"/>
        </w:rPr>
        <w:t xml:space="preserve">The </w:t>
      </w:r>
      <w:r w:rsidR="00232A9C" w:rsidRPr="00B0379B">
        <w:rPr>
          <w:lang w:val="en-AU"/>
        </w:rPr>
        <w:t xml:space="preserve">VPA notes Mr </w:t>
      </w:r>
      <w:proofErr w:type="spellStart"/>
      <w:r w:rsidR="00232A9C" w:rsidRPr="00B0379B">
        <w:rPr>
          <w:lang w:val="en-AU"/>
        </w:rPr>
        <w:t>Henshall’s</w:t>
      </w:r>
      <w:proofErr w:type="spellEnd"/>
      <w:r w:rsidR="00232A9C" w:rsidRPr="00B0379B">
        <w:rPr>
          <w:lang w:val="en-AU"/>
        </w:rPr>
        <w:t xml:space="preserve"> evidence </w:t>
      </w:r>
      <w:r w:rsidR="0055198F" w:rsidRPr="00B0379B">
        <w:rPr>
          <w:lang w:val="en-AU"/>
        </w:rPr>
        <w:t>that extending residential closer to industrial would need some form of “buffer”</w:t>
      </w:r>
      <w:r w:rsidR="007F3165">
        <w:rPr>
          <w:lang w:val="en-AU"/>
        </w:rPr>
        <w:t xml:space="preserve">. </w:t>
      </w:r>
      <w:r w:rsidR="00232A9C" w:rsidRPr="00B0379B">
        <w:rPr>
          <w:lang w:val="en-AU"/>
        </w:rPr>
        <w:t xml:space="preserve">Note for the existing PSP there are buffers shown </w:t>
      </w:r>
      <w:r w:rsidR="007A61AC" w:rsidRPr="00B0379B">
        <w:rPr>
          <w:lang w:val="en-AU"/>
        </w:rPr>
        <w:t xml:space="preserve">in Figure 9 </w:t>
      </w:r>
      <w:r w:rsidR="00232A9C" w:rsidRPr="00B0379B">
        <w:rPr>
          <w:lang w:val="en-AU"/>
        </w:rPr>
        <w:t xml:space="preserve">on page 35.  The Panel has raised, and the VPA agrees, that there is concern about how any </w:t>
      </w:r>
      <w:r w:rsidR="007A61AC" w:rsidRPr="00B0379B">
        <w:rPr>
          <w:lang w:val="en-AU"/>
        </w:rPr>
        <w:t xml:space="preserve">more </w:t>
      </w:r>
      <w:r w:rsidR="00232A9C" w:rsidRPr="00B0379B">
        <w:rPr>
          <w:lang w:val="en-AU"/>
        </w:rPr>
        <w:t xml:space="preserve">“tailored” MUZ </w:t>
      </w:r>
      <w:r w:rsidR="007F3165">
        <w:rPr>
          <w:lang w:val="en-AU"/>
        </w:rPr>
        <w:t xml:space="preserve">would be translated in future. </w:t>
      </w:r>
      <w:r w:rsidR="00232A9C" w:rsidRPr="00B0379B">
        <w:rPr>
          <w:lang w:val="en-AU"/>
        </w:rPr>
        <w:t>S</w:t>
      </w:r>
      <w:r w:rsidR="0055198F" w:rsidRPr="00B0379B">
        <w:rPr>
          <w:lang w:val="en-AU"/>
        </w:rPr>
        <w:t xml:space="preserve">ection 173 agreements </w:t>
      </w:r>
      <w:r w:rsidR="00232A9C" w:rsidRPr="00B0379B">
        <w:rPr>
          <w:lang w:val="en-AU"/>
        </w:rPr>
        <w:t xml:space="preserve">would be undesirable </w:t>
      </w:r>
      <w:r w:rsidR="007F3165">
        <w:rPr>
          <w:lang w:val="en-AU"/>
        </w:rPr>
        <w:t>to achieve buffers in this way.</w:t>
      </w:r>
      <w:r w:rsidR="00232A9C" w:rsidRPr="00B0379B">
        <w:rPr>
          <w:lang w:val="en-AU"/>
        </w:rPr>
        <w:t xml:space="preserve"> </w:t>
      </w:r>
      <w:r w:rsidR="00F452A1">
        <w:rPr>
          <w:lang w:val="en-AU"/>
        </w:rPr>
        <w:t xml:space="preserve">The </w:t>
      </w:r>
      <w:r w:rsidR="00232A9C" w:rsidRPr="00B0379B">
        <w:rPr>
          <w:lang w:val="en-AU"/>
        </w:rPr>
        <w:t xml:space="preserve">VPA also notes that the </w:t>
      </w:r>
      <w:proofErr w:type="spellStart"/>
      <w:r w:rsidR="00232A9C" w:rsidRPr="00B0379B">
        <w:rPr>
          <w:lang w:val="en-AU"/>
        </w:rPr>
        <w:t>Mondous</w:t>
      </w:r>
      <w:proofErr w:type="spellEnd"/>
      <w:r w:rsidR="00232A9C" w:rsidRPr="00B0379B">
        <w:rPr>
          <w:lang w:val="en-AU"/>
        </w:rPr>
        <w:t xml:space="preserve"> Group have a</w:t>
      </w:r>
      <w:r w:rsidR="0055198F" w:rsidRPr="00B0379B">
        <w:rPr>
          <w:lang w:val="en-AU"/>
        </w:rPr>
        <w:t xml:space="preserve"> higher amount of “interface” edge on their proposal</w:t>
      </w:r>
      <w:r w:rsidR="00232A9C" w:rsidRPr="00B0379B">
        <w:rPr>
          <w:lang w:val="en-AU"/>
        </w:rPr>
        <w:t xml:space="preserve"> than on the exhibited PSP.</w:t>
      </w:r>
      <w:r w:rsidR="00130282" w:rsidRPr="00B0379B">
        <w:rPr>
          <w:lang w:val="en-AU"/>
        </w:rPr>
        <w:t xml:space="preserve">  The </w:t>
      </w:r>
      <w:proofErr w:type="spellStart"/>
      <w:r w:rsidR="00130282" w:rsidRPr="00B0379B">
        <w:rPr>
          <w:lang w:val="en-AU"/>
        </w:rPr>
        <w:t>Mondous</w:t>
      </w:r>
      <w:proofErr w:type="spellEnd"/>
      <w:r w:rsidR="00130282" w:rsidRPr="00B0379B">
        <w:rPr>
          <w:lang w:val="en-AU"/>
        </w:rPr>
        <w:t xml:space="preserve"> Group proposal is undesirable because in fact it brings </w:t>
      </w:r>
      <w:r w:rsidR="007A61AC" w:rsidRPr="00B0379B">
        <w:rPr>
          <w:lang w:val="en-AU"/>
        </w:rPr>
        <w:t xml:space="preserve">more </w:t>
      </w:r>
      <w:r w:rsidR="00130282" w:rsidRPr="00B0379B">
        <w:rPr>
          <w:lang w:val="en-AU"/>
        </w:rPr>
        <w:t xml:space="preserve">residents closer to industrial uses. </w:t>
      </w:r>
      <w:r w:rsidR="00232A9C" w:rsidRPr="00B0379B">
        <w:rPr>
          <w:lang w:val="en-AU"/>
        </w:rPr>
        <w:t xml:space="preserve"> </w:t>
      </w:r>
    </w:p>
    <w:p w14:paraId="3BABF339" w14:textId="77777777" w:rsidR="00530393" w:rsidRDefault="00530393" w:rsidP="00AF505E">
      <w:pPr>
        <w:pStyle w:val="ListParagraph"/>
        <w:spacing w:after="0"/>
      </w:pPr>
    </w:p>
    <w:p w14:paraId="630283C6" w14:textId="24ADD408" w:rsidR="0055198F" w:rsidRPr="00530393" w:rsidRDefault="0031096F" w:rsidP="00AF505E">
      <w:pPr>
        <w:pStyle w:val="Heading3"/>
        <w:rPr>
          <w:lang w:val="en-AU"/>
        </w:rPr>
      </w:pPr>
      <w:bookmarkStart w:id="22" w:name="_Toc469573658"/>
      <w:r w:rsidRPr="0031096F">
        <w:t>Aquatics centre</w:t>
      </w:r>
      <w:bookmarkEnd w:id="22"/>
    </w:p>
    <w:p w14:paraId="0829AB1C" w14:textId="71E0CD48" w:rsidR="00F452A1" w:rsidRDefault="00A4485F" w:rsidP="00736861">
      <w:pPr>
        <w:pStyle w:val="ListParagraph"/>
        <w:numPr>
          <w:ilvl w:val="0"/>
          <w:numId w:val="9"/>
        </w:numPr>
        <w:spacing w:after="0"/>
        <w:ind w:left="1021" w:hanging="1021"/>
        <w:rPr>
          <w:lang w:val="en-AU"/>
        </w:rPr>
      </w:pPr>
      <w:r>
        <w:rPr>
          <w:lang w:val="en-AU"/>
        </w:rPr>
        <w:t xml:space="preserve">VPA submits the Panel </w:t>
      </w:r>
      <w:r w:rsidR="003C01BF">
        <w:rPr>
          <w:lang w:val="en-AU"/>
        </w:rPr>
        <w:t>ought to</w:t>
      </w:r>
      <w:r>
        <w:rPr>
          <w:lang w:val="en-AU"/>
        </w:rPr>
        <w:t xml:space="preserve"> recommend n</w:t>
      </w:r>
      <w:r w:rsidRPr="00202A74">
        <w:rPr>
          <w:lang w:val="en-AU"/>
        </w:rPr>
        <w:t xml:space="preserve">o </w:t>
      </w:r>
      <w:r w:rsidR="0055198F" w:rsidRPr="00202A74">
        <w:rPr>
          <w:lang w:val="en-AU"/>
        </w:rPr>
        <w:t>change to the location of the Aquatic Centre.</w:t>
      </w:r>
      <w:r w:rsidR="00130282" w:rsidRPr="00202A74">
        <w:rPr>
          <w:lang w:val="en-AU"/>
        </w:rPr>
        <w:t xml:space="preserve"> </w:t>
      </w:r>
      <w:r w:rsidR="00F452A1">
        <w:rPr>
          <w:lang w:val="en-AU"/>
        </w:rPr>
        <w:t xml:space="preserve"> The</w:t>
      </w:r>
      <w:r w:rsidR="00130282" w:rsidRPr="00202A74">
        <w:rPr>
          <w:lang w:val="en-AU"/>
        </w:rPr>
        <w:t xml:space="preserve"> VPA submits that Mr </w:t>
      </w:r>
      <w:proofErr w:type="spellStart"/>
      <w:r w:rsidR="00130282" w:rsidRPr="00202A74">
        <w:rPr>
          <w:lang w:val="en-AU"/>
        </w:rPr>
        <w:t>Henshall’s</w:t>
      </w:r>
      <w:proofErr w:type="spellEnd"/>
      <w:r w:rsidR="00130282" w:rsidRPr="00202A74">
        <w:rPr>
          <w:lang w:val="en-AU"/>
        </w:rPr>
        <w:t xml:space="preserve"> evidence </w:t>
      </w:r>
      <w:r w:rsidR="00332E9F" w:rsidRPr="00202A74">
        <w:rPr>
          <w:lang w:val="en-AU"/>
        </w:rPr>
        <w:t>demonstrated that, using his criteria, the exhibited location is preferable</w:t>
      </w:r>
      <w:r w:rsidR="00130282" w:rsidRPr="00202A74">
        <w:rPr>
          <w:lang w:val="en-AU"/>
        </w:rPr>
        <w:t xml:space="preserve">.  The Aquatic Centre’s current location is on the </w:t>
      </w:r>
      <w:r w:rsidR="00292038" w:rsidRPr="00202A74">
        <w:rPr>
          <w:lang w:val="en-AU"/>
        </w:rPr>
        <w:t xml:space="preserve">proposed future </w:t>
      </w:r>
      <w:r w:rsidR="00130282" w:rsidRPr="00202A74">
        <w:rPr>
          <w:lang w:val="en-AU"/>
        </w:rPr>
        <w:t>PPTN – this is a key, and the VPA submits, decisive, factor in this case.</w:t>
      </w:r>
      <w:r w:rsidR="00F452A1">
        <w:rPr>
          <w:lang w:val="en-AU"/>
        </w:rPr>
        <w:t xml:space="preserve"> The</w:t>
      </w:r>
      <w:r w:rsidR="00130282" w:rsidRPr="00202A74">
        <w:rPr>
          <w:lang w:val="en-AU"/>
        </w:rPr>
        <w:t xml:space="preserve"> VPA also notes that there are urban design disadvantages to the </w:t>
      </w:r>
      <w:proofErr w:type="spellStart"/>
      <w:r w:rsidR="00130282" w:rsidRPr="00202A74">
        <w:rPr>
          <w:lang w:val="en-AU"/>
        </w:rPr>
        <w:t>Mondous</w:t>
      </w:r>
      <w:proofErr w:type="spellEnd"/>
      <w:r w:rsidR="00130282" w:rsidRPr="00202A74">
        <w:rPr>
          <w:lang w:val="en-AU"/>
        </w:rPr>
        <w:t xml:space="preserve"> Group’s proposed locations</w:t>
      </w:r>
      <w:r w:rsidR="00292038" w:rsidRPr="00202A74">
        <w:rPr>
          <w:lang w:val="en-AU"/>
        </w:rPr>
        <w:t>. I</w:t>
      </w:r>
      <w:r w:rsidR="00130282" w:rsidRPr="00202A74">
        <w:rPr>
          <w:lang w:val="en-AU"/>
        </w:rPr>
        <w:t xml:space="preserve">ntroducing </w:t>
      </w:r>
      <w:r w:rsidR="00292038" w:rsidRPr="00202A74">
        <w:rPr>
          <w:lang w:val="en-AU"/>
        </w:rPr>
        <w:t>a ‘big box’ type of building (i</w:t>
      </w:r>
      <w:r w:rsidR="00202A74">
        <w:rPr>
          <w:lang w:val="en-AU"/>
        </w:rPr>
        <w:t>.</w:t>
      </w:r>
      <w:r w:rsidR="00292038" w:rsidRPr="00202A74">
        <w:rPr>
          <w:lang w:val="en-AU"/>
        </w:rPr>
        <w:t>e</w:t>
      </w:r>
      <w:r w:rsidR="00202A74">
        <w:rPr>
          <w:lang w:val="en-AU"/>
        </w:rPr>
        <w:t>.</w:t>
      </w:r>
      <w:r w:rsidR="00292038" w:rsidRPr="00202A74">
        <w:rPr>
          <w:lang w:val="en-AU"/>
        </w:rPr>
        <w:t xml:space="preserve"> the aquatic centre) will result in a larger, open area with car parking directly adjacent the MTC, and will make walking in to the MTC less inviting from the north. The benefits of higher density housing immediately adjacent the MTC and the liveliness that can bring to the MTC over the longer term will be reduced. </w:t>
      </w:r>
      <w:r w:rsidR="00F452A1">
        <w:rPr>
          <w:lang w:val="en-AU"/>
        </w:rPr>
        <w:t xml:space="preserve">The </w:t>
      </w:r>
      <w:r w:rsidR="00332E9F" w:rsidRPr="00202A74">
        <w:rPr>
          <w:lang w:val="en-AU"/>
        </w:rPr>
        <w:t xml:space="preserve">VPA also notes the evidence of Mr Day </w:t>
      </w:r>
      <w:r w:rsidR="00332E9F" w:rsidRPr="00202A74">
        <w:rPr>
          <w:lang w:val="en-AU"/>
        </w:rPr>
        <w:lastRenderedPageBreak/>
        <w:t xml:space="preserve">and Mr </w:t>
      </w:r>
      <w:proofErr w:type="spellStart"/>
      <w:r w:rsidR="00332E9F" w:rsidRPr="00202A74">
        <w:rPr>
          <w:lang w:val="en-AU"/>
        </w:rPr>
        <w:t>Gnanakone</w:t>
      </w:r>
      <w:proofErr w:type="spellEnd"/>
      <w:r w:rsidR="00332E9F" w:rsidRPr="00202A74">
        <w:rPr>
          <w:lang w:val="en-AU"/>
        </w:rPr>
        <w:t xml:space="preserve"> that there are benefits to the Beatty’s Road civic spine interface; and dis-benefits to having an arterial road interface which may be restricted in terms of access and therefore constraining layout. </w:t>
      </w:r>
      <w:r w:rsidR="00130282" w:rsidRPr="00202A74">
        <w:rPr>
          <w:lang w:val="en-AU"/>
        </w:rPr>
        <w:t xml:space="preserve"> </w:t>
      </w:r>
    </w:p>
    <w:p w14:paraId="2E4E184A" w14:textId="77777777" w:rsidR="00F452A1" w:rsidRPr="00F452A1" w:rsidRDefault="00F452A1" w:rsidP="00AF505E">
      <w:pPr>
        <w:pStyle w:val="ListParagraph"/>
        <w:spacing w:after="0"/>
        <w:ind w:left="1021"/>
        <w:rPr>
          <w:lang w:val="en-AU"/>
        </w:rPr>
      </w:pPr>
    </w:p>
    <w:p w14:paraId="02DEB9FA" w14:textId="56C71AB1" w:rsidR="008C6C51" w:rsidRPr="00F452A1" w:rsidRDefault="008C6C51" w:rsidP="00AF505E">
      <w:pPr>
        <w:pStyle w:val="Heading3"/>
        <w:rPr>
          <w:lang w:val="en-AU"/>
        </w:rPr>
      </w:pPr>
      <w:bookmarkStart w:id="23" w:name="_Toc469573659"/>
      <w:r>
        <w:t xml:space="preserve">‘Triangle of land’ on </w:t>
      </w:r>
      <w:proofErr w:type="spellStart"/>
      <w:r>
        <w:t>Beattys</w:t>
      </w:r>
      <w:proofErr w:type="spellEnd"/>
      <w:r>
        <w:t xml:space="preserve"> Rd adjacent aquatic centre</w:t>
      </w:r>
      <w:bookmarkEnd w:id="23"/>
    </w:p>
    <w:p w14:paraId="359161C5" w14:textId="053A2356" w:rsidR="008C6C51" w:rsidRDefault="008C6C51" w:rsidP="00736861">
      <w:pPr>
        <w:pStyle w:val="ListParagraph"/>
        <w:numPr>
          <w:ilvl w:val="0"/>
          <w:numId w:val="9"/>
        </w:numPr>
        <w:spacing w:after="0"/>
        <w:ind w:left="1021" w:hanging="1021"/>
        <w:rPr>
          <w:lang w:val="en-AU"/>
        </w:rPr>
      </w:pPr>
      <w:r w:rsidRPr="00530393">
        <w:rPr>
          <w:lang w:val="en-AU"/>
        </w:rPr>
        <w:t xml:space="preserve">In response to the Panel’s queries, </w:t>
      </w:r>
      <w:r w:rsidR="00530393">
        <w:rPr>
          <w:lang w:val="en-AU"/>
        </w:rPr>
        <w:t xml:space="preserve">the </w:t>
      </w:r>
      <w:r w:rsidRPr="00530393">
        <w:rPr>
          <w:lang w:val="en-AU"/>
        </w:rPr>
        <w:t>VPA has sketched three options for subdivision configurations to demonstrate that the land can be developed.</w:t>
      </w:r>
    </w:p>
    <w:p w14:paraId="04DB10CD" w14:textId="77777777" w:rsidR="00530393" w:rsidRPr="00530393" w:rsidRDefault="00530393" w:rsidP="00AF505E">
      <w:pPr>
        <w:pStyle w:val="ListParagraph"/>
        <w:spacing w:after="0"/>
        <w:ind w:left="1021"/>
        <w:rPr>
          <w:lang w:val="en-AU"/>
        </w:rPr>
      </w:pPr>
    </w:p>
    <w:p w14:paraId="25609405" w14:textId="25D8AFC0" w:rsidR="008C6C51" w:rsidRDefault="00530393" w:rsidP="00736861">
      <w:pPr>
        <w:pStyle w:val="ListParagraph"/>
        <w:numPr>
          <w:ilvl w:val="0"/>
          <w:numId w:val="9"/>
        </w:numPr>
        <w:spacing w:after="0"/>
        <w:ind w:left="1021" w:hanging="1021"/>
        <w:rPr>
          <w:lang w:val="en-AU"/>
        </w:rPr>
      </w:pPr>
      <w:r>
        <w:rPr>
          <w:lang w:val="en-AU"/>
        </w:rPr>
        <w:t xml:space="preserve">The </w:t>
      </w:r>
      <w:r w:rsidR="008C6C51" w:rsidRPr="00530393">
        <w:rPr>
          <w:lang w:val="en-AU"/>
        </w:rPr>
        <w:t xml:space="preserve">VPA notes the Panel’s concerns regarding noise from the future operations of the aquatic centre, but notes that this does apply only to the triangular land parcel, but to the land north and west of the proposed aquatic centre also. </w:t>
      </w:r>
    </w:p>
    <w:p w14:paraId="632036DA" w14:textId="77777777" w:rsidR="00530393" w:rsidRPr="00530393" w:rsidRDefault="00530393" w:rsidP="00AF505E">
      <w:pPr>
        <w:pStyle w:val="ListParagraph"/>
        <w:spacing w:after="0"/>
        <w:ind w:left="1021"/>
        <w:rPr>
          <w:lang w:val="en-AU"/>
        </w:rPr>
      </w:pPr>
    </w:p>
    <w:p w14:paraId="051B38F2" w14:textId="41AACE8D" w:rsidR="008C6C51" w:rsidRDefault="008C6C51" w:rsidP="00736861">
      <w:pPr>
        <w:pStyle w:val="ListParagraph"/>
        <w:numPr>
          <w:ilvl w:val="0"/>
          <w:numId w:val="9"/>
        </w:numPr>
        <w:spacing w:after="0"/>
        <w:ind w:left="1021" w:hanging="1021"/>
        <w:rPr>
          <w:lang w:val="en-AU"/>
        </w:rPr>
      </w:pPr>
      <w:r w:rsidRPr="00530393">
        <w:rPr>
          <w:lang w:val="en-AU"/>
        </w:rPr>
        <w:t>The aquatic ce</w:t>
      </w:r>
      <w:r w:rsidR="00F452A1">
        <w:rPr>
          <w:lang w:val="en-AU"/>
        </w:rPr>
        <w:t>ntre is indicatively around 4-5,000</w:t>
      </w:r>
      <w:r w:rsidRPr="00530393">
        <w:rPr>
          <w:lang w:val="en-AU"/>
        </w:rPr>
        <w:t>sqm on a 4 h</w:t>
      </w:r>
      <w:r w:rsidR="00530393">
        <w:rPr>
          <w:lang w:val="en-AU"/>
        </w:rPr>
        <w:t>ectare</w:t>
      </w:r>
      <w:r w:rsidRPr="00530393">
        <w:rPr>
          <w:lang w:val="en-AU"/>
        </w:rPr>
        <w:t xml:space="preserve"> site. Therefore the design of the aquatic centre can be such to minimise proximity to dwellings, and relevant detailed design undertaken in terms of access and egress and location of ‘noisier’ parts of the centre to the south, along </w:t>
      </w:r>
      <w:proofErr w:type="spellStart"/>
      <w:r w:rsidRPr="00530393">
        <w:rPr>
          <w:lang w:val="en-AU"/>
        </w:rPr>
        <w:t>Beattys</w:t>
      </w:r>
      <w:proofErr w:type="spellEnd"/>
      <w:r w:rsidRPr="00530393">
        <w:rPr>
          <w:lang w:val="en-AU"/>
        </w:rPr>
        <w:t xml:space="preserve"> Road for example.</w:t>
      </w:r>
    </w:p>
    <w:p w14:paraId="65E533BE" w14:textId="77777777" w:rsidR="00530393" w:rsidRPr="00530393" w:rsidRDefault="00530393" w:rsidP="00AF505E">
      <w:pPr>
        <w:pStyle w:val="ListParagraph"/>
        <w:spacing w:after="0"/>
        <w:ind w:left="1021"/>
        <w:rPr>
          <w:lang w:val="en-AU"/>
        </w:rPr>
      </w:pPr>
    </w:p>
    <w:p w14:paraId="00644714" w14:textId="76BDEF42" w:rsidR="008C6C51" w:rsidRDefault="008C6C51" w:rsidP="00736861">
      <w:pPr>
        <w:pStyle w:val="ListParagraph"/>
        <w:numPr>
          <w:ilvl w:val="0"/>
          <w:numId w:val="9"/>
        </w:numPr>
        <w:spacing w:after="0"/>
        <w:ind w:left="1021" w:hanging="1021"/>
        <w:rPr>
          <w:lang w:val="en-AU"/>
        </w:rPr>
      </w:pPr>
      <w:r w:rsidRPr="00530393">
        <w:rPr>
          <w:lang w:val="en-AU"/>
        </w:rPr>
        <w:t>Ms Sharp, in Submission 19</w:t>
      </w:r>
      <w:r w:rsidR="007F3165">
        <w:rPr>
          <w:lang w:val="en-AU"/>
        </w:rPr>
        <w:t xml:space="preserve"> (Plumpton)</w:t>
      </w:r>
      <w:r w:rsidRPr="00530393">
        <w:rPr>
          <w:lang w:val="en-AU"/>
        </w:rPr>
        <w:t xml:space="preserve"> for </w:t>
      </w:r>
      <w:proofErr w:type="spellStart"/>
      <w:r w:rsidRPr="00530393">
        <w:rPr>
          <w:lang w:val="en-AU"/>
        </w:rPr>
        <w:t>Dahua</w:t>
      </w:r>
      <w:proofErr w:type="spellEnd"/>
      <w:r w:rsidRPr="00530393">
        <w:rPr>
          <w:lang w:val="en-AU"/>
        </w:rPr>
        <w:t xml:space="preserve"> </w:t>
      </w:r>
      <w:proofErr w:type="spellStart"/>
      <w:r w:rsidRPr="00530393">
        <w:rPr>
          <w:lang w:val="en-AU"/>
        </w:rPr>
        <w:t>Dacland</w:t>
      </w:r>
      <w:proofErr w:type="spellEnd"/>
      <w:r w:rsidRPr="00530393">
        <w:rPr>
          <w:lang w:val="en-AU"/>
        </w:rPr>
        <w:t xml:space="preserve">, preferred the exhibited PSP which showed no local roads along </w:t>
      </w:r>
      <w:proofErr w:type="spellStart"/>
      <w:r w:rsidRPr="00530393">
        <w:rPr>
          <w:lang w:val="en-AU"/>
        </w:rPr>
        <w:t>Beattys</w:t>
      </w:r>
      <w:proofErr w:type="spellEnd"/>
      <w:r w:rsidRPr="00530393">
        <w:rPr>
          <w:lang w:val="en-AU"/>
        </w:rPr>
        <w:t xml:space="preserve"> R</w:t>
      </w:r>
      <w:r w:rsidR="007F3165">
        <w:rPr>
          <w:lang w:val="en-AU"/>
        </w:rPr>
        <w:t>oa</w:t>
      </w:r>
      <w:r w:rsidRPr="00530393">
        <w:rPr>
          <w:lang w:val="en-AU"/>
        </w:rPr>
        <w:t xml:space="preserve">d reserve north of property 29. </w:t>
      </w:r>
    </w:p>
    <w:p w14:paraId="24FEE51B" w14:textId="77777777" w:rsidR="00530393" w:rsidRPr="00530393" w:rsidRDefault="00530393" w:rsidP="00AF505E">
      <w:pPr>
        <w:pStyle w:val="ListParagraph"/>
        <w:spacing w:after="0"/>
        <w:ind w:left="1021"/>
        <w:rPr>
          <w:lang w:val="en-AU"/>
        </w:rPr>
      </w:pPr>
    </w:p>
    <w:p w14:paraId="316E61DE" w14:textId="6F90A126" w:rsidR="00530393" w:rsidRDefault="008C6C51" w:rsidP="00736861">
      <w:pPr>
        <w:pStyle w:val="ListParagraph"/>
        <w:numPr>
          <w:ilvl w:val="0"/>
          <w:numId w:val="9"/>
        </w:numPr>
        <w:spacing w:after="0"/>
        <w:ind w:left="1021" w:hanging="1021"/>
        <w:rPr>
          <w:lang w:val="en-AU"/>
        </w:rPr>
      </w:pPr>
      <w:r w:rsidRPr="00530393">
        <w:rPr>
          <w:lang w:val="en-AU"/>
        </w:rPr>
        <w:t xml:space="preserve">However the VPA notes it is more than likely that there would indeed need to be a local road along part of </w:t>
      </w:r>
      <w:proofErr w:type="spellStart"/>
      <w:r w:rsidRPr="00530393">
        <w:rPr>
          <w:lang w:val="en-AU"/>
        </w:rPr>
        <w:t>Beattys</w:t>
      </w:r>
      <w:proofErr w:type="spellEnd"/>
      <w:r w:rsidRPr="00530393">
        <w:rPr>
          <w:lang w:val="en-AU"/>
        </w:rPr>
        <w:t xml:space="preserve"> R</w:t>
      </w:r>
      <w:r w:rsidR="007F3165">
        <w:rPr>
          <w:lang w:val="en-AU"/>
        </w:rPr>
        <w:t>oa</w:t>
      </w:r>
      <w:r w:rsidRPr="00530393">
        <w:rPr>
          <w:lang w:val="en-AU"/>
        </w:rPr>
        <w:t>d (residential loop/ frontage road) to provide an address for the triangle of land east of the aquatic centre (noting that this will be resolved through subdivision permits).</w:t>
      </w:r>
    </w:p>
    <w:p w14:paraId="7EDDE49D" w14:textId="77777777" w:rsidR="00530393" w:rsidRDefault="00530393" w:rsidP="00AF505E">
      <w:pPr>
        <w:pStyle w:val="ListParagraph"/>
        <w:spacing w:after="0"/>
      </w:pPr>
    </w:p>
    <w:p w14:paraId="1247CC88" w14:textId="1A83177B" w:rsidR="008C6C51" w:rsidRPr="00530393" w:rsidRDefault="00530393" w:rsidP="00AF505E">
      <w:pPr>
        <w:pStyle w:val="Heading2"/>
        <w:rPr>
          <w:lang w:val="en-AU"/>
        </w:rPr>
      </w:pPr>
      <w:bookmarkStart w:id="24" w:name="_Toc469573660"/>
      <w:r>
        <w:t xml:space="preserve">4.4 </w:t>
      </w:r>
      <w:r w:rsidR="008C6C51" w:rsidRPr="00A73A34">
        <w:t>Submission 12</w:t>
      </w:r>
      <w:r w:rsidR="007F3165">
        <w:t xml:space="preserve"> (</w:t>
      </w:r>
      <w:proofErr w:type="spellStart"/>
      <w:r w:rsidR="007F3165">
        <w:t>Kororoit</w:t>
      </w:r>
      <w:proofErr w:type="spellEnd"/>
      <w:r w:rsidR="007F3165">
        <w:t>)</w:t>
      </w:r>
      <w:r w:rsidR="008C6C51" w:rsidRPr="00A73A34">
        <w:t xml:space="preserve"> – </w:t>
      </w:r>
      <w:proofErr w:type="spellStart"/>
      <w:r w:rsidR="008C6C51" w:rsidRPr="00A73A34">
        <w:t>Lawport</w:t>
      </w:r>
      <w:proofErr w:type="spellEnd"/>
      <w:r w:rsidR="008C6C51" w:rsidRPr="00A73A34">
        <w:t xml:space="preserve"> Holdings</w:t>
      </w:r>
      <w:bookmarkEnd w:id="24"/>
    </w:p>
    <w:p w14:paraId="677E306E" w14:textId="77777777" w:rsidR="008C6C51" w:rsidRDefault="008C6C51" w:rsidP="00AF505E">
      <w:pPr>
        <w:spacing w:after="0" w:line="276" w:lineRule="auto"/>
        <w:rPr>
          <w:rFonts w:cs="Arial"/>
          <w:noProof/>
          <w:color w:val="0070C0"/>
        </w:rPr>
      </w:pPr>
      <w:r w:rsidRPr="0061415D">
        <w:rPr>
          <w:rFonts w:cs="Arial"/>
          <w:b/>
          <w:noProof/>
        </w:rPr>
        <w:t xml:space="preserve">Address: </w:t>
      </w:r>
      <w:r w:rsidRPr="0061415D">
        <w:rPr>
          <w:rFonts w:cs="Arial"/>
          <w:noProof/>
        </w:rPr>
        <w:t>855-903 Taylors Rd / #69</w:t>
      </w:r>
    </w:p>
    <w:p w14:paraId="6F14E08C" w14:textId="77777777" w:rsidR="008C6C51" w:rsidRDefault="008C6C51" w:rsidP="00AF505E">
      <w:pPr>
        <w:spacing w:after="0" w:line="276" w:lineRule="auto"/>
        <w:rPr>
          <w:rFonts w:cs="Arial"/>
          <w:noProof/>
          <w:color w:val="0070C0"/>
        </w:rPr>
      </w:pPr>
    </w:p>
    <w:p w14:paraId="10368E23" w14:textId="77777777" w:rsidR="00530393" w:rsidRPr="00530393" w:rsidRDefault="00530393" w:rsidP="00736861">
      <w:pPr>
        <w:pStyle w:val="ListParagraph"/>
        <w:numPr>
          <w:ilvl w:val="0"/>
          <w:numId w:val="9"/>
        </w:numPr>
        <w:spacing w:after="0"/>
        <w:ind w:left="1021" w:hanging="1021"/>
        <w:rPr>
          <w:i/>
          <w:u w:val="single"/>
        </w:rPr>
      </w:pPr>
      <w:r w:rsidRPr="00530393">
        <w:rPr>
          <w:lang w:val="en-AU"/>
        </w:rPr>
        <w:t xml:space="preserve">The </w:t>
      </w:r>
      <w:r w:rsidR="00332E9F" w:rsidRPr="00530393">
        <w:rPr>
          <w:lang w:val="en-AU"/>
        </w:rPr>
        <w:t>VPA has addressed the residential designation above and does not seek to make any further submissions</w:t>
      </w:r>
      <w:r w:rsidRPr="00530393">
        <w:rPr>
          <w:lang w:val="en-AU"/>
        </w:rPr>
        <w:t xml:space="preserve"> in response to this submitter.</w:t>
      </w:r>
    </w:p>
    <w:p w14:paraId="5BFB99AC" w14:textId="77777777" w:rsidR="00530393" w:rsidRDefault="00530393" w:rsidP="00AF505E">
      <w:pPr>
        <w:pStyle w:val="ListParagraph"/>
        <w:spacing w:after="0"/>
      </w:pPr>
    </w:p>
    <w:p w14:paraId="4050DEDF" w14:textId="32289A15" w:rsidR="008C6C51" w:rsidRPr="00530393" w:rsidRDefault="00530393" w:rsidP="00AF505E">
      <w:pPr>
        <w:pStyle w:val="Heading2"/>
      </w:pPr>
      <w:bookmarkStart w:id="25" w:name="_Toc469573661"/>
      <w:r>
        <w:t xml:space="preserve">4.5 </w:t>
      </w:r>
      <w:r w:rsidR="008C6C51" w:rsidRPr="0021131D">
        <w:t xml:space="preserve">Submission 8 </w:t>
      </w:r>
      <w:r w:rsidR="007F3165">
        <w:t>(</w:t>
      </w:r>
      <w:proofErr w:type="spellStart"/>
      <w:r w:rsidR="007F3165">
        <w:t>Kororoit</w:t>
      </w:r>
      <w:proofErr w:type="spellEnd"/>
      <w:r w:rsidR="007F3165">
        <w:t xml:space="preserve">) </w:t>
      </w:r>
      <w:r w:rsidR="008C6C51" w:rsidRPr="0021131D">
        <w:t xml:space="preserve">– </w:t>
      </w:r>
      <w:proofErr w:type="spellStart"/>
      <w:r w:rsidR="008C6C51" w:rsidRPr="0021131D">
        <w:t>Spiire</w:t>
      </w:r>
      <w:proofErr w:type="spellEnd"/>
      <w:r w:rsidR="008C6C51" w:rsidRPr="0021131D">
        <w:t xml:space="preserve"> (on behalf of Villa World Development)</w:t>
      </w:r>
      <w:bookmarkEnd w:id="25"/>
    </w:p>
    <w:p w14:paraId="7982F8DC" w14:textId="77777777" w:rsidR="008C6C51" w:rsidRDefault="008C6C51" w:rsidP="00AF505E">
      <w:pPr>
        <w:spacing w:after="0" w:line="276" w:lineRule="auto"/>
        <w:rPr>
          <w:b/>
          <w:i/>
          <w:u w:val="single"/>
        </w:rPr>
      </w:pPr>
      <w:r w:rsidRPr="0061415D">
        <w:rPr>
          <w:rFonts w:cs="Arial"/>
          <w:b/>
          <w:noProof/>
        </w:rPr>
        <w:t xml:space="preserve">Address: </w:t>
      </w:r>
      <w:r w:rsidRPr="0061415D">
        <w:rPr>
          <w:rFonts w:cs="Arial"/>
          <w:noProof/>
        </w:rPr>
        <w:t>1053 Taylors Rd / #63</w:t>
      </w:r>
    </w:p>
    <w:p w14:paraId="309206AF" w14:textId="77777777" w:rsidR="008C6C51" w:rsidRDefault="008C6C51" w:rsidP="00AF505E">
      <w:pPr>
        <w:spacing w:after="0" w:line="276" w:lineRule="auto"/>
      </w:pPr>
    </w:p>
    <w:p w14:paraId="2FA597A6" w14:textId="2E0EA09B" w:rsidR="00332E9F" w:rsidRPr="00530393" w:rsidRDefault="00530393" w:rsidP="00736861">
      <w:pPr>
        <w:pStyle w:val="ListParagraph"/>
        <w:numPr>
          <w:ilvl w:val="0"/>
          <w:numId w:val="9"/>
        </w:numPr>
        <w:spacing w:after="0"/>
        <w:ind w:left="1021" w:hanging="1021"/>
        <w:rPr>
          <w:lang w:val="en-AU"/>
        </w:rPr>
      </w:pPr>
      <w:r w:rsidRPr="00530393">
        <w:rPr>
          <w:lang w:val="en-AU"/>
        </w:rPr>
        <w:t xml:space="preserve">The </w:t>
      </w:r>
      <w:r w:rsidR="00332E9F" w:rsidRPr="00530393">
        <w:rPr>
          <w:lang w:val="en-AU"/>
        </w:rPr>
        <w:t>VPA submits</w:t>
      </w:r>
      <w:r w:rsidR="00E54526" w:rsidRPr="00530393">
        <w:rPr>
          <w:lang w:val="en-AU"/>
        </w:rPr>
        <w:t xml:space="preserve"> that the Panel ought recommend:</w:t>
      </w:r>
    </w:p>
    <w:p w14:paraId="7EB77C90" w14:textId="02343760" w:rsidR="00332E9F" w:rsidRPr="00530393" w:rsidRDefault="00332E9F" w:rsidP="00736861">
      <w:pPr>
        <w:pStyle w:val="ListParagraph"/>
        <w:widowControl w:val="0"/>
        <w:numPr>
          <w:ilvl w:val="1"/>
          <w:numId w:val="9"/>
        </w:numPr>
        <w:autoSpaceDE w:val="0"/>
        <w:autoSpaceDN w:val="0"/>
        <w:adjustRightInd w:val="0"/>
        <w:spacing w:after="0" w:line="240" w:lineRule="auto"/>
        <w:ind w:left="1985" w:hanging="397"/>
        <w:rPr>
          <w:rFonts w:cs="Tahoma"/>
          <w:lang w:val="en-US"/>
        </w:rPr>
      </w:pPr>
      <w:r w:rsidRPr="00530393">
        <w:rPr>
          <w:rFonts w:cs="Tahoma"/>
          <w:lang w:val="en-US"/>
        </w:rPr>
        <w:t>Adoption of the VPA’s proposed wording i</w:t>
      </w:r>
      <w:r w:rsidR="00E54526" w:rsidRPr="00530393">
        <w:rPr>
          <w:rFonts w:cs="Tahoma"/>
          <w:lang w:val="en-US"/>
        </w:rPr>
        <w:t xml:space="preserve">n respect of access to </w:t>
      </w:r>
      <w:proofErr w:type="spellStart"/>
      <w:r w:rsidR="00E54526" w:rsidRPr="00530393">
        <w:rPr>
          <w:rFonts w:cs="Tahoma"/>
          <w:lang w:val="en-US"/>
        </w:rPr>
        <w:t>Sinclair</w:t>
      </w:r>
      <w:r w:rsidRPr="00530393">
        <w:rPr>
          <w:rFonts w:cs="Tahoma"/>
          <w:lang w:val="en-US"/>
        </w:rPr>
        <w:t>s</w:t>
      </w:r>
      <w:proofErr w:type="spellEnd"/>
      <w:r w:rsidRPr="00530393">
        <w:rPr>
          <w:rFonts w:cs="Tahoma"/>
          <w:lang w:val="en-US"/>
        </w:rPr>
        <w:t xml:space="preserve"> Road; </w:t>
      </w:r>
      <w:r w:rsidR="00530393" w:rsidRPr="00530393">
        <w:rPr>
          <w:rFonts w:cs="Tahoma"/>
          <w:lang w:val="en-US"/>
        </w:rPr>
        <w:t>and</w:t>
      </w:r>
    </w:p>
    <w:p w14:paraId="0B8A46F1" w14:textId="283D01EB" w:rsidR="00E54526" w:rsidRPr="00530393" w:rsidRDefault="00E54526" w:rsidP="00736861">
      <w:pPr>
        <w:pStyle w:val="ListParagraph"/>
        <w:widowControl w:val="0"/>
        <w:numPr>
          <w:ilvl w:val="1"/>
          <w:numId w:val="9"/>
        </w:numPr>
        <w:autoSpaceDE w:val="0"/>
        <w:autoSpaceDN w:val="0"/>
        <w:adjustRightInd w:val="0"/>
        <w:spacing w:after="0" w:line="240" w:lineRule="auto"/>
        <w:ind w:left="1985" w:hanging="397"/>
        <w:rPr>
          <w:rFonts w:cs="Tahoma"/>
          <w:lang w:val="en-US"/>
        </w:rPr>
      </w:pPr>
      <w:r w:rsidRPr="00530393">
        <w:rPr>
          <w:rFonts w:cs="Tahoma"/>
          <w:lang w:val="en-US"/>
        </w:rPr>
        <w:t xml:space="preserve">25m typical connector width on </w:t>
      </w:r>
      <w:proofErr w:type="spellStart"/>
      <w:r w:rsidRPr="00530393">
        <w:rPr>
          <w:rFonts w:cs="Tahoma"/>
          <w:lang w:val="en-US"/>
        </w:rPr>
        <w:t>Sinclairs</w:t>
      </w:r>
      <w:proofErr w:type="spellEnd"/>
      <w:r w:rsidRPr="00530393">
        <w:rPr>
          <w:rFonts w:cs="Tahoma"/>
          <w:lang w:val="en-US"/>
        </w:rPr>
        <w:t xml:space="preserve"> Road</w:t>
      </w:r>
      <w:r w:rsidR="00530393" w:rsidRPr="00530393">
        <w:rPr>
          <w:rFonts w:cs="Tahoma"/>
          <w:lang w:val="en-US"/>
        </w:rPr>
        <w:t>.</w:t>
      </w:r>
      <w:r w:rsidRPr="00530393">
        <w:rPr>
          <w:rFonts w:cs="Tahoma"/>
          <w:lang w:val="en-US"/>
        </w:rPr>
        <w:t xml:space="preserve"> </w:t>
      </w:r>
    </w:p>
    <w:p w14:paraId="0E5DBB66" w14:textId="77777777" w:rsidR="00E54526" w:rsidRDefault="00E54526" w:rsidP="00AF505E">
      <w:pPr>
        <w:spacing w:after="0" w:line="276" w:lineRule="auto"/>
      </w:pPr>
    </w:p>
    <w:p w14:paraId="2BFECF70" w14:textId="5AABEDA5" w:rsidR="00E54526" w:rsidRDefault="00530393" w:rsidP="00736861">
      <w:pPr>
        <w:pStyle w:val="ListParagraph"/>
        <w:numPr>
          <w:ilvl w:val="0"/>
          <w:numId w:val="9"/>
        </w:numPr>
        <w:spacing w:after="0"/>
        <w:ind w:left="1021" w:hanging="1021"/>
        <w:rPr>
          <w:lang w:val="en-AU"/>
        </w:rPr>
      </w:pPr>
      <w:r w:rsidRPr="00530393">
        <w:rPr>
          <w:lang w:val="en-AU"/>
        </w:rPr>
        <w:t xml:space="preserve">The </w:t>
      </w:r>
      <w:r w:rsidR="00E54526" w:rsidRPr="00530393">
        <w:rPr>
          <w:lang w:val="en-AU"/>
        </w:rPr>
        <w:t xml:space="preserve">VPA notes that 66kv </w:t>
      </w:r>
      <w:r w:rsidRPr="00530393">
        <w:rPr>
          <w:lang w:val="en-AU"/>
        </w:rPr>
        <w:t>power poles</w:t>
      </w:r>
      <w:r w:rsidR="00E54526" w:rsidRPr="00530393">
        <w:rPr>
          <w:lang w:val="en-AU"/>
        </w:rPr>
        <w:t xml:space="preserve"> will now run along Western Freeway further west, before heading north (</w:t>
      </w:r>
      <w:r w:rsidRPr="00530393">
        <w:rPr>
          <w:lang w:val="en-AU"/>
        </w:rPr>
        <w:t>i.e.</w:t>
      </w:r>
      <w:r w:rsidR="00E54526" w:rsidRPr="00530393">
        <w:rPr>
          <w:lang w:val="en-AU"/>
        </w:rPr>
        <w:t xml:space="preserve"> not along </w:t>
      </w:r>
      <w:proofErr w:type="spellStart"/>
      <w:r w:rsidR="00E54526" w:rsidRPr="00530393">
        <w:rPr>
          <w:lang w:val="en-AU"/>
        </w:rPr>
        <w:t>Sinclairs</w:t>
      </w:r>
      <w:proofErr w:type="spellEnd"/>
      <w:r w:rsidR="00E54526" w:rsidRPr="00530393">
        <w:rPr>
          <w:lang w:val="en-AU"/>
        </w:rPr>
        <w:t xml:space="preserve"> R</w:t>
      </w:r>
      <w:r w:rsidR="007F3165">
        <w:rPr>
          <w:lang w:val="en-AU"/>
        </w:rPr>
        <w:t>oa</w:t>
      </w:r>
      <w:r w:rsidR="00E54526" w:rsidRPr="00530393">
        <w:rPr>
          <w:lang w:val="en-AU"/>
        </w:rPr>
        <w:t>d) so that the exhibited 27m width is no longer necessary.</w:t>
      </w:r>
    </w:p>
    <w:p w14:paraId="236B6378" w14:textId="77777777" w:rsidR="00530393" w:rsidRPr="00530393" w:rsidRDefault="00530393" w:rsidP="00AF505E">
      <w:pPr>
        <w:pStyle w:val="ListParagraph"/>
        <w:spacing w:after="0"/>
        <w:ind w:left="1021"/>
        <w:rPr>
          <w:lang w:val="en-AU"/>
        </w:rPr>
      </w:pPr>
    </w:p>
    <w:p w14:paraId="359B0619" w14:textId="4F52A9A2" w:rsidR="00530393" w:rsidRPr="00530393" w:rsidRDefault="00530393" w:rsidP="00736861">
      <w:pPr>
        <w:pStyle w:val="ListParagraph"/>
        <w:numPr>
          <w:ilvl w:val="0"/>
          <w:numId w:val="9"/>
        </w:numPr>
        <w:spacing w:after="0"/>
        <w:ind w:left="1021" w:hanging="1021"/>
        <w:rPr>
          <w:lang w:val="en-AU"/>
        </w:rPr>
      </w:pPr>
      <w:r>
        <w:rPr>
          <w:lang w:val="en-AU"/>
        </w:rPr>
        <w:t xml:space="preserve">The </w:t>
      </w:r>
      <w:r w:rsidR="00E54526" w:rsidRPr="00530393">
        <w:rPr>
          <w:lang w:val="en-AU"/>
        </w:rPr>
        <w:t xml:space="preserve">VPA does not accept a further reduction in the width of </w:t>
      </w:r>
      <w:proofErr w:type="spellStart"/>
      <w:r w:rsidR="00E54526" w:rsidRPr="00530393">
        <w:rPr>
          <w:lang w:val="en-AU"/>
        </w:rPr>
        <w:t>Sinclairs</w:t>
      </w:r>
      <w:proofErr w:type="spellEnd"/>
      <w:r w:rsidR="00E54526" w:rsidRPr="00530393">
        <w:rPr>
          <w:lang w:val="en-AU"/>
        </w:rPr>
        <w:t xml:space="preserve"> R</w:t>
      </w:r>
      <w:r w:rsidR="007F3165">
        <w:rPr>
          <w:lang w:val="en-AU"/>
        </w:rPr>
        <w:t>oa</w:t>
      </w:r>
      <w:r w:rsidR="003C01BF">
        <w:rPr>
          <w:lang w:val="en-AU"/>
        </w:rPr>
        <w:t>d as proposed by Villa W</w:t>
      </w:r>
      <w:r w:rsidR="00E54526" w:rsidRPr="00530393">
        <w:rPr>
          <w:lang w:val="en-AU"/>
        </w:rPr>
        <w:t>orld.</w:t>
      </w:r>
    </w:p>
    <w:p w14:paraId="079D38DC" w14:textId="77777777" w:rsidR="00530393" w:rsidRPr="00530393" w:rsidRDefault="00530393" w:rsidP="00AF505E">
      <w:pPr>
        <w:pStyle w:val="ListParagraph"/>
        <w:spacing w:after="0"/>
        <w:ind w:left="1021"/>
        <w:rPr>
          <w:lang w:val="en-AU"/>
        </w:rPr>
      </w:pPr>
    </w:p>
    <w:p w14:paraId="28A855FB" w14:textId="009BA3AC" w:rsidR="00530393" w:rsidRDefault="00332E9F" w:rsidP="00736861">
      <w:pPr>
        <w:pStyle w:val="ListParagraph"/>
        <w:numPr>
          <w:ilvl w:val="0"/>
          <w:numId w:val="9"/>
        </w:numPr>
        <w:spacing w:after="0"/>
        <w:ind w:left="1021" w:hanging="1021"/>
        <w:rPr>
          <w:lang w:val="en-AU"/>
        </w:rPr>
      </w:pPr>
      <w:r w:rsidRPr="00530393">
        <w:rPr>
          <w:lang w:val="en-AU"/>
        </w:rPr>
        <w:t xml:space="preserve">Mr Walsh presented expert evidence on traffic matters including widened </w:t>
      </w:r>
      <w:proofErr w:type="spellStart"/>
      <w:r w:rsidRPr="00530393">
        <w:rPr>
          <w:lang w:val="en-AU"/>
        </w:rPr>
        <w:t>Sinclairs</w:t>
      </w:r>
      <w:proofErr w:type="spellEnd"/>
      <w:r w:rsidRPr="00530393">
        <w:rPr>
          <w:lang w:val="en-AU"/>
        </w:rPr>
        <w:t xml:space="preserve"> R</w:t>
      </w:r>
      <w:r w:rsidR="007F3165">
        <w:rPr>
          <w:lang w:val="en-AU"/>
        </w:rPr>
        <w:t>oa</w:t>
      </w:r>
      <w:r w:rsidRPr="00530393">
        <w:rPr>
          <w:lang w:val="en-AU"/>
        </w:rPr>
        <w:t>d.</w:t>
      </w:r>
    </w:p>
    <w:p w14:paraId="151E90B4" w14:textId="77777777" w:rsidR="00530393" w:rsidRPr="00530393" w:rsidRDefault="00530393" w:rsidP="00AF505E">
      <w:pPr>
        <w:pStyle w:val="ListParagraph"/>
        <w:spacing w:after="0"/>
        <w:rPr>
          <w:lang w:val="en-AU"/>
        </w:rPr>
      </w:pPr>
    </w:p>
    <w:p w14:paraId="7E8DE232" w14:textId="6DE2B89A" w:rsidR="00530393" w:rsidRDefault="00332E9F" w:rsidP="00736861">
      <w:pPr>
        <w:pStyle w:val="ListParagraph"/>
        <w:numPr>
          <w:ilvl w:val="0"/>
          <w:numId w:val="9"/>
        </w:numPr>
        <w:spacing w:after="0"/>
        <w:ind w:left="1021" w:hanging="1021"/>
        <w:rPr>
          <w:lang w:val="en-AU"/>
        </w:rPr>
      </w:pPr>
      <w:r w:rsidRPr="00530393">
        <w:rPr>
          <w:lang w:val="en-AU"/>
        </w:rPr>
        <w:t xml:space="preserve">He stated it ‘was not fair’ that </w:t>
      </w:r>
      <w:proofErr w:type="spellStart"/>
      <w:r w:rsidRPr="00530393">
        <w:rPr>
          <w:lang w:val="en-AU"/>
        </w:rPr>
        <w:t>Sinclairs</w:t>
      </w:r>
      <w:proofErr w:type="spellEnd"/>
      <w:r w:rsidRPr="00530393">
        <w:rPr>
          <w:lang w:val="en-AU"/>
        </w:rPr>
        <w:t xml:space="preserve"> R</w:t>
      </w:r>
      <w:r w:rsidR="007F3165">
        <w:rPr>
          <w:lang w:val="en-AU"/>
        </w:rPr>
        <w:t>oa</w:t>
      </w:r>
      <w:r w:rsidRPr="00530393">
        <w:rPr>
          <w:lang w:val="en-AU"/>
        </w:rPr>
        <w:t xml:space="preserve">d is widened to the east onto the </w:t>
      </w:r>
      <w:proofErr w:type="spellStart"/>
      <w:r w:rsidRPr="00530393">
        <w:rPr>
          <w:lang w:val="en-AU"/>
        </w:rPr>
        <w:t>Villaworld</w:t>
      </w:r>
      <w:proofErr w:type="spellEnd"/>
      <w:r w:rsidRPr="00530393">
        <w:rPr>
          <w:lang w:val="en-AU"/>
        </w:rPr>
        <w:t xml:space="preserve"> land. </w:t>
      </w:r>
    </w:p>
    <w:p w14:paraId="3839179F" w14:textId="77777777" w:rsidR="00530393" w:rsidRPr="00530393" w:rsidRDefault="00530393" w:rsidP="00AF505E">
      <w:pPr>
        <w:pStyle w:val="ListParagraph"/>
        <w:spacing w:after="0"/>
        <w:rPr>
          <w:lang w:val="en-AU"/>
        </w:rPr>
      </w:pPr>
    </w:p>
    <w:p w14:paraId="3220824E" w14:textId="28E7C156" w:rsidR="00530393" w:rsidRDefault="00530393" w:rsidP="00736861">
      <w:pPr>
        <w:pStyle w:val="ListParagraph"/>
        <w:numPr>
          <w:ilvl w:val="0"/>
          <w:numId w:val="9"/>
        </w:numPr>
        <w:spacing w:after="0"/>
        <w:ind w:left="1021" w:hanging="1021"/>
        <w:rPr>
          <w:lang w:val="en-AU"/>
        </w:rPr>
      </w:pPr>
      <w:r>
        <w:rPr>
          <w:lang w:val="en-AU"/>
        </w:rPr>
        <w:t xml:space="preserve">The </w:t>
      </w:r>
      <w:r w:rsidR="00332E9F" w:rsidRPr="00530393">
        <w:rPr>
          <w:lang w:val="en-AU"/>
        </w:rPr>
        <w:t xml:space="preserve">VPA submits that the widening to the east is due to the presence of Conservation Area 1 to the west of </w:t>
      </w:r>
      <w:proofErr w:type="spellStart"/>
      <w:r w:rsidR="00332E9F" w:rsidRPr="00530393">
        <w:rPr>
          <w:lang w:val="en-AU"/>
        </w:rPr>
        <w:t>Sinclairs</w:t>
      </w:r>
      <w:proofErr w:type="spellEnd"/>
      <w:r w:rsidR="00332E9F" w:rsidRPr="00530393">
        <w:rPr>
          <w:lang w:val="en-AU"/>
        </w:rPr>
        <w:t xml:space="preserve"> R</w:t>
      </w:r>
      <w:r w:rsidR="007F3165">
        <w:rPr>
          <w:lang w:val="en-AU"/>
        </w:rPr>
        <w:t>oa</w:t>
      </w:r>
      <w:r w:rsidR="00332E9F" w:rsidRPr="00530393">
        <w:rPr>
          <w:lang w:val="en-AU"/>
        </w:rPr>
        <w:t xml:space="preserve">d. The criteria for changing a boundary of this CA for purposes of urban infrastructure is “where no feasible alternatives are available” (p15 Guidance Note: Implementing the </w:t>
      </w:r>
      <w:r w:rsidR="007F3165">
        <w:rPr>
          <w:lang w:val="en-AU"/>
        </w:rPr>
        <w:t>Biodiversity Conservation Strategy (</w:t>
      </w:r>
      <w:r w:rsidR="00332E9F" w:rsidRPr="00530393">
        <w:rPr>
          <w:lang w:val="en-AU"/>
        </w:rPr>
        <w:t>BCS</w:t>
      </w:r>
      <w:r w:rsidR="007F3165">
        <w:rPr>
          <w:lang w:val="en-AU"/>
        </w:rPr>
        <w:t>)</w:t>
      </w:r>
      <w:r w:rsidR="00332E9F" w:rsidRPr="00530393">
        <w:rPr>
          <w:lang w:val="en-AU"/>
        </w:rPr>
        <w:t>), which is not the case here.</w:t>
      </w:r>
    </w:p>
    <w:p w14:paraId="6F41F7CE" w14:textId="77777777" w:rsidR="00530393" w:rsidRPr="00530393" w:rsidRDefault="00530393" w:rsidP="00AF505E">
      <w:pPr>
        <w:pStyle w:val="ListParagraph"/>
        <w:spacing w:after="0"/>
        <w:rPr>
          <w:lang w:val="en-AU"/>
        </w:rPr>
      </w:pPr>
    </w:p>
    <w:p w14:paraId="1956DB51" w14:textId="7D19275C" w:rsidR="00332E9F" w:rsidRPr="00530393" w:rsidRDefault="0052445C" w:rsidP="00736861">
      <w:pPr>
        <w:pStyle w:val="ListParagraph"/>
        <w:numPr>
          <w:ilvl w:val="0"/>
          <w:numId w:val="9"/>
        </w:numPr>
        <w:spacing w:after="0"/>
        <w:ind w:left="1021" w:hanging="1021"/>
        <w:rPr>
          <w:lang w:val="en-AU"/>
        </w:rPr>
      </w:pPr>
      <w:r>
        <w:rPr>
          <w:lang w:val="en-AU"/>
        </w:rPr>
        <w:t xml:space="preserve">VPA also submits that the Panel </w:t>
      </w:r>
      <w:r w:rsidR="003C01BF">
        <w:rPr>
          <w:lang w:val="en-AU"/>
        </w:rPr>
        <w:t>ought to</w:t>
      </w:r>
      <w:r>
        <w:rPr>
          <w:lang w:val="en-AU"/>
        </w:rPr>
        <w:t xml:space="preserve"> recommend r</w:t>
      </w:r>
      <w:r w:rsidRPr="00530393">
        <w:rPr>
          <w:lang w:val="en-AU"/>
        </w:rPr>
        <w:t xml:space="preserve">etention </w:t>
      </w:r>
      <w:r w:rsidR="00332E9F" w:rsidRPr="00530393">
        <w:rPr>
          <w:lang w:val="en-AU"/>
        </w:rPr>
        <w:t xml:space="preserve">of the cycle path along </w:t>
      </w:r>
      <w:proofErr w:type="spellStart"/>
      <w:r w:rsidR="00332E9F" w:rsidRPr="00530393">
        <w:rPr>
          <w:lang w:val="en-AU"/>
        </w:rPr>
        <w:t>Sinclairs</w:t>
      </w:r>
      <w:proofErr w:type="spellEnd"/>
      <w:r w:rsidR="00332E9F" w:rsidRPr="00530393">
        <w:rPr>
          <w:lang w:val="en-AU"/>
        </w:rPr>
        <w:t xml:space="preserve"> Road.  The retention of the path is desirable to link with the other cycle paths along </w:t>
      </w:r>
      <w:proofErr w:type="spellStart"/>
      <w:r w:rsidR="00332E9F" w:rsidRPr="00530393">
        <w:rPr>
          <w:lang w:val="en-AU"/>
        </w:rPr>
        <w:t>Sinclairs</w:t>
      </w:r>
      <w:proofErr w:type="spellEnd"/>
      <w:r w:rsidR="00332E9F" w:rsidRPr="00530393">
        <w:rPr>
          <w:lang w:val="en-AU"/>
        </w:rPr>
        <w:t xml:space="preserve"> Road.  Further, the easement only provides a shared path.  Also, the shared path in the easement does not extend longer than the </w:t>
      </w:r>
      <w:proofErr w:type="spellStart"/>
      <w:r w:rsidR="00332E9F" w:rsidRPr="00530393">
        <w:rPr>
          <w:lang w:val="en-AU"/>
        </w:rPr>
        <w:t>Sinclairs</w:t>
      </w:r>
      <w:proofErr w:type="spellEnd"/>
      <w:r w:rsidR="00332E9F" w:rsidRPr="00530393">
        <w:rPr>
          <w:lang w:val="en-AU"/>
        </w:rPr>
        <w:t xml:space="preserve"> Road path</w:t>
      </w:r>
      <w:r w:rsidR="002916DE" w:rsidRPr="00530393">
        <w:rPr>
          <w:lang w:val="en-AU"/>
        </w:rPr>
        <w:t xml:space="preserve">: cyclists would need to come back to </w:t>
      </w:r>
      <w:proofErr w:type="spellStart"/>
      <w:r w:rsidR="002916DE" w:rsidRPr="00530393">
        <w:rPr>
          <w:lang w:val="en-AU"/>
        </w:rPr>
        <w:t>Sinclairs</w:t>
      </w:r>
      <w:proofErr w:type="spellEnd"/>
      <w:r w:rsidR="002916DE" w:rsidRPr="00530393">
        <w:rPr>
          <w:lang w:val="en-AU"/>
        </w:rPr>
        <w:t xml:space="preserve"> Road at the north and the south</w:t>
      </w:r>
      <w:r w:rsidR="00332E9F" w:rsidRPr="00530393">
        <w:rPr>
          <w:lang w:val="en-AU"/>
        </w:rPr>
        <w:t>.</w:t>
      </w:r>
      <w:r w:rsidR="002916DE" w:rsidRPr="00530393">
        <w:rPr>
          <w:lang w:val="en-AU"/>
        </w:rPr>
        <w:t xml:space="preserve">  To the extent that cyclists will choose to remain on the road, as the more direct route, without cycle infrastructure, this is not a desirable option.   </w:t>
      </w:r>
      <w:r w:rsidR="00332E9F" w:rsidRPr="00530393">
        <w:rPr>
          <w:lang w:val="en-AU"/>
        </w:rPr>
        <w:t xml:space="preserve">  </w:t>
      </w:r>
    </w:p>
    <w:p w14:paraId="34287DA8" w14:textId="77777777" w:rsidR="008C6C51" w:rsidRDefault="008C6C51" w:rsidP="00AF505E">
      <w:pPr>
        <w:spacing w:after="0" w:line="276" w:lineRule="auto"/>
      </w:pPr>
    </w:p>
    <w:p w14:paraId="10695799" w14:textId="187F104C" w:rsidR="008C6C51" w:rsidRPr="0021131D" w:rsidRDefault="00530393" w:rsidP="00AF505E">
      <w:pPr>
        <w:pStyle w:val="Heading2"/>
      </w:pPr>
      <w:bookmarkStart w:id="26" w:name="_Toc469573662"/>
      <w:r>
        <w:t xml:space="preserve">4.6 </w:t>
      </w:r>
      <w:r w:rsidR="008C6C51" w:rsidRPr="0021131D">
        <w:t>Submission 29</w:t>
      </w:r>
      <w:r w:rsidR="00A719F7">
        <w:t xml:space="preserve"> (</w:t>
      </w:r>
      <w:proofErr w:type="spellStart"/>
      <w:r w:rsidR="00A719F7">
        <w:t>Plumpton</w:t>
      </w:r>
      <w:proofErr w:type="spellEnd"/>
      <w:r w:rsidR="00A719F7">
        <w:t>) &amp;</w:t>
      </w:r>
      <w:r w:rsidR="008C6C51">
        <w:t xml:space="preserve"> 32</w:t>
      </w:r>
      <w:r w:rsidR="00A719F7">
        <w:t xml:space="preserve"> (</w:t>
      </w:r>
      <w:proofErr w:type="spellStart"/>
      <w:r w:rsidR="00A719F7">
        <w:t>Kororoit</w:t>
      </w:r>
      <w:proofErr w:type="spellEnd"/>
      <w:r w:rsidR="00A719F7">
        <w:t>)</w:t>
      </w:r>
      <w:r w:rsidR="008C6C51" w:rsidRPr="0021131D">
        <w:t xml:space="preserve"> – Melton City Council</w:t>
      </w:r>
      <w:bookmarkEnd w:id="26"/>
      <w:r w:rsidR="008C6C51" w:rsidRPr="0021131D">
        <w:t xml:space="preserve"> </w:t>
      </w:r>
    </w:p>
    <w:p w14:paraId="34523996" w14:textId="77777777" w:rsidR="008C6C51" w:rsidRDefault="008C6C51" w:rsidP="00AF505E">
      <w:pPr>
        <w:pStyle w:val="BodyText"/>
        <w:spacing w:line="276" w:lineRule="auto"/>
        <w:rPr>
          <w:rFonts w:asciiTheme="minorHAnsi" w:hAnsiTheme="minorHAnsi" w:cstheme="minorBidi"/>
          <w:spacing w:val="-1"/>
          <w:lang w:val="en-GB"/>
        </w:rPr>
      </w:pPr>
      <w:r w:rsidRPr="00A719F7">
        <w:rPr>
          <w:rFonts w:asciiTheme="minorHAnsi" w:hAnsiTheme="minorHAnsi" w:cstheme="minorBidi"/>
          <w:b/>
          <w:spacing w:val="-1"/>
          <w:lang w:val="en-GB"/>
        </w:rPr>
        <w:t>Address:</w:t>
      </w:r>
      <w:r w:rsidRPr="003F5261">
        <w:rPr>
          <w:rFonts w:asciiTheme="minorHAnsi" w:hAnsiTheme="minorHAnsi" w:cstheme="minorBidi"/>
          <w:spacing w:val="-1"/>
          <w:lang w:val="en-GB"/>
        </w:rPr>
        <w:t xml:space="preserve"> Agency</w:t>
      </w:r>
    </w:p>
    <w:p w14:paraId="51780163" w14:textId="77777777" w:rsidR="008C6C51" w:rsidRDefault="008C6C51" w:rsidP="00AF505E">
      <w:pPr>
        <w:pStyle w:val="BodyText"/>
        <w:spacing w:line="276" w:lineRule="auto"/>
        <w:rPr>
          <w:rFonts w:asciiTheme="minorHAnsi" w:hAnsiTheme="minorHAnsi" w:cstheme="minorBidi"/>
          <w:spacing w:val="-1"/>
          <w:lang w:val="en-GB"/>
        </w:rPr>
      </w:pPr>
    </w:p>
    <w:p w14:paraId="03DA2143" w14:textId="77777777" w:rsidR="008C6C51" w:rsidRPr="00530393" w:rsidRDefault="008C6C51" w:rsidP="00736861">
      <w:pPr>
        <w:pStyle w:val="ListParagraph"/>
        <w:numPr>
          <w:ilvl w:val="0"/>
          <w:numId w:val="9"/>
        </w:numPr>
        <w:spacing w:after="0"/>
        <w:ind w:left="1021" w:hanging="1021"/>
        <w:rPr>
          <w:lang w:val="en-AU"/>
        </w:rPr>
      </w:pPr>
      <w:r w:rsidRPr="00530393">
        <w:rPr>
          <w:lang w:val="en-AU"/>
        </w:rPr>
        <w:t xml:space="preserve">This includes a response to Melton City Council’s submission to Panel in relation to both Plumpton and </w:t>
      </w:r>
      <w:proofErr w:type="spellStart"/>
      <w:r w:rsidRPr="00530393">
        <w:rPr>
          <w:lang w:val="en-AU"/>
        </w:rPr>
        <w:t>Kororoit</w:t>
      </w:r>
      <w:proofErr w:type="spellEnd"/>
      <w:r w:rsidRPr="00530393">
        <w:rPr>
          <w:lang w:val="en-AU"/>
        </w:rPr>
        <w:t xml:space="preserve"> PSPs.</w:t>
      </w:r>
    </w:p>
    <w:p w14:paraId="623AC933" w14:textId="77777777" w:rsidR="008C6C51" w:rsidRPr="00530393" w:rsidRDefault="008C6C51" w:rsidP="00AF505E">
      <w:pPr>
        <w:pStyle w:val="ListParagraph"/>
        <w:spacing w:after="0"/>
        <w:ind w:left="1021"/>
        <w:rPr>
          <w:lang w:val="en-AU"/>
        </w:rPr>
      </w:pPr>
    </w:p>
    <w:p w14:paraId="2C40CBF5" w14:textId="77777777" w:rsidR="00530393" w:rsidRDefault="00530393" w:rsidP="00736861">
      <w:pPr>
        <w:pStyle w:val="ListParagraph"/>
        <w:numPr>
          <w:ilvl w:val="0"/>
          <w:numId w:val="9"/>
        </w:numPr>
        <w:spacing w:after="0"/>
        <w:ind w:left="1021" w:hanging="1021"/>
        <w:rPr>
          <w:lang w:val="en-AU"/>
        </w:rPr>
      </w:pPr>
      <w:r w:rsidRPr="00530393">
        <w:rPr>
          <w:lang w:val="en-AU"/>
        </w:rPr>
        <w:t xml:space="preserve">The </w:t>
      </w:r>
      <w:r w:rsidR="002916DE" w:rsidRPr="00530393">
        <w:rPr>
          <w:lang w:val="en-AU"/>
        </w:rPr>
        <w:t xml:space="preserve">VPA’s response on the issues of the ICP, the gas pipeline and the residential zones have all been set out above. </w:t>
      </w:r>
    </w:p>
    <w:p w14:paraId="60ABEA62" w14:textId="77777777" w:rsidR="00530393" w:rsidRPr="00530393" w:rsidRDefault="00530393" w:rsidP="00AF505E">
      <w:pPr>
        <w:pStyle w:val="ListParagraph"/>
        <w:spacing w:after="0"/>
        <w:rPr>
          <w:lang w:val="en-AU"/>
        </w:rPr>
      </w:pPr>
    </w:p>
    <w:p w14:paraId="7D9BF2FA" w14:textId="14FBABF0" w:rsidR="008C6C51" w:rsidRPr="00530393" w:rsidRDefault="00F30727" w:rsidP="00736861">
      <w:pPr>
        <w:pStyle w:val="ListParagraph"/>
        <w:numPr>
          <w:ilvl w:val="0"/>
          <w:numId w:val="9"/>
        </w:numPr>
        <w:spacing w:after="0"/>
        <w:ind w:left="1021" w:hanging="1021"/>
        <w:rPr>
          <w:lang w:val="en-AU"/>
        </w:rPr>
      </w:pPr>
      <w:r w:rsidRPr="00530393">
        <w:rPr>
          <w:lang w:val="en-AU"/>
        </w:rPr>
        <w:t xml:space="preserve">The </w:t>
      </w:r>
      <w:r w:rsidR="0052445C">
        <w:rPr>
          <w:lang w:val="en-AU"/>
        </w:rPr>
        <w:t xml:space="preserve">VPA requests </w:t>
      </w:r>
      <w:r w:rsidRPr="00530393">
        <w:rPr>
          <w:lang w:val="en-AU"/>
        </w:rPr>
        <w:t xml:space="preserve">Panel </w:t>
      </w:r>
      <w:r w:rsidR="0052445C">
        <w:rPr>
          <w:lang w:val="en-AU"/>
        </w:rPr>
        <w:t>to</w:t>
      </w:r>
      <w:r w:rsidR="0052445C" w:rsidRPr="00530393">
        <w:rPr>
          <w:lang w:val="en-AU"/>
        </w:rPr>
        <w:t xml:space="preserve"> </w:t>
      </w:r>
      <w:r w:rsidRPr="00530393">
        <w:rPr>
          <w:lang w:val="en-AU"/>
        </w:rPr>
        <w:t>adopt the VPA and Council’s agreed position in relation to:</w:t>
      </w:r>
    </w:p>
    <w:p w14:paraId="5D86CC84" w14:textId="77777777" w:rsidR="00F452A1" w:rsidRDefault="00F452A1" w:rsidP="00AF505E">
      <w:pPr>
        <w:pStyle w:val="Heading3"/>
      </w:pPr>
    </w:p>
    <w:p w14:paraId="7D13188E" w14:textId="77777777" w:rsidR="00F452A1" w:rsidRDefault="00530393" w:rsidP="00AF505E">
      <w:pPr>
        <w:pStyle w:val="Heading3"/>
      </w:pPr>
      <w:bookmarkStart w:id="27" w:name="_Toc469573663"/>
      <w:r>
        <w:t>Small Local Enterprise Precincts</w:t>
      </w:r>
      <w:bookmarkEnd w:id="27"/>
    </w:p>
    <w:p w14:paraId="0D2FA965" w14:textId="77777777" w:rsidR="00531D18" w:rsidRDefault="00531D18" w:rsidP="0073197B">
      <w:pPr>
        <w:pStyle w:val="ListParagraph"/>
        <w:spacing w:after="0"/>
        <w:ind w:left="1021"/>
        <w:rPr>
          <w:lang w:val="en-AU"/>
        </w:rPr>
      </w:pPr>
    </w:p>
    <w:p w14:paraId="2459EB06" w14:textId="3A630F70" w:rsidR="00F566B5" w:rsidRDefault="00531D18" w:rsidP="00736861">
      <w:pPr>
        <w:pStyle w:val="ListParagraph"/>
        <w:numPr>
          <w:ilvl w:val="0"/>
          <w:numId w:val="9"/>
        </w:numPr>
        <w:spacing w:after="0"/>
        <w:ind w:left="1021" w:hanging="1021"/>
        <w:rPr>
          <w:lang w:val="en-AU"/>
        </w:rPr>
      </w:pPr>
      <w:r>
        <w:rPr>
          <w:lang w:val="en-AU"/>
        </w:rPr>
        <w:t xml:space="preserve">VPA and Council </w:t>
      </w:r>
      <w:r w:rsidR="00F566B5">
        <w:rPr>
          <w:lang w:val="en-AU"/>
        </w:rPr>
        <w:t>agree</w:t>
      </w:r>
      <w:r>
        <w:rPr>
          <w:lang w:val="en-AU"/>
        </w:rPr>
        <w:t xml:space="preserve"> with the specific wording to be included in the PSPs that provides further guidance on what type of uses should be located in these areas</w:t>
      </w:r>
      <w:r w:rsidR="00F566B5">
        <w:rPr>
          <w:lang w:val="en-AU"/>
        </w:rPr>
        <w:t>.</w:t>
      </w:r>
    </w:p>
    <w:p w14:paraId="3A9F4042" w14:textId="77777777" w:rsidR="00F566B5" w:rsidRPr="00F566B5" w:rsidRDefault="00F566B5" w:rsidP="0073197B">
      <w:pPr>
        <w:pStyle w:val="ListParagraph"/>
        <w:rPr>
          <w:lang w:val="en-AU"/>
        </w:rPr>
      </w:pPr>
    </w:p>
    <w:p w14:paraId="1F79B1F0" w14:textId="2D8016C1" w:rsidR="00531D18" w:rsidRDefault="00F566B5" w:rsidP="00736861">
      <w:pPr>
        <w:pStyle w:val="ListParagraph"/>
        <w:numPr>
          <w:ilvl w:val="0"/>
          <w:numId w:val="9"/>
        </w:numPr>
        <w:spacing w:after="0"/>
        <w:ind w:left="1021" w:hanging="1021"/>
        <w:rPr>
          <w:lang w:val="en-AU"/>
        </w:rPr>
      </w:pPr>
      <w:r>
        <w:rPr>
          <w:lang w:val="en-AU"/>
        </w:rPr>
        <w:t xml:space="preserve">Proposed revised </w:t>
      </w:r>
      <w:r w:rsidR="003C01BF">
        <w:rPr>
          <w:lang w:val="en-AU"/>
        </w:rPr>
        <w:t>Requirement as</w:t>
      </w:r>
      <w:r w:rsidR="00531D18">
        <w:rPr>
          <w:lang w:val="en-AU"/>
        </w:rPr>
        <w:t xml:space="preserve"> follows:</w:t>
      </w:r>
    </w:p>
    <w:p w14:paraId="7882455B" w14:textId="2892CE74" w:rsidR="00531D18" w:rsidRDefault="00531D18" w:rsidP="0073197B">
      <w:pPr>
        <w:pStyle w:val="ListParagraph"/>
        <w:spacing w:after="0"/>
        <w:ind w:left="1021"/>
        <w:rPr>
          <w:i/>
          <w:lang w:val="en-AU"/>
        </w:rPr>
      </w:pPr>
      <w:r>
        <w:rPr>
          <w:i/>
          <w:lang w:val="en-AU"/>
        </w:rPr>
        <w:t>Development proposals within Small Local Enterprise Precinct (SLEP) areas must:</w:t>
      </w:r>
    </w:p>
    <w:p w14:paraId="2748A29B" w14:textId="554F4A70" w:rsidR="00531D18" w:rsidRDefault="00531D18" w:rsidP="0073197B">
      <w:pPr>
        <w:pStyle w:val="ListParagraph"/>
        <w:numPr>
          <w:ilvl w:val="0"/>
          <w:numId w:val="13"/>
        </w:numPr>
        <w:spacing w:after="0"/>
        <w:ind w:hanging="607"/>
        <w:rPr>
          <w:i/>
          <w:lang w:val="en-AU"/>
        </w:rPr>
      </w:pPr>
      <w:r>
        <w:rPr>
          <w:i/>
          <w:lang w:val="en-AU"/>
        </w:rPr>
        <w:t>Provide for a range of floor space sizes from 100m</w:t>
      </w:r>
      <w:r w:rsidRPr="0073197B">
        <w:rPr>
          <w:i/>
          <w:vertAlign w:val="superscript"/>
          <w:lang w:val="en-AU"/>
        </w:rPr>
        <w:t>2</w:t>
      </w:r>
      <w:r>
        <w:rPr>
          <w:i/>
          <w:lang w:val="en-AU"/>
        </w:rPr>
        <w:t xml:space="preserve"> to 900m</w:t>
      </w:r>
      <w:r w:rsidRPr="0073197B">
        <w:rPr>
          <w:i/>
          <w:vertAlign w:val="superscript"/>
          <w:lang w:val="en-AU"/>
        </w:rPr>
        <w:t>2</w:t>
      </w:r>
      <w:r>
        <w:rPr>
          <w:i/>
          <w:lang w:val="en-AU"/>
        </w:rPr>
        <w:t xml:space="preserve"> that facilitate a diverse range of enterprise and employment opportunities including:</w:t>
      </w:r>
    </w:p>
    <w:p w14:paraId="554F1116" w14:textId="2E41BD1B" w:rsidR="00531D18" w:rsidRDefault="00F92AB7" w:rsidP="0073197B">
      <w:pPr>
        <w:pStyle w:val="ListParagraph"/>
        <w:numPr>
          <w:ilvl w:val="0"/>
          <w:numId w:val="14"/>
        </w:numPr>
        <w:spacing w:after="0"/>
        <w:rPr>
          <w:i/>
          <w:lang w:val="en-AU"/>
        </w:rPr>
      </w:pPr>
      <w:r>
        <w:rPr>
          <w:i/>
          <w:lang w:val="en-AU"/>
        </w:rPr>
        <w:t>Small offices / workrooms</w:t>
      </w:r>
    </w:p>
    <w:p w14:paraId="34369D6A" w14:textId="4E50B4C7" w:rsidR="00F92AB7" w:rsidRDefault="00F92AB7" w:rsidP="0073197B">
      <w:pPr>
        <w:pStyle w:val="ListParagraph"/>
        <w:numPr>
          <w:ilvl w:val="0"/>
          <w:numId w:val="14"/>
        </w:numPr>
        <w:spacing w:after="0"/>
        <w:rPr>
          <w:i/>
          <w:lang w:val="en-AU"/>
        </w:rPr>
      </w:pPr>
      <w:r>
        <w:rPr>
          <w:i/>
          <w:lang w:val="en-AU"/>
        </w:rPr>
        <w:t>compact warehouses</w:t>
      </w:r>
    </w:p>
    <w:p w14:paraId="2B00873B" w14:textId="53841BED" w:rsidR="00F92AB7" w:rsidRDefault="00F92AB7" w:rsidP="0073197B">
      <w:pPr>
        <w:pStyle w:val="ListParagraph"/>
        <w:numPr>
          <w:ilvl w:val="0"/>
          <w:numId w:val="14"/>
        </w:numPr>
        <w:spacing w:after="0"/>
        <w:rPr>
          <w:i/>
          <w:lang w:val="en-AU"/>
        </w:rPr>
      </w:pPr>
      <w:proofErr w:type="gramStart"/>
      <w:r>
        <w:rPr>
          <w:i/>
          <w:lang w:val="en-AU"/>
        </w:rPr>
        <w:t>small</w:t>
      </w:r>
      <w:proofErr w:type="gramEnd"/>
      <w:r>
        <w:rPr>
          <w:i/>
          <w:lang w:val="en-AU"/>
        </w:rPr>
        <w:t xml:space="preserve"> service industries such as printers, motor repairs, dance studios, art and craft centres.</w:t>
      </w:r>
    </w:p>
    <w:p w14:paraId="097E7611" w14:textId="5050EC13" w:rsidR="00F92AB7" w:rsidRDefault="00F92AB7" w:rsidP="0073197B">
      <w:pPr>
        <w:pStyle w:val="ListParagraph"/>
        <w:numPr>
          <w:ilvl w:val="0"/>
          <w:numId w:val="13"/>
        </w:numPr>
        <w:spacing w:after="0"/>
        <w:ind w:hanging="607"/>
        <w:rPr>
          <w:i/>
          <w:lang w:val="en-AU"/>
        </w:rPr>
      </w:pPr>
      <w:r>
        <w:rPr>
          <w:i/>
          <w:lang w:val="en-AU"/>
        </w:rPr>
        <w:t>Have landscaped and built form interfaces that respond to surrounding land uses.</w:t>
      </w:r>
    </w:p>
    <w:p w14:paraId="06FDC3E5" w14:textId="77777777" w:rsidR="00F92AB7" w:rsidRDefault="00F92AB7" w:rsidP="0073197B">
      <w:pPr>
        <w:spacing w:after="0"/>
        <w:rPr>
          <w:lang w:val="en-AU"/>
        </w:rPr>
      </w:pPr>
    </w:p>
    <w:p w14:paraId="64D08D83" w14:textId="06716638" w:rsidR="00F92AB7" w:rsidRPr="00F92AB7" w:rsidRDefault="00F92AB7">
      <w:pPr>
        <w:pStyle w:val="ListParagraph"/>
        <w:numPr>
          <w:ilvl w:val="0"/>
          <w:numId w:val="9"/>
        </w:numPr>
        <w:spacing w:after="0"/>
        <w:ind w:left="1021" w:hanging="1021"/>
        <w:rPr>
          <w:lang w:val="en-AU"/>
        </w:rPr>
      </w:pPr>
      <w:r>
        <w:rPr>
          <w:lang w:val="en-AU"/>
        </w:rPr>
        <w:lastRenderedPageBreak/>
        <w:t>VPA and Council are still in discussion on the specific provisions in the schedules to the UGZ to implement permit triggers for the uses that are permissible in these areas</w:t>
      </w:r>
      <w:r w:rsidR="00F566B5">
        <w:rPr>
          <w:lang w:val="en-AU"/>
        </w:rPr>
        <w:t xml:space="preserve"> and will advise the Panel when wording is resolved.</w:t>
      </w:r>
      <w:r>
        <w:rPr>
          <w:lang w:val="en-AU"/>
        </w:rPr>
        <w:t xml:space="preserve"> </w:t>
      </w:r>
    </w:p>
    <w:p w14:paraId="0A899B3E" w14:textId="77777777" w:rsidR="00F452A1" w:rsidRDefault="00F452A1" w:rsidP="00AF505E">
      <w:pPr>
        <w:pStyle w:val="Heading3"/>
        <w:rPr>
          <w:lang w:val="en-AU"/>
        </w:rPr>
      </w:pPr>
    </w:p>
    <w:p w14:paraId="08CD4B42" w14:textId="77777777" w:rsidR="00F452A1" w:rsidRDefault="00530393" w:rsidP="00AF505E">
      <w:pPr>
        <w:pStyle w:val="Heading3"/>
      </w:pPr>
      <w:bookmarkStart w:id="28" w:name="_Toc469573664"/>
      <w:r w:rsidRPr="00F452A1">
        <w:t>Powerline Easement Tables</w:t>
      </w:r>
      <w:bookmarkEnd w:id="28"/>
    </w:p>
    <w:p w14:paraId="6177FEA3" w14:textId="77777777" w:rsidR="00F452A1" w:rsidRDefault="00530393" w:rsidP="00736861">
      <w:pPr>
        <w:pStyle w:val="ListParagraph"/>
        <w:numPr>
          <w:ilvl w:val="0"/>
          <w:numId w:val="9"/>
        </w:numPr>
        <w:spacing w:after="0"/>
        <w:ind w:left="1021" w:hanging="1021"/>
        <w:rPr>
          <w:lang w:val="en-AU"/>
        </w:rPr>
      </w:pPr>
      <w:r w:rsidRPr="00F452A1">
        <w:rPr>
          <w:lang w:val="en-AU"/>
        </w:rPr>
        <w:t xml:space="preserve">The </w:t>
      </w:r>
      <w:r w:rsidR="008C6C51" w:rsidRPr="00F452A1">
        <w:rPr>
          <w:lang w:val="en-AU"/>
        </w:rPr>
        <w:t>VPA agrees to update descriptions of active recreation as requested by Council.</w:t>
      </w:r>
    </w:p>
    <w:p w14:paraId="24976D71" w14:textId="77777777" w:rsidR="00F452A1" w:rsidRPr="00F452A1" w:rsidRDefault="00F452A1" w:rsidP="00AF505E">
      <w:pPr>
        <w:spacing w:after="0"/>
        <w:rPr>
          <w:lang w:val="en-AU"/>
        </w:rPr>
      </w:pPr>
    </w:p>
    <w:p w14:paraId="6A45A125" w14:textId="77777777" w:rsidR="00F452A1" w:rsidRPr="00F452A1" w:rsidRDefault="00530393" w:rsidP="00AF505E">
      <w:pPr>
        <w:pStyle w:val="Heading3"/>
      </w:pPr>
      <w:bookmarkStart w:id="29" w:name="_Toc469573665"/>
      <w:r w:rsidRPr="00F452A1">
        <w:t>Development Staging</w:t>
      </w:r>
      <w:bookmarkEnd w:id="29"/>
    </w:p>
    <w:p w14:paraId="4A63311B" w14:textId="3A51A16D" w:rsidR="00192272" w:rsidRPr="007F3165" w:rsidRDefault="007F3165" w:rsidP="00736861">
      <w:pPr>
        <w:pStyle w:val="ListParagraph"/>
        <w:numPr>
          <w:ilvl w:val="0"/>
          <w:numId w:val="9"/>
        </w:numPr>
        <w:spacing w:after="120"/>
        <w:ind w:left="1021" w:hanging="1021"/>
        <w:rPr>
          <w:lang w:val="en-AU"/>
        </w:rPr>
      </w:pPr>
      <w:r>
        <w:rPr>
          <w:lang w:val="en-AU"/>
        </w:rPr>
        <w:t xml:space="preserve">The </w:t>
      </w:r>
      <w:r w:rsidR="00192272">
        <w:rPr>
          <w:lang w:val="en-AU"/>
        </w:rPr>
        <w:t>VPA support Council’s wording proposed at 257.1, as agreed in the Part B submission.</w:t>
      </w:r>
    </w:p>
    <w:p w14:paraId="28588BB9" w14:textId="77777777" w:rsidR="007F3165" w:rsidRDefault="007F3165" w:rsidP="007F3165">
      <w:pPr>
        <w:pStyle w:val="ListParagraph"/>
        <w:spacing w:after="120"/>
        <w:ind w:left="1021"/>
        <w:rPr>
          <w:lang w:val="en-AU"/>
        </w:rPr>
      </w:pPr>
    </w:p>
    <w:p w14:paraId="37780B7B" w14:textId="68AAA2EB" w:rsidR="00192272" w:rsidRDefault="007F3165" w:rsidP="00736861">
      <w:pPr>
        <w:pStyle w:val="ListParagraph"/>
        <w:numPr>
          <w:ilvl w:val="0"/>
          <w:numId w:val="9"/>
        </w:numPr>
        <w:spacing w:after="120"/>
        <w:ind w:left="1021" w:hanging="1021"/>
        <w:rPr>
          <w:lang w:val="en-AU"/>
        </w:rPr>
      </w:pPr>
      <w:r>
        <w:rPr>
          <w:lang w:val="en-AU"/>
        </w:rPr>
        <w:t xml:space="preserve">The </w:t>
      </w:r>
      <w:r w:rsidR="00192272">
        <w:rPr>
          <w:lang w:val="en-AU"/>
        </w:rPr>
        <w:t>VPA continues to not support Council’s wording at 257.2. This wording is unnecessary as the update at 257.1 already requires developments to demonstrate how they will provide relevant infrastructure. The additional wording at 257.2 does not assist with any further clarity and may impose significant burdens on development delivering ICP items out of sequence before they are needed, depending on interpretation.</w:t>
      </w:r>
    </w:p>
    <w:p w14:paraId="2C2F97D5" w14:textId="77777777" w:rsidR="00192272" w:rsidRPr="00192272" w:rsidRDefault="00192272" w:rsidP="00192272">
      <w:pPr>
        <w:pStyle w:val="ListParagraph"/>
        <w:rPr>
          <w:lang w:val="en-AU"/>
        </w:rPr>
      </w:pPr>
    </w:p>
    <w:p w14:paraId="6F38925E" w14:textId="019971E8" w:rsidR="00192272" w:rsidRPr="00F452A1" w:rsidRDefault="00192272" w:rsidP="00736861">
      <w:pPr>
        <w:pStyle w:val="ListParagraph"/>
        <w:numPr>
          <w:ilvl w:val="0"/>
          <w:numId w:val="9"/>
        </w:numPr>
        <w:spacing w:after="120"/>
        <w:ind w:left="1021" w:hanging="1021"/>
        <w:rPr>
          <w:lang w:val="en-AU"/>
        </w:rPr>
      </w:pPr>
      <w:r>
        <w:rPr>
          <w:lang w:val="en-AU"/>
        </w:rPr>
        <w:t>The wording at 257.1 has been agreed through Panels at Rockbank and Mt Atkinson and Tarneit Plains and therefore provides a consistent approach.</w:t>
      </w:r>
    </w:p>
    <w:p w14:paraId="65CEECD0" w14:textId="2E36084D" w:rsidR="00F452A1" w:rsidRDefault="00530393" w:rsidP="00AF505E">
      <w:pPr>
        <w:pStyle w:val="Heading3"/>
      </w:pPr>
      <w:bookmarkStart w:id="30" w:name="_Toc469573666"/>
      <w:r>
        <w:t>Primary Arterial</w:t>
      </w:r>
      <w:bookmarkEnd w:id="30"/>
    </w:p>
    <w:p w14:paraId="6FC83969" w14:textId="75AE502F" w:rsidR="00F452A1" w:rsidRDefault="00F452A1" w:rsidP="00736861">
      <w:pPr>
        <w:pStyle w:val="ListParagraph"/>
        <w:numPr>
          <w:ilvl w:val="0"/>
          <w:numId w:val="9"/>
        </w:numPr>
        <w:spacing w:after="0"/>
        <w:ind w:left="1021" w:hanging="1021"/>
        <w:rPr>
          <w:lang w:val="en-AU"/>
        </w:rPr>
      </w:pPr>
      <w:r>
        <w:rPr>
          <w:lang w:val="en-AU"/>
        </w:rPr>
        <w:t xml:space="preserve">The </w:t>
      </w:r>
      <w:r w:rsidR="00F30727" w:rsidRPr="00F452A1">
        <w:rPr>
          <w:lang w:val="en-AU"/>
        </w:rPr>
        <w:t xml:space="preserve">VPA notes </w:t>
      </w:r>
      <w:r w:rsidR="008C6C51" w:rsidRPr="00F452A1">
        <w:rPr>
          <w:lang w:val="en-AU"/>
        </w:rPr>
        <w:t>Mr Pelosi’s evidence</w:t>
      </w:r>
      <w:r w:rsidR="00F30727" w:rsidRPr="00F452A1">
        <w:rPr>
          <w:lang w:val="en-AU"/>
        </w:rPr>
        <w:t xml:space="preserve"> that</w:t>
      </w:r>
      <w:r w:rsidR="008C6C51" w:rsidRPr="00F452A1">
        <w:rPr>
          <w:lang w:val="en-AU"/>
        </w:rPr>
        <w:t xml:space="preserve"> the revised</w:t>
      </w:r>
      <w:r w:rsidR="007F3165">
        <w:rPr>
          <w:lang w:val="en-AU"/>
        </w:rPr>
        <w:t xml:space="preserve"> the</w:t>
      </w:r>
      <w:r w:rsidR="008C6C51" w:rsidRPr="00F452A1">
        <w:rPr>
          <w:lang w:val="en-AU"/>
        </w:rPr>
        <w:t xml:space="preserve"> VPA primary arterial cross section</w:t>
      </w:r>
      <w:r w:rsidR="00F30727" w:rsidRPr="00F452A1">
        <w:rPr>
          <w:lang w:val="en-AU"/>
        </w:rPr>
        <w:t xml:space="preserve"> is</w:t>
      </w:r>
      <w:r w:rsidR="008C6C51" w:rsidRPr="00F452A1">
        <w:rPr>
          <w:lang w:val="en-AU"/>
        </w:rPr>
        <w:t xml:space="preserve"> ‘acceptable’, with the 0.5m separation between pedestrian path and bicycle path</w:t>
      </w:r>
      <w:r w:rsidR="00F30727" w:rsidRPr="00F452A1">
        <w:rPr>
          <w:lang w:val="en-AU"/>
        </w:rPr>
        <w:t xml:space="preserve"> – noting it </w:t>
      </w:r>
      <w:r w:rsidR="008C6C51" w:rsidRPr="00F452A1">
        <w:rPr>
          <w:lang w:val="en-AU"/>
        </w:rPr>
        <w:t>would be preferable to have a narr</w:t>
      </w:r>
      <w:r w:rsidRPr="00F452A1">
        <w:rPr>
          <w:lang w:val="en-AU"/>
        </w:rPr>
        <w:t>ow strip of planting in between.</w:t>
      </w:r>
      <w:r w:rsidR="00252AAE">
        <w:rPr>
          <w:lang w:val="en-AU"/>
        </w:rPr>
        <w:t xml:space="preserve"> </w:t>
      </w:r>
      <w:r w:rsidR="007F3165">
        <w:rPr>
          <w:lang w:val="en-AU"/>
        </w:rPr>
        <w:t xml:space="preserve">The </w:t>
      </w:r>
      <w:r w:rsidR="00252AAE">
        <w:rPr>
          <w:lang w:val="en-AU"/>
        </w:rPr>
        <w:t>VPA agrees to this change.</w:t>
      </w:r>
    </w:p>
    <w:p w14:paraId="53C5A6ED" w14:textId="77777777" w:rsidR="00192272" w:rsidRPr="00192272" w:rsidRDefault="00192272" w:rsidP="00192272">
      <w:pPr>
        <w:spacing w:after="0"/>
        <w:rPr>
          <w:lang w:val="en-AU"/>
        </w:rPr>
      </w:pPr>
    </w:p>
    <w:p w14:paraId="5D8140D1" w14:textId="77777777" w:rsidR="00252AAE" w:rsidRPr="00252AAE" w:rsidRDefault="00252AAE" w:rsidP="00AF505E">
      <w:pPr>
        <w:pStyle w:val="Heading3"/>
      </w:pPr>
      <w:bookmarkStart w:id="31" w:name="_Toc469573667"/>
      <w:proofErr w:type="spellStart"/>
      <w:r w:rsidRPr="00252AAE">
        <w:t>Plumpton</w:t>
      </w:r>
      <w:proofErr w:type="spellEnd"/>
      <w:r w:rsidRPr="00252AAE">
        <w:t xml:space="preserve"> MTC floor space cap</w:t>
      </w:r>
      <w:bookmarkEnd w:id="31"/>
    </w:p>
    <w:p w14:paraId="42A0840B" w14:textId="2DEFB680" w:rsidR="00252AAE" w:rsidRDefault="007F3165" w:rsidP="00736861">
      <w:pPr>
        <w:pStyle w:val="ListParagraph"/>
        <w:numPr>
          <w:ilvl w:val="0"/>
          <w:numId w:val="9"/>
        </w:numPr>
        <w:spacing w:after="0"/>
        <w:ind w:left="1021" w:hanging="1021"/>
        <w:rPr>
          <w:lang w:val="en-AU"/>
        </w:rPr>
      </w:pPr>
      <w:r>
        <w:rPr>
          <w:lang w:val="en-AU"/>
        </w:rPr>
        <w:t xml:space="preserve">The </w:t>
      </w:r>
      <w:r w:rsidR="00252AAE">
        <w:rPr>
          <w:lang w:val="en-AU"/>
        </w:rPr>
        <w:t xml:space="preserve">VPA submits that there </w:t>
      </w:r>
      <w:r w:rsidR="003C01BF">
        <w:rPr>
          <w:lang w:val="en-AU"/>
        </w:rPr>
        <w:t>ought to</w:t>
      </w:r>
      <w:r w:rsidR="00252AAE">
        <w:rPr>
          <w:lang w:val="en-AU"/>
        </w:rPr>
        <w:t xml:space="preserve"> be n</w:t>
      </w:r>
      <w:r w:rsidR="00252AAE" w:rsidRPr="00252AAE">
        <w:rPr>
          <w:lang w:val="en-AU"/>
        </w:rPr>
        <w:t xml:space="preserve">o change to the exhibited MTC floor space cap. </w:t>
      </w:r>
    </w:p>
    <w:p w14:paraId="58928D87" w14:textId="77777777" w:rsidR="00192272" w:rsidRPr="00192272" w:rsidRDefault="00192272" w:rsidP="00192272">
      <w:pPr>
        <w:spacing w:after="0"/>
        <w:rPr>
          <w:lang w:val="en-AU"/>
        </w:rPr>
      </w:pPr>
    </w:p>
    <w:p w14:paraId="61B2E256" w14:textId="77777777" w:rsidR="00252AAE" w:rsidRPr="00252AAE" w:rsidRDefault="00252AAE" w:rsidP="00736861">
      <w:pPr>
        <w:pStyle w:val="ListParagraph"/>
        <w:numPr>
          <w:ilvl w:val="0"/>
          <w:numId w:val="9"/>
        </w:numPr>
        <w:spacing w:after="120"/>
        <w:ind w:left="1021" w:hanging="1021"/>
        <w:rPr>
          <w:lang w:val="en-AU"/>
        </w:rPr>
      </w:pPr>
      <w:r w:rsidRPr="00252AAE">
        <w:rPr>
          <w:lang w:val="en-AU"/>
        </w:rPr>
        <w:t>There is a need to provide jobs and services in the area to support the future population to the extent possible.  Lack of jobs and services is a critical issue in growth areas. Planning strategies and controls should strive for jobs / service opportunities within reason and not, without any specific basis, seek to put the brakes on.</w:t>
      </w:r>
    </w:p>
    <w:p w14:paraId="26A1F820" w14:textId="77777777" w:rsidR="00252AAE" w:rsidRPr="00252AAE" w:rsidRDefault="00252AAE" w:rsidP="0073197B">
      <w:pPr>
        <w:spacing w:after="0"/>
        <w:rPr>
          <w:lang w:val="en-AU"/>
        </w:rPr>
      </w:pPr>
    </w:p>
    <w:p w14:paraId="2EB8B945" w14:textId="3B470E04" w:rsidR="00252AAE" w:rsidRDefault="00252AAE" w:rsidP="00736861">
      <w:pPr>
        <w:pStyle w:val="ListParagraph"/>
        <w:numPr>
          <w:ilvl w:val="0"/>
          <w:numId w:val="9"/>
        </w:numPr>
        <w:spacing w:after="120"/>
        <w:ind w:left="1021" w:hanging="1021"/>
        <w:rPr>
          <w:lang w:val="en-AU"/>
        </w:rPr>
      </w:pPr>
      <w:r w:rsidRPr="00252AAE">
        <w:rPr>
          <w:lang w:val="en-AU"/>
        </w:rPr>
        <w:t xml:space="preserve">If a cap is to be used, as </w:t>
      </w:r>
      <w:r w:rsidR="007F3165">
        <w:rPr>
          <w:lang w:val="en-AU"/>
        </w:rPr>
        <w:t xml:space="preserve">the </w:t>
      </w:r>
      <w:r w:rsidRPr="00252AAE">
        <w:rPr>
          <w:lang w:val="en-AU"/>
        </w:rPr>
        <w:t>VPA has agreed, a cap should be tailored to each centre’s specific catchment.</w:t>
      </w:r>
    </w:p>
    <w:p w14:paraId="4FF508E5" w14:textId="77777777" w:rsidR="00AF505E" w:rsidRPr="00AF505E" w:rsidRDefault="00AF505E" w:rsidP="00AF505E">
      <w:pPr>
        <w:pStyle w:val="ListParagraph"/>
        <w:rPr>
          <w:lang w:val="en-AU"/>
        </w:rPr>
      </w:pPr>
    </w:p>
    <w:p w14:paraId="7FA85724" w14:textId="68388186" w:rsidR="00252AAE" w:rsidRDefault="00252AAE" w:rsidP="00736861">
      <w:pPr>
        <w:pStyle w:val="ListParagraph"/>
        <w:numPr>
          <w:ilvl w:val="0"/>
          <w:numId w:val="9"/>
        </w:numPr>
        <w:spacing w:after="120"/>
        <w:ind w:left="1021" w:hanging="1021"/>
        <w:rPr>
          <w:lang w:val="en-AU"/>
        </w:rPr>
      </w:pPr>
      <w:r w:rsidRPr="00252AAE">
        <w:rPr>
          <w:lang w:val="en-AU"/>
        </w:rPr>
        <w:t xml:space="preserve">The VPA submits that the “soft cap” of 45,000 is appropriate.  Council has no evidence or basis to support its submission that there </w:t>
      </w:r>
      <w:proofErr w:type="gramStart"/>
      <w:r w:rsidRPr="00252AAE">
        <w:rPr>
          <w:lang w:val="en-AU"/>
        </w:rPr>
        <w:t>ought</w:t>
      </w:r>
      <w:proofErr w:type="gramEnd"/>
      <w:r w:rsidRPr="00252AAE">
        <w:rPr>
          <w:lang w:val="en-AU"/>
        </w:rPr>
        <w:t xml:space="preserve"> be a cap at 35,000.  The Council’s Retail Strategy is a more generalised apportionment of municipal demand and in any case states that no caps should apply to the Major Town Centre level in the hierarchy.</w:t>
      </w:r>
      <w:r>
        <w:rPr>
          <w:lang w:val="en-AU"/>
        </w:rPr>
        <w:t xml:space="preserve"> We note that Council did not submit evidence on this matter.</w:t>
      </w:r>
    </w:p>
    <w:p w14:paraId="66FB6D4B" w14:textId="77777777" w:rsidR="00AF505E" w:rsidRPr="00AF505E" w:rsidRDefault="00AF505E" w:rsidP="00AF505E">
      <w:pPr>
        <w:pStyle w:val="ListParagraph"/>
        <w:rPr>
          <w:lang w:val="en-AU"/>
        </w:rPr>
      </w:pPr>
    </w:p>
    <w:p w14:paraId="7824006D" w14:textId="2A4D3A46" w:rsidR="00252AAE" w:rsidRDefault="00252AAE" w:rsidP="00736861">
      <w:pPr>
        <w:pStyle w:val="ListParagraph"/>
        <w:numPr>
          <w:ilvl w:val="0"/>
          <w:numId w:val="9"/>
        </w:numPr>
        <w:spacing w:after="120"/>
        <w:ind w:left="1021" w:hanging="1021"/>
        <w:rPr>
          <w:lang w:val="en-AU"/>
        </w:rPr>
      </w:pPr>
      <w:r w:rsidRPr="00252AAE">
        <w:rPr>
          <w:lang w:val="en-AU"/>
        </w:rPr>
        <w:t xml:space="preserve">Further there is no justification for </w:t>
      </w:r>
      <w:r>
        <w:rPr>
          <w:lang w:val="en-AU"/>
        </w:rPr>
        <w:t>Council’s recent proposal of a</w:t>
      </w:r>
      <w:r w:rsidRPr="00252AAE">
        <w:rPr>
          <w:lang w:val="en-AU"/>
        </w:rPr>
        <w:t xml:space="preserve"> </w:t>
      </w:r>
      <w:r>
        <w:rPr>
          <w:lang w:val="en-AU"/>
        </w:rPr>
        <w:t>control at 80% build-out.</w:t>
      </w:r>
      <w:r w:rsidRPr="00252AAE">
        <w:rPr>
          <w:lang w:val="en-AU"/>
        </w:rPr>
        <w:t xml:space="preserve"> Council’s concern relates to the potential impact of the Plumpton MTC on other centres. However Mr </w:t>
      </w:r>
      <w:proofErr w:type="spellStart"/>
      <w:r w:rsidRPr="00252AAE">
        <w:rPr>
          <w:lang w:val="en-AU"/>
        </w:rPr>
        <w:t>Hrelja</w:t>
      </w:r>
      <w:proofErr w:type="spellEnd"/>
      <w:r w:rsidRPr="00252AAE">
        <w:rPr>
          <w:lang w:val="en-AU"/>
        </w:rPr>
        <w:t xml:space="preserve"> gave evidence that he had no concern about these kinds of </w:t>
      </w:r>
      <w:r w:rsidRPr="00252AAE">
        <w:rPr>
          <w:lang w:val="en-AU"/>
        </w:rPr>
        <w:lastRenderedPageBreak/>
        <w:t xml:space="preserve">impacts – he said he did not see a risk of closing or stymying other centres and Council did not provide any specific evidence that this would occur. </w:t>
      </w:r>
    </w:p>
    <w:p w14:paraId="4314B409" w14:textId="77777777" w:rsidR="00AF505E" w:rsidRPr="00AF505E" w:rsidRDefault="00AF505E" w:rsidP="00AF505E">
      <w:pPr>
        <w:pStyle w:val="ListParagraph"/>
        <w:rPr>
          <w:lang w:val="en-AU"/>
        </w:rPr>
      </w:pPr>
    </w:p>
    <w:p w14:paraId="18315BA6" w14:textId="77777777" w:rsidR="00252AAE" w:rsidRDefault="00252AAE" w:rsidP="00736861">
      <w:pPr>
        <w:pStyle w:val="ListParagraph"/>
        <w:numPr>
          <w:ilvl w:val="0"/>
          <w:numId w:val="9"/>
        </w:numPr>
        <w:spacing w:after="120"/>
        <w:ind w:left="1021" w:hanging="1021"/>
        <w:rPr>
          <w:lang w:val="en-AU"/>
        </w:rPr>
      </w:pPr>
      <w:r w:rsidRPr="00252AAE">
        <w:rPr>
          <w:lang w:val="en-AU"/>
        </w:rPr>
        <w:t xml:space="preserve">If a cap is in operation and works to limit or slow development of demanded retail space in a location such as Plumpton, the ‘escape spending’ from Plumpton does not necessarily flow to other centres in the City of Melton.   </w:t>
      </w:r>
    </w:p>
    <w:p w14:paraId="5AD4AFE0" w14:textId="77777777" w:rsidR="00AF505E" w:rsidRPr="00AF505E" w:rsidRDefault="00AF505E" w:rsidP="00AF505E">
      <w:pPr>
        <w:pStyle w:val="ListParagraph"/>
        <w:rPr>
          <w:lang w:val="en-AU"/>
        </w:rPr>
      </w:pPr>
    </w:p>
    <w:p w14:paraId="3895A122" w14:textId="77777777" w:rsidR="00252AAE" w:rsidRDefault="00252AAE" w:rsidP="00736861">
      <w:pPr>
        <w:pStyle w:val="ListParagraph"/>
        <w:numPr>
          <w:ilvl w:val="0"/>
          <w:numId w:val="9"/>
        </w:numPr>
        <w:spacing w:after="120"/>
        <w:ind w:left="1021" w:hanging="1021"/>
        <w:rPr>
          <w:lang w:val="en-AU"/>
        </w:rPr>
      </w:pPr>
      <w:r w:rsidRPr="00252AAE">
        <w:rPr>
          <w:lang w:val="en-AU"/>
        </w:rPr>
        <w:t xml:space="preserve">A probable outcome would be for such escape spending to leave the municipality – to locations such as Watergardens, Highpoint and the CBD - and be lost to the City of Melton.     </w:t>
      </w:r>
    </w:p>
    <w:p w14:paraId="6D53AD98" w14:textId="77777777" w:rsidR="00AF505E" w:rsidRPr="00AF505E" w:rsidRDefault="00AF505E" w:rsidP="00AF505E">
      <w:pPr>
        <w:pStyle w:val="ListParagraph"/>
        <w:rPr>
          <w:lang w:val="en-AU"/>
        </w:rPr>
      </w:pPr>
    </w:p>
    <w:p w14:paraId="5F53672C" w14:textId="77777777" w:rsidR="00252AAE" w:rsidRDefault="00252AAE" w:rsidP="00736861">
      <w:pPr>
        <w:pStyle w:val="ListParagraph"/>
        <w:numPr>
          <w:ilvl w:val="0"/>
          <w:numId w:val="9"/>
        </w:numPr>
        <w:spacing w:after="120"/>
        <w:ind w:left="1021" w:hanging="1021"/>
        <w:rPr>
          <w:lang w:val="en-AU"/>
        </w:rPr>
      </w:pPr>
      <w:r w:rsidRPr="00252AAE">
        <w:rPr>
          <w:lang w:val="en-AU"/>
        </w:rPr>
        <w:t xml:space="preserve">Secondary Trade Area: Council state that </w:t>
      </w:r>
      <w:proofErr w:type="spellStart"/>
      <w:r w:rsidRPr="00252AAE">
        <w:rPr>
          <w:lang w:val="en-AU"/>
        </w:rPr>
        <w:t>HillPDA</w:t>
      </w:r>
      <w:proofErr w:type="spellEnd"/>
      <w:r w:rsidRPr="00252AAE">
        <w:rPr>
          <w:lang w:val="en-AU"/>
        </w:rPr>
        <w:t xml:space="preserve"> say that 1 in every 3 dollars from the secondary trade area is assumed to be captured by Plumpton.  That is an incorrect interpretation by Council.  The analysis actually says 20% may be captured from the secondary trade area and an additional amount of capture would be made from other unspecified areas beyond the secondary trade area (equivalent to 20% of the secondary dollar value).  ‘Beyond trade area spending’ is allocated by all retail economic analyses to reflect real world conditions to account for passing trade, including spending captured from beyond the City of Melton. </w:t>
      </w:r>
    </w:p>
    <w:p w14:paraId="3F989145" w14:textId="77777777" w:rsidR="00AF505E" w:rsidRPr="00AF505E" w:rsidRDefault="00AF505E" w:rsidP="00AF505E">
      <w:pPr>
        <w:pStyle w:val="ListParagraph"/>
        <w:rPr>
          <w:lang w:val="en-AU"/>
        </w:rPr>
      </w:pPr>
    </w:p>
    <w:p w14:paraId="24196381" w14:textId="781DA565" w:rsidR="00252AAE" w:rsidRDefault="007F3165" w:rsidP="00736861">
      <w:pPr>
        <w:pStyle w:val="ListParagraph"/>
        <w:numPr>
          <w:ilvl w:val="0"/>
          <w:numId w:val="9"/>
        </w:numPr>
        <w:spacing w:after="120"/>
        <w:ind w:left="1021" w:hanging="1021"/>
        <w:rPr>
          <w:lang w:val="en-AU"/>
        </w:rPr>
      </w:pPr>
      <w:r>
        <w:rPr>
          <w:lang w:val="en-AU"/>
        </w:rPr>
        <w:t xml:space="preserve">The </w:t>
      </w:r>
      <w:r w:rsidR="00252AAE">
        <w:rPr>
          <w:lang w:val="en-AU"/>
        </w:rPr>
        <w:t>VPA di</w:t>
      </w:r>
      <w:r w:rsidR="00252AAE" w:rsidRPr="00252AAE">
        <w:rPr>
          <w:lang w:val="en-AU"/>
        </w:rPr>
        <w:t>sagree</w:t>
      </w:r>
      <w:r w:rsidR="00252AAE">
        <w:rPr>
          <w:lang w:val="en-AU"/>
        </w:rPr>
        <w:t>s</w:t>
      </w:r>
      <w:r w:rsidR="00252AAE" w:rsidRPr="00252AAE">
        <w:rPr>
          <w:lang w:val="en-AU"/>
        </w:rPr>
        <w:t xml:space="preserve"> that </w:t>
      </w:r>
      <w:proofErr w:type="spellStart"/>
      <w:r w:rsidR="00252AAE" w:rsidRPr="00252AAE">
        <w:rPr>
          <w:lang w:val="en-AU"/>
        </w:rPr>
        <w:t>HillPDA’s</w:t>
      </w:r>
      <w:proofErr w:type="spellEnd"/>
      <w:r w:rsidR="00252AAE" w:rsidRPr="00252AAE">
        <w:rPr>
          <w:lang w:val="en-AU"/>
        </w:rPr>
        <w:t xml:space="preserve"> analysis is overly optimistic.  There are many examples of sub-regional retail centres</w:t>
      </w:r>
      <w:r w:rsidR="00D9661B">
        <w:rPr>
          <w:lang w:val="en-AU"/>
        </w:rPr>
        <w:t xml:space="preserve"> (</w:t>
      </w:r>
      <w:r w:rsidR="00252AAE" w:rsidRPr="00252AAE">
        <w:rPr>
          <w:lang w:val="en-AU"/>
        </w:rPr>
        <w:t>which equate to Major Town Centres</w:t>
      </w:r>
      <w:r w:rsidR="00D9661B">
        <w:rPr>
          <w:lang w:val="en-AU"/>
        </w:rPr>
        <w:t>)</w:t>
      </w:r>
      <w:r w:rsidR="00252AAE" w:rsidRPr="00252AAE">
        <w:rPr>
          <w:lang w:val="en-AU"/>
        </w:rPr>
        <w:t xml:space="preserve"> that operate around the 60,000 </w:t>
      </w:r>
      <w:proofErr w:type="spellStart"/>
      <w:r w:rsidR="00252AAE" w:rsidRPr="00252AAE">
        <w:rPr>
          <w:lang w:val="en-AU"/>
        </w:rPr>
        <w:t>sqm</w:t>
      </w:r>
      <w:proofErr w:type="spellEnd"/>
      <w:r w:rsidR="00252AAE" w:rsidRPr="00252AAE">
        <w:rPr>
          <w:lang w:val="en-AU"/>
        </w:rPr>
        <w:t xml:space="preserve"> to 80,000 </w:t>
      </w:r>
      <w:proofErr w:type="spellStart"/>
      <w:r w:rsidR="00252AAE" w:rsidRPr="00252AAE">
        <w:rPr>
          <w:lang w:val="en-AU"/>
        </w:rPr>
        <w:t>sqm</w:t>
      </w:r>
      <w:proofErr w:type="spellEnd"/>
      <w:r w:rsidR="00252AAE" w:rsidRPr="00252AAE">
        <w:rPr>
          <w:lang w:val="en-AU"/>
        </w:rPr>
        <w:t xml:space="preserve"> </w:t>
      </w:r>
      <w:r w:rsidR="00252AAE">
        <w:rPr>
          <w:lang w:val="en-AU"/>
        </w:rPr>
        <w:t xml:space="preserve">retail </w:t>
      </w:r>
      <w:r w:rsidR="00FD4738">
        <w:rPr>
          <w:lang w:val="en-AU"/>
        </w:rPr>
        <w:t>floor space</w:t>
      </w:r>
      <w:r w:rsidR="00D9661B">
        <w:rPr>
          <w:lang w:val="en-AU"/>
        </w:rPr>
        <w:t xml:space="preserve"> (</w:t>
      </w:r>
      <w:r w:rsidR="00FD4738">
        <w:rPr>
          <w:lang w:val="en-AU"/>
        </w:rPr>
        <w:t>e.g.</w:t>
      </w:r>
      <w:r w:rsidR="00252AAE" w:rsidRPr="00252AAE">
        <w:rPr>
          <w:lang w:val="en-AU"/>
        </w:rPr>
        <w:t xml:space="preserve"> Camberwell Junction in the east and Broadmeadows in the north).</w:t>
      </w:r>
    </w:p>
    <w:p w14:paraId="4268DE97" w14:textId="77777777" w:rsidR="00AF505E" w:rsidRPr="00AF505E" w:rsidRDefault="00AF505E" w:rsidP="00AF505E">
      <w:pPr>
        <w:pStyle w:val="ListParagraph"/>
        <w:rPr>
          <w:lang w:val="en-AU"/>
        </w:rPr>
      </w:pPr>
    </w:p>
    <w:p w14:paraId="35B0BDF8" w14:textId="034F389C" w:rsidR="007F3165" w:rsidRDefault="00252AAE" w:rsidP="00736861">
      <w:pPr>
        <w:pStyle w:val="ListParagraph"/>
        <w:numPr>
          <w:ilvl w:val="0"/>
          <w:numId w:val="9"/>
        </w:numPr>
        <w:spacing w:after="120"/>
        <w:ind w:left="1021" w:hanging="1021"/>
        <w:rPr>
          <w:lang w:val="en-AU"/>
        </w:rPr>
      </w:pPr>
      <w:r>
        <w:rPr>
          <w:lang w:val="en-AU"/>
        </w:rPr>
        <w:t xml:space="preserve">In response to the question from the Panel: </w:t>
      </w:r>
      <w:r w:rsidRPr="00252AAE">
        <w:rPr>
          <w:lang w:val="en-AU"/>
        </w:rPr>
        <w:t xml:space="preserve">Caroline Springs is in a </w:t>
      </w:r>
      <w:r w:rsidR="007F3165">
        <w:rPr>
          <w:lang w:val="en-AU"/>
        </w:rPr>
        <w:t>Comprehensive Development Zone (</w:t>
      </w:r>
      <w:r w:rsidRPr="00252AAE">
        <w:rPr>
          <w:lang w:val="en-AU"/>
        </w:rPr>
        <w:t>CDZ</w:t>
      </w:r>
      <w:r w:rsidR="007F3165">
        <w:rPr>
          <w:lang w:val="en-AU"/>
        </w:rPr>
        <w:t>)</w:t>
      </w:r>
      <w:r w:rsidRPr="00252AAE">
        <w:rPr>
          <w:lang w:val="en-AU"/>
        </w:rPr>
        <w:t xml:space="preserve"> and does not have a </w:t>
      </w:r>
      <w:r w:rsidR="00FD4738" w:rsidRPr="00252AAE">
        <w:rPr>
          <w:lang w:val="en-AU"/>
        </w:rPr>
        <w:t>floor space</w:t>
      </w:r>
      <w:r w:rsidRPr="00252AAE">
        <w:rPr>
          <w:lang w:val="en-AU"/>
        </w:rPr>
        <w:t xml:space="preserve"> cap for shop. There is no permit required for shop if “the site is identified for the use in a precinct plan approved by the responsible authority</w:t>
      </w:r>
      <w:r w:rsidR="00BC6367">
        <w:rPr>
          <w:lang w:val="en-AU"/>
        </w:rPr>
        <w:t>.</w:t>
      </w:r>
      <w:r w:rsidRPr="00252AAE">
        <w:rPr>
          <w:lang w:val="en-AU"/>
        </w:rPr>
        <w:t>”</w:t>
      </w:r>
    </w:p>
    <w:p w14:paraId="0AEDCE9C" w14:textId="77777777" w:rsidR="007F3165" w:rsidRPr="007F3165" w:rsidRDefault="007F3165" w:rsidP="007F3165">
      <w:pPr>
        <w:pStyle w:val="ListParagraph"/>
        <w:rPr>
          <w:lang w:val="en-AU"/>
        </w:rPr>
      </w:pPr>
    </w:p>
    <w:p w14:paraId="2143D288" w14:textId="0ED111C9" w:rsidR="007F3165" w:rsidRDefault="00252AAE" w:rsidP="00736861">
      <w:pPr>
        <w:pStyle w:val="ListParagraph"/>
        <w:numPr>
          <w:ilvl w:val="0"/>
          <w:numId w:val="9"/>
        </w:numPr>
        <w:spacing w:after="0"/>
        <w:ind w:left="1021" w:hanging="1021"/>
        <w:rPr>
          <w:lang w:val="en-AU"/>
        </w:rPr>
      </w:pPr>
      <w:r w:rsidRPr="007F3165">
        <w:rPr>
          <w:lang w:val="en-AU"/>
        </w:rPr>
        <w:t xml:space="preserve">Refer Appendix </w:t>
      </w:r>
      <w:r w:rsidR="00BC6367">
        <w:rPr>
          <w:lang w:val="en-AU"/>
        </w:rPr>
        <w:t>3</w:t>
      </w:r>
      <w:r w:rsidR="00BC6367" w:rsidRPr="007F3165">
        <w:rPr>
          <w:lang w:val="en-AU"/>
        </w:rPr>
        <w:t xml:space="preserve"> </w:t>
      </w:r>
      <w:r w:rsidRPr="007F3165">
        <w:rPr>
          <w:lang w:val="en-AU"/>
        </w:rPr>
        <w:t xml:space="preserve">to clarify </w:t>
      </w:r>
      <w:r w:rsidR="007F3165" w:rsidRPr="007F3165">
        <w:rPr>
          <w:lang w:val="en-AU"/>
        </w:rPr>
        <w:t xml:space="preserve">the </w:t>
      </w:r>
      <w:r w:rsidRPr="007F3165">
        <w:rPr>
          <w:lang w:val="en-AU"/>
        </w:rPr>
        <w:t>VPA’s calculation of ‘shop’ use compared to ‘retail’ use in the MTC and LTCs, which</w:t>
      </w:r>
      <w:r w:rsidR="007F3165" w:rsidRPr="007F3165">
        <w:rPr>
          <w:lang w:val="en-AU"/>
        </w:rPr>
        <w:t xml:space="preserve"> the</w:t>
      </w:r>
      <w:r w:rsidRPr="007F3165">
        <w:rPr>
          <w:lang w:val="en-AU"/>
        </w:rPr>
        <w:t xml:space="preserve"> VPA has </w:t>
      </w:r>
      <w:r w:rsidR="007F3165" w:rsidRPr="007F3165">
        <w:rPr>
          <w:lang w:val="en-AU"/>
        </w:rPr>
        <w:t>previously provided to Council.</w:t>
      </w:r>
    </w:p>
    <w:p w14:paraId="12CC4E95" w14:textId="77777777" w:rsidR="00A719F7" w:rsidRDefault="00A719F7" w:rsidP="007F3165">
      <w:pPr>
        <w:pStyle w:val="Heading3"/>
        <w:rPr>
          <w:rFonts w:asciiTheme="minorHAnsi" w:eastAsiaTheme="minorHAnsi" w:hAnsiTheme="minorHAnsi" w:cstheme="minorBidi"/>
          <w:color w:val="auto"/>
          <w:sz w:val="22"/>
          <w:szCs w:val="22"/>
        </w:rPr>
      </w:pPr>
    </w:p>
    <w:p w14:paraId="3D3C6534" w14:textId="41F07CEE" w:rsidR="007F3165" w:rsidRPr="007F3165" w:rsidRDefault="00252AAE" w:rsidP="007F3165">
      <w:pPr>
        <w:pStyle w:val="Heading3"/>
        <w:rPr>
          <w:lang w:val="en-AU"/>
        </w:rPr>
      </w:pPr>
      <w:bookmarkStart w:id="32" w:name="_Toc469573668"/>
      <w:r w:rsidRPr="00252AAE">
        <w:t>Secondary Arterials</w:t>
      </w:r>
      <w:bookmarkEnd w:id="32"/>
    </w:p>
    <w:p w14:paraId="27227044" w14:textId="389A69B2" w:rsidR="00AF505E" w:rsidRDefault="007F3165" w:rsidP="00736861">
      <w:pPr>
        <w:pStyle w:val="ListParagraph"/>
        <w:numPr>
          <w:ilvl w:val="0"/>
          <w:numId w:val="9"/>
        </w:numPr>
        <w:spacing w:after="120"/>
        <w:ind w:left="1021" w:hanging="1021"/>
      </w:pPr>
      <w:r>
        <w:t xml:space="preserve">The </w:t>
      </w:r>
      <w:r w:rsidR="00D9661B" w:rsidRPr="00AF505E">
        <w:t xml:space="preserve">VPA submits the Panel </w:t>
      </w:r>
      <w:r w:rsidR="00FD4738" w:rsidRPr="00AF505E">
        <w:t>ought to</w:t>
      </w:r>
      <w:r w:rsidR="00D9661B" w:rsidRPr="00AF505E">
        <w:t xml:space="preserve"> recommend no change to the treatment of secondary arterials. </w:t>
      </w:r>
    </w:p>
    <w:p w14:paraId="7470226A" w14:textId="77777777" w:rsidR="00AF505E" w:rsidRDefault="00AF505E" w:rsidP="00AF505E">
      <w:pPr>
        <w:pStyle w:val="ListParagraph"/>
        <w:spacing w:after="120"/>
        <w:ind w:left="1021"/>
      </w:pPr>
    </w:p>
    <w:p w14:paraId="2E813A38" w14:textId="6BFA1643" w:rsidR="00B8728E" w:rsidRDefault="00F30727" w:rsidP="00736861">
      <w:pPr>
        <w:pStyle w:val="ListParagraph"/>
        <w:numPr>
          <w:ilvl w:val="0"/>
          <w:numId w:val="9"/>
        </w:numPr>
        <w:spacing w:after="120"/>
        <w:ind w:left="1021" w:hanging="1021"/>
      </w:pPr>
      <w:r w:rsidRPr="00AF505E">
        <w:t xml:space="preserve">The VPA submits that there is both a connectivity benefit and a safety benefit to having cycle lanes on road.  The VPA submits that the Panel </w:t>
      </w:r>
      <w:r w:rsidR="00FD4738" w:rsidRPr="00AF505E">
        <w:t>ought to</w:t>
      </w:r>
      <w:r w:rsidRPr="00AF505E">
        <w:t xml:space="preserve"> follow the approach of the Amendment C162 Panel.  Mr Pelosi’s evidence relied upon conversations, in relation to which there is no direct evidence before the Panel.  </w:t>
      </w:r>
    </w:p>
    <w:p w14:paraId="0D153440" w14:textId="77777777" w:rsidR="00AF505E" w:rsidRDefault="00AF505E" w:rsidP="00AF505E">
      <w:pPr>
        <w:pStyle w:val="ListParagraph"/>
        <w:spacing w:after="120"/>
      </w:pPr>
    </w:p>
    <w:p w14:paraId="080C1D3E" w14:textId="2427B8C0" w:rsidR="00F452A1" w:rsidRPr="001B0FBE" w:rsidRDefault="00F30727" w:rsidP="00736861">
      <w:pPr>
        <w:pStyle w:val="ListParagraph"/>
        <w:numPr>
          <w:ilvl w:val="0"/>
          <w:numId w:val="9"/>
        </w:numPr>
        <w:spacing w:after="0"/>
        <w:ind w:left="1021" w:hanging="1021"/>
        <w:rPr>
          <w:lang w:val="en-AU"/>
        </w:rPr>
      </w:pPr>
      <w:r w:rsidRPr="00AF505E">
        <w:t>Todd Road is an unhelpful example</w:t>
      </w:r>
      <w:r w:rsidR="00225926" w:rsidRPr="00AF505E">
        <w:t xml:space="preserve"> as</w:t>
      </w:r>
      <w:r w:rsidRPr="00AF505E">
        <w:t xml:space="preserve"> it is a very different context. Mr Pelosi also gave evidence that cyclists will continue to ride on the road. </w:t>
      </w:r>
      <w:r w:rsidR="00C91BB5" w:rsidRPr="00AF505E">
        <w:t xml:space="preserve">The </w:t>
      </w:r>
      <w:r w:rsidR="00225926" w:rsidRPr="00AF505E">
        <w:t>VPA agrees with this, noting that many cyclists will choose a continuous, smooth path of tr</w:t>
      </w:r>
      <w:r w:rsidR="006D52B2" w:rsidRPr="00AF505E">
        <w:t>avel along the road in preference to riding along an off-road path which needs to cross onto and off the path at cross road</w:t>
      </w:r>
      <w:r w:rsidR="007F3165">
        <w:t>s, whereas an on</w:t>
      </w:r>
      <w:r w:rsidR="006D52B2" w:rsidRPr="00AF505E">
        <w:t xml:space="preserve">-road bike lane does not. </w:t>
      </w:r>
      <w:r w:rsidRPr="00AF505E">
        <w:t xml:space="preserve">If this is the case, it is highly </w:t>
      </w:r>
      <w:r w:rsidRPr="00AF505E">
        <w:lastRenderedPageBreak/>
        <w:t xml:space="preserve">undesirable to have them unprotected by a cycle lane. </w:t>
      </w:r>
      <w:r w:rsidR="00492C78" w:rsidRPr="00AF505E">
        <w:t xml:space="preserve"> It is safer overall to have a cycle </w:t>
      </w:r>
      <w:r w:rsidR="00492C78" w:rsidRPr="001B0FBE">
        <w:rPr>
          <w:lang w:val="en-AU"/>
        </w:rPr>
        <w:t xml:space="preserve">lane on the road. </w:t>
      </w:r>
      <w:r w:rsidRPr="001B0FBE">
        <w:rPr>
          <w:lang w:val="en-AU"/>
        </w:rPr>
        <w:t xml:space="preserve"> </w:t>
      </w:r>
    </w:p>
    <w:p w14:paraId="22E77678" w14:textId="77777777" w:rsidR="001B0FBE" w:rsidRPr="001B0FBE" w:rsidRDefault="001B0FBE" w:rsidP="001B0FBE">
      <w:pPr>
        <w:pStyle w:val="ListParagraph"/>
        <w:spacing w:after="0"/>
        <w:ind w:left="1021"/>
        <w:rPr>
          <w:lang w:val="en-AU"/>
        </w:rPr>
      </w:pPr>
    </w:p>
    <w:p w14:paraId="464C9B98" w14:textId="77777777" w:rsidR="00A719F7" w:rsidRPr="001B0FBE" w:rsidRDefault="003C7B47" w:rsidP="001B0FBE">
      <w:pPr>
        <w:pStyle w:val="Heading3"/>
        <w:rPr>
          <w:lang w:val="en-AU"/>
        </w:rPr>
      </w:pPr>
      <w:bookmarkStart w:id="33" w:name="_Toc469573669"/>
      <w:r w:rsidRPr="001B0FBE">
        <w:rPr>
          <w:lang w:val="en-AU"/>
        </w:rPr>
        <w:t>Town Centre Main Street Cross Sections</w:t>
      </w:r>
      <w:bookmarkEnd w:id="33"/>
    </w:p>
    <w:p w14:paraId="44CABCAC" w14:textId="77777777" w:rsidR="00A719F7" w:rsidRDefault="00861D73" w:rsidP="00736861">
      <w:pPr>
        <w:pStyle w:val="ListParagraph"/>
        <w:numPr>
          <w:ilvl w:val="0"/>
          <w:numId w:val="9"/>
        </w:numPr>
        <w:spacing w:after="0"/>
        <w:ind w:left="1021" w:hanging="1021"/>
      </w:pPr>
      <w:r w:rsidRPr="001B0FBE">
        <w:rPr>
          <w:lang w:val="en-AU"/>
        </w:rPr>
        <w:t>Cross</w:t>
      </w:r>
      <w:r w:rsidRPr="00A73931">
        <w:t xml:space="preserve"> section width of carriageways in </w:t>
      </w:r>
      <w:proofErr w:type="spellStart"/>
      <w:r w:rsidRPr="00A73931">
        <w:t>Plumpton</w:t>
      </w:r>
      <w:proofErr w:type="spellEnd"/>
      <w:r w:rsidRPr="00A73931">
        <w:t xml:space="preserve"> and </w:t>
      </w:r>
      <w:proofErr w:type="spellStart"/>
      <w:r w:rsidRPr="00A73931">
        <w:t>Kororoit</w:t>
      </w:r>
      <w:proofErr w:type="spellEnd"/>
      <w:r w:rsidRPr="00A73931">
        <w:t xml:space="preserve"> PSPs do not in fact require further consultation </w:t>
      </w:r>
      <w:r w:rsidR="008925C0" w:rsidRPr="008925C0">
        <w:t>with PTV for reasons outlined below.</w:t>
      </w:r>
      <w:r w:rsidRPr="00A73931">
        <w:t xml:space="preserve"> There are </w:t>
      </w:r>
      <w:r w:rsidR="008925C0">
        <w:t>slightly differing</w:t>
      </w:r>
      <w:r w:rsidRPr="00A73931">
        <w:t xml:space="preserve"> cross sections which apply in </w:t>
      </w:r>
      <w:proofErr w:type="spellStart"/>
      <w:r w:rsidRPr="00A73931">
        <w:t>Plumpton</w:t>
      </w:r>
      <w:proofErr w:type="spellEnd"/>
      <w:r w:rsidRPr="00A73931">
        <w:t xml:space="preserve"> and </w:t>
      </w:r>
      <w:proofErr w:type="spellStart"/>
      <w:r w:rsidRPr="00A73931">
        <w:t>Kororoit</w:t>
      </w:r>
      <w:proofErr w:type="spellEnd"/>
      <w:r w:rsidRPr="00A73931">
        <w:t xml:space="preserve"> PSPs</w:t>
      </w:r>
      <w:r w:rsidR="00A719F7">
        <w:t>.</w:t>
      </w:r>
    </w:p>
    <w:p w14:paraId="2759A3A5" w14:textId="77777777" w:rsidR="00A719F7" w:rsidRDefault="00A719F7" w:rsidP="00A719F7">
      <w:pPr>
        <w:pStyle w:val="ListParagraph"/>
        <w:spacing w:after="120"/>
        <w:ind w:left="1021"/>
      </w:pPr>
    </w:p>
    <w:p w14:paraId="1EB08164" w14:textId="77777777" w:rsidR="00A719F7" w:rsidRDefault="00861D73" w:rsidP="00736861">
      <w:pPr>
        <w:pStyle w:val="ListParagraph"/>
        <w:numPr>
          <w:ilvl w:val="0"/>
          <w:numId w:val="9"/>
        </w:numPr>
        <w:spacing w:after="120"/>
        <w:ind w:left="1021" w:hanging="1021"/>
      </w:pPr>
      <w:proofErr w:type="spellStart"/>
      <w:r w:rsidRPr="00A73931">
        <w:t>Plumpton</w:t>
      </w:r>
      <w:proofErr w:type="spellEnd"/>
      <w:r w:rsidRPr="00A73931">
        <w:t xml:space="preserve"> MTC: Plan 8 identifies a ‘town centre connector’ which runs east-west through the MTC</w:t>
      </w:r>
      <w:r w:rsidR="00360384" w:rsidRPr="00A73931">
        <w:t xml:space="preserve"> (refer Section 9, p107)</w:t>
      </w:r>
      <w:r w:rsidRPr="00A73931">
        <w:t>. As this is a proposed future PPTN route the PSP exhibited carriageway widths at 3.5m</w:t>
      </w:r>
    </w:p>
    <w:p w14:paraId="369C314B" w14:textId="77777777" w:rsidR="00A719F7" w:rsidRDefault="00A719F7" w:rsidP="00A719F7">
      <w:pPr>
        <w:pStyle w:val="ListParagraph"/>
      </w:pPr>
    </w:p>
    <w:p w14:paraId="1D448F86" w14:textId="77777777" w:rsidR="00A719F7" w:rsidRDefault="00861D73" w:rsidP="00736861">
      <w:pPr>
        <w:pStyle w:val="ListParagraph"/>
        <w:numPr>
          <w:ilvl w:val="0"/>
          <w:numId w:val="9"/>
        </w:numPr>
        <w:spacing w:after="120"/>
        <w:ind w:left="1021" w:hanging="1021"/>
      </w:pPr>
      <w:proofErr w:type="spellStart"/>
      <w:r w:rsidRPr="00A73931">
        <w:t>Plumpton</w:t>
      </w:r>
      <w:proofErr w:type="spellEnd"/>
      <w:r w:rsidRPr="00A73931">
        <w:t xml:space="preserve"> MTC: Plan 8 identifies a ‘feature main street’ which runs north-south through the MTC</w:t>
      </w:r>
      <w:r w:rsidR="008925C0" w:rsidRPr="00A73931">
        <w:t xml:space="preserve"> (refer Section 10, p108)</w:t>
      </w:r>
      <w:r w:rsidRPr="00A73931">
        <w:t>. This is not a connector so is not required to be ‘bus capable’</w:t>
      </w:r>
      <w:r w:rsidR="008925C0" w:rsidRPr="00A73931">
        <w:t xml:space="preserve"> and carriageway widths are 3m to send message to traffic to slow down and provide reduced asphalt and closer connection between the two sides of the road, for better urban design/amenity outcomes.</w:t>
      </w:r>
    </w:p>
    <w:p w14:paraId="1E603034" w14:textId="77777777" w:rsidR="00A719F7" w:rsidRDefault="00A719F7" w:rsidP="00A719F7">
      <w:pPr>
        <w:pStyle w:val="ListParagraph"/>
      </w:pPr>
    </w:p>
    <w:p w14:paraId="5026924A" w14:textId="77777777" w:rsidR="00A719F7" w:rsidRDefault="008925C0" w:rsidP="00736861">
      <w:pPr>
        <w:pStyle w:val="ListParagraph"/>
        <w:numPr>
          <w:ilvl w:val="0"/>
          <w:numId w:val="9"/>
        </w:numPr>
        <w:spacing w:after="120"/>
        <w:ind w:left="1021" w:hanging="1021"/>
      </w:pPr>
      <w:proofErr w:type="spellStart"/>
      <w:r w:rsidRPr="00F6675B">
        <w:t>Plumpton</w:t>
      </w:r>
      <w:proofErr w:type="spellEnd"/>
      <w:r w:rsidRPr="00F6675B">
        <w:t xml:space="preserve"> </w:t>
      </w:r>
      <w:r>
        <w:t>L</w:t>
      </w:r>
      <w:r w:rsidRPr="00F6675B">
        <w:t xml:space="preserve">TC: Plan 8 identifies a ‘feature main street’ which runs </w:t>
      </w:r>
      <w:r>
        <w:t>east-west</w:t>
      </w:r>
      <w:r w:rsidRPr="00F6675B">
        <w:t xml:space="preserve"> through the </w:t>
      </w:r>
      <w:r>
        <w:t>L</w:t>
      </w:r>
      <w:r w:rsidRPr="00F6675B">
        <w:t>TC (refer Section 1</w:t>
      </w:r>
      <w:r>
        <w:t>1</w:t>
      </w:r>
      <w:r w:rsidRPr="00F6675B">
        <w:t>, p10</w:t>
      </w:r>
      <w:r>
        <w:t>9</w:t>
      </w:r>
      <w:r w:rsidRPr="00F6675B">
        <w:t>). This is not a connector so is not required to be ‘bus capable’ and carriageway widths are 3m to send message to traffic to slow down and provide reduced asphalt and closer connection between the two sides of the road, for better urban design/amenity outcomes.</w:t>
      </w:r>
    </w:p>
    <w:p w14:paraId="5556EAD8" w14:textId="77777777" w:rsidR="00A719F7" w:rsidRDefault="00A719F7" w:rsidP="00A719F7">
      <w:pPr>
        <w:pStyle w:val="ListParagraph"/>
      </w:pPr>
    </w:p>
    <w:p w14:paraId="046ABE88" w14:textId="72C6F2A0" w:rsidR="008925C0" w:rsidRPr="001B0FBE" w:rsidRDefault="008925C0" w:rsidP="00736861">
      <w:pPr>
        <w:pStyle w:val="ListParagraph"/>
        <w:numPr>
          <w:ilvl w:val="0"/>
          <w:numId w:val="9"/>
        </w:numPr>
        <w:spacing w:after="0"/>
        <w:ind w:left="1021" w:hanging="1021"/>
        <w:rPr>
          <w:lang w:val="en-AU"/>
        </w:rPr>
      </w:pPr>
      <w:proofErr w:type="spellStart"/>
      <w:r>
        <w:t>Kororoit</w:t>
      </w:r>
      <w:proofErr w:type="spellEnd"/>
      <w:r>
        <w:t xml:space="preserve"> and </w:t>
      </w:r>
      <w:proofErr w:type="spellStart"/>
      <w:r>
        <w:t>Deanside</w:t>
      </w:r>
      <w:proofErr w:type="spellEnd"/>
      <w:r>
        <w:t xml:space="preserve"> L</w:t>
      </w:r>
      <w:r w:rsidRPr="00F6675B">
        <w:t>TC</w:t>
      </w:r>
      <w:r>
        <w:t>s</w:t>
      </w:r>
      <w:r w:rsidRPr="00F6675B">
        <w:t>: Plan 8 identifies a ‘</w:t>
      </w:r>
      <w:r>
        <w:t>town centre</w:t>
      </w:r>
      <w:r w:rsidRPr="00F6675B">
        <w:t xml:space="preserve"> main street’ </w:t>
      </w:r>
      <w:r>
        <w:t>in each of these LTCs</w:t>
      </w:r>
      <w:r w:rsidRPr="00F6675B">
        <w:t xml:space="preserve"> (refer Section 1</w:t>
      </w:r>
      <w:r>
        <w:t>8</w:t>
      </w:r>
      <w:r w:rsidRPr="00F6675B">
        <w:t>, p10</w:t>
      </w:r>
      <w:r>
        <w:t>9</w:t>
      </w:r>
      <w:r w:rsidRPr="00F6675B">
        <w:t>)</w:t>
      </w:r>
      <w:r>
        <w:t>. These are</w:t>
      </w:r>
      <w:r w:rsidRPr="00F6675B">
        <w:t xml:space="preserve"> not connector </w:t>
      </w:r>
      <w:r>
        <w:t xml:space="preserve">roads </w:t>
      </w:r>
      <w:r w:rsidRPr="00F6675B">
        <w:t xml:space="preserve">so </w:t>
      </w:r>
      <w:r>
        <w:t>are</w:t>
      </w:r>
      <w:r w:rsidRPr="00F6675B">
        <w:t xml:space="preserve"> not required to be ‘bus capable’ and carriageway widths are 3m to send message to traffic to slow down </w:t>
      </w:r>
      <w:r w:rsidRPr="001B0FBE">
        <w:rPr>
          <w:lang w:val="en-AU"/>
        </w:rPr>
        <w:t>and provide reduced asphalt and closer connection between the two sides of the road, for better urban design/amenity outcomes.</w:t>
      </w:r>
    </w:p>
    <w:p w14:paraId="58C980A8" w14:textId="77777777" w:rsidR="00D9661B" w:rsidRPr="001B0FBE" w:rsidRDefault="00D9661B" w:rsidP="001B0FBE">
      <w:pPr>
        <w:pStyle w:val="ListParagraph"/>
        <w:spacing w:after="0"/>
        <w:ind w:left="1021"/>
        <w:rPr>
          <w:lang w:val="en-AU"/>
        </w:rPr>
      </w:pPr>
    </w:p>
    <w:p w14:paraId="7F62BC2F" w14:textId="136FFF9D" w:rsidR="00AF505E" w:rsidRPr="00AF505E" w:rsidRDefault="00A719F7" w:rsidP="001B0FBE">
      <w:pPr>
        <w:pStyle w:val="Heading3"/>
      </w:pPr>
      <w:bookmarkStart w:id="34" w:name="_Toc469573670"/>
      <w:r w:rsidRPr="001B0FBE">
        <w:rPr>
          <w:lang w:val="en-AU"/>
        </w:rPr>
        <w:t>Plumpton West</w:t>
      </w:r>
      <w:r>
        <w:t xml:space="preserve"> C</w:t>
      </w:r>
      <w:r w:rsidR="002D4DAF">
        <w:t xml:space="preserve">ommunity </w:t>
      </w:r>
      <w:r>
        <w:t>H</w:t>
      </w:r>
      <w:r w:rsidR="002D4DAF">
        <w:t>ub</w:t>
      </w:r>
      <w:bookmarkEnd w:id="34"/>
    </w:p>
    <w:p w14:paraId="7CED26E6" w14:textId="4247A072" w:rsidR="00D9661B" w:rsidRDefault="0052445C" w:rsidP="00736861">
      <w:pPr>
        <w:pStyle w:val="ListParagraph"/>
        <w:numPr>
          <w:ilvl w:val="0"/>
          <w:numId w:val="9"/>
        </w:numPr>
        <w:spacing w:after="0"/>
        <w:ind w:left="1021" w:hanging="1021"/>
        <w:rPr>
          <w:lang w:val="en-AU"/>
        </w:rPr>
      </w:pPr>
      <w:r>
        <w:rPr>
          <w:lang w:val="en-AU"/>
        </w:rPr>
        <w:t xml:space="preserve">VPA submits the Panel </w:t>
      </w:r>
      <w:r w:rsidR="00FD4738">
        <w:rPr>
          <w:lang w:val="en-AU"/>
        </w:rPr>
        <w:t>ought to</w:t>
      </w:r>
      <w:r>
        <w:rPr>
          <w:lang w:val="en-AU"/>
        </w:rPr>
        <w:t xml:space="preserve"> recommend</w:t>
      </w:r>
      <w:r w:rsidRPr="002D4DAF">
        <w:rPr>
          <w:lang w:val="en-AU"/>
        </w:rPr>
        <w:t xml:space="preserve"> </w:t>
      </w:r>
      <w:r>
        <w:rPr>
          <w:lang w:val="en-AU"/>
        </w:rPr>
        <w:t>n</w:t>
      </w:r>
      <w:r w:rsidRPr="002D4DAF">
        <w:rPr>
          <w:lang w:val="en-AU"/>
        </w:rPr>
        <w:t xml:space="preserve">o </w:t>
      </w:r>
      <w:r w:rsidR="00D9661B" w:rsidRPr="002D4DAF">
        <w:rPr>
          <w:lang w:val="en-AU"/>
        </w:rPr>
        <w:t xml:space="preserve">change to the exhibited location of CI-04. The VPA submits a school is less likely to provide an appropriate urban design interface for the corner. </w:t>
      </w:r>
    </w:p>
    <w:p w14:paraId="6DC671DF" w14:textId="77777777" w:rsidR="00CE4D91" w:rsidRDefault="00CE4D91" w:rsidP="0073197B">
      <w:pPr>
        <w:spacing w:after="0"/>
        <w:rPr>
          <w:lang w:val="en-AU"/>
        </w:rPr>
      </w:pPr>
    </w:p>
    <w:p w14:paraId="0BDCFD68" w14:textId="6C89E248" w:rsidR="00CE4D91" w:rsidRDefault="00CE4D91" w:rsidP="00CE4D91">
      <w:pPr>
        <w:pStyle w:val="Heading3"/>
        <w:rPr>
          <w:lang w:val="en-AU"/>
        </w:rPr>
      </w:pPr>
      <w:bookmarkStart w:id="35" w:name="_Toc469573671"/>
      <w:r>
        <w:rPr>
          <w:lang w:val="en-AU"/>
        </w:rPr>
        <w:t>Re-wording of Clause 4.2 of Schedule to UGZ</w:t>
      </w:r>
      <w:bookmarkEnd w:id="35"/>
    </w:p>
    <w:p w14:paraId="5603D832" w14:textId="6804685F" w:rsidR="00CE4D91" w:rsidRDefault="00CE4D91" w:rsidP="0073197B">
      <w:pPr>
        <w:pStyle w:val="ListParagraph"/>
        <w:numPr>
          <w:ilvl w:val="0"/>
          <w:numId w:val="9"/>
        </w:numPr>
        <w:spacing w:after="0"/>
        <w:ind w:left="1021" w:hanging="1021"/>
        <w:rPr>
          <w:lang w:val="en-AU"/>
        </w:rPr>
      </w:pPr>
      <w:r>
        <w:rPr>
          <w:lang w:val="en-AU"/>
        </w:rPr>
        <w:t>VPA agrees to the proposed simplified re-wording of Clause 4.2 of the Schedule to the UGZ as per Council’s request, as follows:</w:t>
      </w:r>
    </w:p>
    <w:p w14:paraId="5AF444E8" w14:textId="77777777" w:rsidR="00CE4D91" w:rsidRDefault="00CE4D91" w:rsidP="0073197B">
      <w:pPr>
        <w:pStyle w:val="ListParagraph"/>
        <w:spacing w:after="0"/>
        <w:ind w:left="1021"/>
        <w:rPr>
          <w:lang w:val="en-AU"/>
        </w:rPr>
      </w:pPr>
    </w:p>
    <w:p w14:paraId="6BA83226" w14:textId="4982A2EB" w:rsidR="00CE4D91" w:rsidRPr="0073197B" w:rsidRDefault="00CE4D91" w:rsidP="00CE4D91">
      <w:pPr>
        <w:pStyle w:val="HeadA"/>
        <w:spacing w:before="0"/>
        <w:ind w:firstLine="0"/>
        <w:rPr>
          <w:i/>
        </w:rPr>
      </w:pPr>
      <w:r w:rsidRPr="0073197B">
        <w:rPr>
          <w:i/>
          <w:caps w:val="0"/>
        </w:rPr>
        <w:t>Conditions for subdivision or buildings and works permits where land is required for community facilities, public open space and road widening</w:t>
      </w:r>
      <w:r w:rsidRPr="0073197B">
        <w:rPr>
          <w:i/>
        </w:rPr>
        <w:t xml:space="preserve"> </w:t>
      </w:r>
    </w:p>
    <w:p w14:paraId="2E98BDE3" w14:textId="1A248A41" w:rsidR="00CE4D91" w:rsidRPr="0073197B" w:rsidRDefault="00CE4D91" w:rsidP="00CE4D91">
      <w:pPr>
        <w:spacing w:before="120" w:after="120"/>
        <w:ind w:left="1134"/>
        <w:jc w:val="both"/>
        <w:rPr>
          <w:i/>
        </w:rPr>
      </w:pPr>
      <w:r w:rsidRPr="0073197B">
        <w:rPr>
          <w:i/>
        </w:rPr>
        <w:t xml:space="preserve">The costs associated with effecting the transfer or vesting of land required for community facilities, public open space or road widening must be borne by permit holder.  </w:t>
      </w:r>
    </w:p>
    <w:p w14:paraId="34B97E77" w14:textId="77777777" w:rsidR="00CE4D91" w:rsidRPr="0073197B" w:rsidRDefault="00CE4D91" w:rsidP="00CE4D91">
      <w:pPr>
        <w:spacing w:before="120" w:after="120"/>
        <w:ind w:left="1134"/>
        <w:jc w:val="both"/>
        <w:rPr>
          <w:i/>
        </w:rPr>
      </w:pPr>
      <w:r w:rsidRPr="0073197B">
        <w:rPr>
          <w:i/>
        </w:rPr>
        <w:t xml:space="preserve">Land required for community facilities, public open space or road widening must be transferred to or vested in the relevant public agency with any designation (e.g. road, reserve or lot) nominated by the relevant agency.  </w:t>
      </w:r>
    </w:p>
    <w:p w14:paraId="18E8CBC6" w14:textId="4B6B45FE" w:rsidR="00DB498E" w:rsidRDefault="002C59C2" w:rsidP="00A719F7">
      <w:pPr>
        <w:pStyle w:val="Heading2"/>
        <w:rPr>
          <w:noProof/>
        </w:rPr>
      </w:pPr>
      <w:bookmarkStart w:id="36" w:name="_Toc469573672"/>
      <w:r>
        <w:rPr>
          <w:noProof/>
        </w:rPr>
        <w:lastRenderedPageBreak/>
        <w:t xml:space="preserve">4.7 </w:t>
      </w:r>
      <w:r w:rsidR="008C6C51" w:rsidRPr="00A73A34">
        <w:rPr>
          <w:noProof/>
        </w:rPr>
        <w:t>Submission 19</w:t>
      </w:r>
      <w:r w:rsidR="00A719F7">
        <w:rPr>
          <w:noProof/>
        </w:rPr>
        <w:t xml:space="preserve"> (Kororoit)</w:t>
      </w:r>
      <w:r w:rsidR="008C6C51" w:rsidRPr="00A73A34">
        <w:rPr>
          <w:noProof/>
        </w:rPr>
        <w:t xml:space="preserve"> – Andrew Booth</w:t>
      </w:r>
      <w:bookmarkEnd w:id="36"/>
    </w:p>
    <w:p w14:paraId="1B602CFB" w14:textId="1516D435" w:rsidR="00C85294" w:rsidRPr="002C59C2" w:rsidRDefault="00C85294" w:rsidP="00736861">
      <w:pPr>
        <w:pStyle w:val="ListParagraph"/>
        <w:numPr>
          <w:ilvl w:val="0"/>
          <w:numId w:val="9"/>
        </w:numPr>
        <w:spacing w:after="0"/>
        <w:ind w:left="1021" w:hanging="1021"/>
      </w:pPr>
      <w:r w:rsidRPr="002C59C2">
        <w:t xml:space="preserve">The VPA submits that the Panel </w:t>
      </w:r>
      <w:r w:rsidR="00FD4738" w:rsidRPr="002C59C2">
        <w:t>ought to</w:t>
      </w:r>
      <w:r w:rsidRPr="002C59C2">
        <w:t xml:space="preserve"> recommend no changes to the Amendments as a result of Mr Booth’s submission. </w:t>
      </w:r>
    </w:p>
    <w:p w14:paraId="53AA4D42" w14:textId="77777777" w:rsidR="00C85294" w:rsidRPr="002C59C2" w:rsidRDefault="00C85294" w:rsidP="00AF505E">
      <w:pPr>
        <w:pStyle w:val="ListParagraph"/>
        <w:spacing w:after="0"/>
        <w:ind w:left="1021"/>
      </w:pPr>
    </w:p>
    <w:p w14:paraId="4762C008" w14:textId="5A938A88" w:rsidR="00C85294" w:rsidRPr="002C59C2" w:rsidRDefault="00C85294" w:rsidP="00736861">
      <w:pPr>
        <w:pStyle w:val="ListParagraph"/>
        <w:numPr>
          <w:ilvl w:val="0"/>
          <w:numId w:val="9"/>
        </w:numPr>
        <w:spacing w:after="0"/>
        <w:ind w:left="1021" w:hanging="1021"/>
      </w:pPr>
      <w:r w:rsidRPr="002C59C2">
        <w:t>Whilst the VPA commends the work of Mr Booth in drawing attention to the matters that he has, the VPA submits that it is undesirable to add further areas of conservation to the PSPs, when significant areas have already been set aside for conservation by way of the M</w:t>
      </w:r>
      <w:r w:rsidR="00C91BB5">
        <w:t>elbourne Strategic Assessment (M</w:t>
      </w:r>
      <w:r w:rsidRPr="002C59C2">
        <w:t>SA</w:t>
      </w:r>
      <w:r w:rsidR="00C91BB5">
        <w:t>)</w:t>
      </w:r>
      <w:r w:rsidRPr="002C59C2">
        <w:t xml:space="preserve">. </w:t>
      </w:r>
    </w:p>
    <w:p w14:paraId="326DD1B1" w14:textId="77777777" w:rsidR="00C85294" w:rsidRPr="002C59C2" w:rsidRDefault="00C85294" w:rsidP="00AF505E">
      <w:pPr>
        <w:pStyle w:val="ListParagraph"/>
        <w:spacing w:after="0"/>
        <w:ind w:left="1021"/>
      </w:pPr>
    </w:p>
    <w:p w14:paraId="3FA11277" w14:textId="77777777" w:rsidR="00C91BB5" w:rsidRDefault="00C85294" w:rsidP="00736861">
      <w:pPr>
        <w:pStyle w:val="ListParagraph"/>
        <w:numPr>
          <w:ilvl w:val="0"/>
          <w:numId w:val="9"/>
        </w:numPr>
        <w:spacing w:after="0"/>
        <w:ind w:left="1021" w:hanging="1021"/>
      </w:pPr>
      <w:r w:rsidRPr="002C59C2">
        <w:t xml:space="preserve">The VPA also notes that in relation to </w:t>
      </w:r>
      <w:r w:rsidR="00B5246C" w:rsidRPr="002C59C2">
        <w:t xml:space="preserve">CA2 Conservation Concept Plan (Figure 9), that it seeks to retain the designations related to conservation in the interface areas on this plan. </w:t>
      </w:r>
      <w:r w:rsidRPr="002C59C2">
        <w:t xml:space="preserve"> </w:t>
      </w:r>
    </w:p>
    <w:p w14:paraId="4F078F32" w14:textId="77777777" w:rsidR="00C91BB5" w:rsidRDefault="00C91BB5" w:rsidP="00AF505E">
      <w:pPr>
        <w:pStyle w:val="ListParagraph"/>
        <w:spacing w:after="0"/>
      </w:pPr>
    </w:p>
    <w:p w14:paraId="41ACD010" w14:textId="3A57F9F7" w:rsidR="00072962" w:rsidRPr="002C59C2" w:rsidRDefault="00497D1A" w:rsidP="00736861">
      <w:pPr>
        <w:pStyle w:val="ListParagraph"/>
        <w:numPr>
          <w:ilvl w:val="0"/>
          <w:numId w:val="9"/>
        </w:numPr>
        <w:spacing w:after="0"/>
        <w:ind w:left="1021" w:hanging="1021"/>
      </w:pPr>
      <w:r w:rsidRPr="00497D1A">
        <w:t xml:space="preserve">Mr Booth seeks to conserve approx. 0.6ha of grassland on Property #66. </w:t>
      </w:r>
      <w:r w:rsidR="001B0FBE">
        <w:t xml:space="preserve">The </w:t>
      </w:r>
      <w:r w:rsidR="00072962" w:rsidRPr="00A73931">
        <w:t xml:space="preserve">VPA does not support this as this type of </w:t>
      </w:r>
      <w:r>
        <w:t xml:space="preserve">‘herb-rich </w:t>
      </w:r>
      <w:r w:rsidR="00072962" w:rsidRPr="00A73931">
        <w:t>grassland</w:t>
      </w:r>
      <w:r>
        <w:t>’</w:t>
      </w:r>
      <w:r w:rsidR="00072962" w:rsidRPr="00A73931">
        <w:t xml:space="preserve">, at a high quality, is already present in Conservation Area 2 (refer </w:t>
      </w:r>
      <w:r w:rsidR="00072962" w:rsidRPr="0073197B">
        <w:t xml:space="preserve">Appendix </w:t>
      </w:r>
      <w:r w:rsidR="00BC6367">
        <w:t>4</w:t>
      </w:r>
      <w:r w:rsidR="00BC6367" w:rsidRPr="00A73931">
        <w:t xml:space="preserve"> </w:t>
      </w:r>
      <w:r w:rsidR="00072962" w:rsidRPr="00A73931">
        <w:t>for survey of grassland state mapping).</w:t>
      </w:r>
    </w:p>
    <w:p w14:paraId="69F797A2" w14:textId="77777777" w:rsidR="002C59C2" w:rsidRDefault="002C59C2" w:rsidP="00AF505E">
      <w:pPr>
        <w:pStyle w:val="ListParagraph"/>
        <w:spacing w:after="0"/>
        <w:ind w:left="1021"/>
      </w:pPr>
    </w:p>
    <w:p w14:paraId="77A2D815" w14:textId="6D690E4B" w:rsidR="008C6C51" w:rsidRDefault="00023019" w:rsidP="00AF505E">
      <w:pPr>
        <w:pStyle w:val="Heading2"/>
        <w:rPr>
          <w:noProof/>
        </w:rPr>
      </w:pPr>
      <w:bookmarkStart w:id="37" w:name="_Toc469573673"/>
      <w:r>
        <w:rPr>
          <w:noProof/>
        </w:rPr>
        <w:t xml:space="preserve">4.8 </w:t>
      </w:r>
      <w:r w:rsidR="008C6C51" w:rsidRPr="00A73A34">
        <w:rPr>
          <w:noProof/>
        </w:rPr>
        <w:t>Submission 18</w:t>
      </w:r>
      <w:r w:rsidR="00A719F7">
        <w:rPr>
          <w:noProof/>
        </w:rPr>
        <w:t xml:space="preserve"> (Kororoit)</w:t>
      </w:r>
      <w:r w:rsidR="008C6C51" w:rsidRPr="00A73A34">
        <w:rPr>
          <w:noProof/>
        </w:rPr>
        <w:t xml:space="preserve"> –Coles Property Group Developments</w:t>
      </w:r>
      <w:bookmarkEnd w:id="37"/>
    </w:p>
    <w:p w14:paraId="3D488555" w14:textId="77777777" w:rsidR="008C6C51" w:rsidRDefault="008C6C51" w:rsidP="00AF505E">
      <w:pPr>
        <w:spacing w:after="0" w:line="276" w:lineRule="auto"/>
        <w:rPr>
          <w:rFonts w:cs="Arial"/>
          <w:b/>
          <w:noProof/>
          <w:sz w:val="32"/>
          <w:szCs w:val="32"/>
        </w:rPr>
      </w:pPr>
      <w:r w:rsidRPr="0061415D">
        <w:rPr>
          <w:rFonts w:cs="Arial"/>
          <w:b/>
          <w:noProof/>
        </w:rPr>
        <w:t xml:space="preserve">Address: </w:t>
      </w:r>
      <w:r w:rsidRPr="0061415D">
        <w:rPr>
          <w:rFonts w:cs="Arial"/>
          <w:noProof/>
        </w:rPr>
        <w:t>624 – 648 Neale Rd / #48</w:t>
      </w:r>
    </w:p>
    <w:p w14:paraId="222FD058" w14:textId="77777777" w:rsidR="008C6C51" w:rsidRPr="0020235B" w:rsidRDefault="008C6C51" w:rsidP="00AF505E">
      <w:pPr>
        <w:spacing w:after="0" w:line="276" w:lineRule="auto"/>
        <w:rPr>
          <w:rFonts w:cs="Arial"/>
          <w:b/>
          <w:noProof/>
          <w:szCs w:val="32"/>
        </w:rPr>
      </w:pPr>
    </w:p>
    <w:p w14:paraId="3131A05B" w14:textId="5C1D3AF7" w:rsidR="00C91BB5" w:rsidRDefault="00023019" w:rsidP="00736861">
      <w:pPr>
        <w:pStyle w:val="ListParagraph"/>
        <w:numPr>
          <w:ilvl w:val="0"/>
          <w:numId w:val="9"/>
        </w:numPr>
        <w:spacing w:after="0"/>
        <w:ind w:left="1021" w:hanging="1021"/>
      </w:pPr>
      <w:r>
        <w:t xml:space="preserve">The </w:t>
      </w:r>
      <w:r w:rsidR="00B8082B" w:rsidRPr="00A73931">
        <w:t xml:space="preserve">VPA submits that the Panel ought recommend substitution of the </w:t>
      </w:r>
      <w:proofErr w:type="spellStart"/>
      <w:r w:rsidR="00B8082B" w:rsidRPr="00A73931">
        <w:t>Kororoit</w:t>
      </w:r>
      <w:proofErr w:type="spellEnd"/>
      <w:r w:rsidR="00B8082B" w:rsidRPr="00A73931">
        <w:t xml:space="preserve"> Local Town Centre Concept Plan </w:t>
      </w:r>
      <w:r w:rsidR="00FC4568" w:rsidRPr="00A73931">
        <w:t xml:space="preserve">(Figure 3) </w:t>
      </w:r>
      <w:r w:rsidR="00B8082B" w:rsidRPr="00A73931">
        <w:t xml:space="preserve">with the revised Plan now agreed between </w:t>
      </w:r>
      <w:r w:rsidR="00C84F73" w:rsidRPr="00A73931">
        <w:t xml:space="preserve">Coles, </w:t>
      </w:r>
      <w:r w:rsidR="00C91BB5">
        <w:t xml:space="preserve">the </w:t>
      </w:r>
      <w:r w:rsidR="00C84F73" w:rsidRPr="00A73931">
        <w:t>VPA and Council</w:t>
      </w:r>
      <w:r w:rsidR="00FC4568" w:rsidRPr="00A73931">
        <w:t xml:space="preserve"> (</w:t>
      </w:r>
      <w:r w:rsidR="00FC4568" w:rsidRPr="0073197B">
        <w:t xml:space="preserve">refer Appendix </w:t>
      </w:r>
      <w:r w:rsidR="00B32F05" w:rsidRPr="00B32F05">
        <w:t>5</w:t>
      </w:r>
      <w:r w:rsidR="00FC4568" w:rsidRPr="00A73931">
        <w:t>)</w:t>
      </w:r>
      <w:r w:rsidR="00DB498E">
        <w:t>, noting that Council’s agreement is subject to resolution of the retail use in the pipeline measurement length.</w:t>
      </w:r>
      <w:r w:rsidR="00C84F73" w:rsidRPr="00A73931">
        <w:t xml:space="preserve"> </w:t>
      </w:r>
      <w:r w:rsidR="00B8082B" w:rsidRPr="00A73931">
        <w:t xml:space="preserve"> </w:t>
      </w:r>
    </w:p>
    <w:p w14:paraId="048F3DC4" w14:textId="77777777" w:rsidR="00C91BB5" w:rsidRDefault="00C91BB5" w:rsidP="00AF505E">
      <w:pPr>
        <w:pStyle w:val="ListParagraph"/>
        <w:spacing w:after="0"/>
        <w:ind w:left="1021"/>
      </w:pPr>
    </w:p>
    <w:p w14:paraId="6E7C9C14" w14:textId="77777777" w:rsidR="00C91BB5" w:rsidRDefault="00023019" w:rsidP="00736861">
      <w:pPr>
        <w:pStyle w:val="ListParagraph"/>
        <w:numPr>
          <w:ilvl w:val="0"/>
          <w:numId w:val="9"/>
        </w:numPr>
        <w:spacing w:after="0"/>
        <w:ind w:left="1021" w:hanging="1021"/>
      </w:pPr>
      <w:r>
        <w:t xml:space="preserve">The </w:t>
      </w:r>
      <w:r w:rsidR="00C84F73" w:rsidRPr="00A73931">
        <w:t xml:space="preserve">VPA confirms that VicRoads has agreed to the intersections, and that VPA </w:t>
      </w:r>
      <w:r w:rsidR="00FC4568" w:rsidRPr="00A73931">
        <w:t>would support</w:t>
      </w:r>
      <w:r w:rsidR="00C84F73" w:rsidRPr="00A73931">
        <w:t xml:space="preserve"> including the intersections in the ICP.</w:t>
      </w:r>
    </w:p>
    <w:p w14:paraId="708EE600" w14:textId="77777777" w:rsidR="00C91BB5" w:rsidRDefault="00C91BB5" w:rsidP="00AF505E">
      <w:pPr>
        <w:pStyle w:val="ListParagraph"/>
        <w:spacing w:after="0"/>
        <w:ind w:left="1021"/>
      </w:pPr>
    </w:p>
    <w:p w14:paraId="153063B1" w14:textId="3D7C9C8F" w:rsidR="00FC4568" w:rsidRDefault="00023019" w:rsidP="00736861">
      <w:pPr>
        <w:pStyle w:val="ListParagraph"/>
        <w:numPr>
          <w:ilvl w:val="0"/>
          <w:numId w:val="9"/>
        </w:numPr>
        <w:spacing w:after="0"/>
        <w:ind w:left="1021" w:hanging="1021"/>
      </w:pPr>
      <w:r>
        <w:t xml:space="preserve">The </w:t>
      </w:r>
      <w:r w:rsidR="00FC4568">
        <w:t xml:space="preserve">VPA, Council and Coles have also agreed </w:t>
      </w:r>
      <w:r>
        <w:t>a number of</w:t>
      </w:r>
      <w:r w:rsidR="00FC4568">
        <w:t xml:space="preserve"> updates to the PSP to reflect the updates to the </w:t>
      </w:r>
      <w:proofErr w:type="spellStart"/>
      <w:r w:rsidR="00FC4568">
        <w:t>Kororoit</w:t>
      </w:r>
      <w:proofErr w:type="spellEnd"/>
      <w:r w:rsidR="00FC4568">
        <w:t xml:space="preserve"> LTC concept plan</w:t>
      </w:r>
      <w:r>
        <w:t>.</w:t>
      </w:r>
    </w:p>
    <w:p w14:paraId="7EAD1D53" w14:textId="77777777" w:rsidR="00023019" w:rsidRDefault="00023019" w:rsidP="00AF505E">
      <w:pPr>
        <w:pStyle w:val="ListParagraph"/>
        <w:spacing w:after="0"/>
        <w:ind w:left="1021"/>
      </w:pPr>
    </w:p>
    <w:p w14:paraId="3D02F116" w14:textId="4D0BF575" w:rsidR="00023019" w:rsidRDefault="00DB498E" w:rsidP="00736861">
      <w:pPr>
        <w:pStyle w:val="ListParagraph"/>
        <w:numPr>
          <w:ilvl w:val="0"/>
          <w:numId w:val="9"/>
        </w:numPr>
        <w:spacing w:after="0"/>
        <w:ind w:left="1021" w:hanging="1021"/>
      </w:pPr>
      <w:r>
        <w:t xml:space="preserve">Agreed </w:t>
      </w:r>
      <w:r w:rsidR="00FC4568" w:rsidRPr="00023019">
        <w:t>new Requirement after R20:</w:t>
      </w:r>
    </w:p>
    <w:p w14:paraId="3CD5117C" w14:textId="4524D6DB" w:rsidR="00FC4568" w:rsidRPr="002B1668" w:rsidRDefault="00FC4568" w:rsidP="00AF505E">
      <w:pPr>
        <w:pStyle w:val="ListParagraph"/>
        <w:spacing w:after="0"/>
        <w:ind w:left="1021"/>
      </w:pPr>
      <w:r w:rsidRPr="002B1668">
        <w:t>‘</w:t>
      </w:r>
      <w:r w:rsidRPr="002B1668">
        <w:rPr>
          <w:i/>
          <w:iCs/>
        </w:rPr>
        <w:t>The design of the built form must provide an attractive interface to the surrounding residential neighbourhood and Small Local Enterprise area, and must include landscaping along street edges and screening of loading areas’</w:t>
      </w:r>
      <w:r w:rsidR="00F7265F" w:rsidRPr="002B1668">
        <w:rPr>
          <w:i/>
          <w:iCs/>
        </w:rPr>
        <w:t>.</w:t>
      </w:r>
    </w:p>
    <w:p w14:paraId="7D555E53" w14:textId="77777777" w:rsidR="00023019" w:rsidRDefault="00023019" w:rsidP="00AF505E">
      <w:pPr>
        <w:pStyle w:val="ListParagraph"/>
        <w:spacing w:after="0"/>
        <w:ind w:left="1021"/>
      </w:pPr>
    </w:p>
    <w:p w14:paraId="61D32C3F" w14:textId="5DC37450" w:rsidR="00023019" w:rsidRPr="00A73931" w:rsidRDefault="00DB498E" w:rsidP="00736861">
      <w:pPr>
        <w:pStyle w:val="ListParagraph"/>
        <w:numPr>
          <w:ilvl w:val="0"/>
          <w:numId w:val="9"/>
        </w:numPr>
        <w:spacing w:after="0"/>
        <w:ind w:left="1021" w:hanging="1021"/>
      </w:pPr>
      <w:r>
        <w:t>Agreed u</w:t>
      </w:r>
      <w:r w:rsidR="00FC4568" w:rsidRPr="00A73931">
        <w:t>pdates to ‘Place-making and Design Elements notes (which accompany Figure</w:t>
      </w:r>
      <w:r>
        <w:t xml:space="preserve"> 3 on p24 of the exhibited PSP) as follows:</w:t>
      </w:r>
    </w:p>
    <w:p w14:paraId="4E7638FD" w14:textId="77777777" w:rsidR="00FC4568" w:rsidRPr="00DB498E" w:rsidRDefault="00FC4568" w:rsidP="00AF505E">
      <w:pPr>
        <w:pStyle w:val="ListParagraph"/>
        <w:spacing w:after="0"/>
        <w:ind w:left="1021"/>
      </w:pPr>
      <w:r w:rsidRPr="00DB498E">
        <w:t>Dot point 5: remove as it is now a Requirement</w:t>
      </w:r>
    </w:p>
    <w:p w14:paraId="287515D5" w14:textId="77777777" w:rsidR="00FC4568" w:rsidRPr="00DB498E" w:rsidRDefault="00FC4568" w:rsidP="00AF505E">
      <w:pPr>
        <w:pStyle w:val="ListParagraph"/>
        <w:spacing w:after="0"/>
        <w:ind w:left="1021"/>
      </w:pPr>
      <w:r w:rsidRPr="00DB498E">
        <w:t xml:space="preserve">Dot point 6: </w:t>
      </w:r>
    </w:p>
    <w:p w14:paraId="2ED350A4" w14:textId="77777777" w:rsidR="00FC4568" w:rsidRPr="00DB498E" w:rsidRDefault="00FC4568" w:rsidP="00736861">
      <w:pPr>
        <w:pStyle w:val="ListParagraph"/>
        <w:widowControl w:val="0"/>
        <w:numPr>
          <w:ilvl w:val="1"/>
          <w:numId w:val="9"/>
        </w:numPr>
        <w:autoSpaceDE w:val="0"/>
        <w:autoSpaceDN w:val="0"/>
        <w:adjustRightInd w:val="0"/>
        <w:spacing w:after="0" w:line="240" w:lineRule="auto"/>
        <w:ind w:left="1985" w:hanging="397"/>
        <w:rPr>
          <w:rFonts w:cs="Tahoma"/>
          <w:i/>
          <w:lang w:val="en-US"/>
        </w:rPr>
      </w:pPr>
      <w:r w:rsidRPr="00DB498E">
        <w:rPr>
          <w:rFonts w:cs="Tahoma"/>
          <w:lang w:val="en-US"/>
        </w:rPr>
        <w:t xml:space="preserve">Change from : </w:t>
      </w:r>
      <w:r w:rsidRPr="00DB498E">
        <w:rPr>
          <w:rFonts w:cs="Tahoma"/>
          <w:i/>
          <w:lang w:val="en-US"/>
        </w:rPr>
        <w:t>Opportunities for mixed uses such as office, childcare and medical uses either side of the northern east-west street</w:t>
      </w:r>
    </w:p>
    <w:p w14:paraId="7BC96942" w14:textId="77777777" w:rsidR="00FC4568" w:rsidRPr="00DB498E" w:rsidRDefault="00FC4568" w:rsidP="00736861">
      <w:pPr>
        <w:pStyle w:val="ListParagraph"/>
        <w:widowControl w:val="0"/>
        <w:numPr>
          <w:ilvl w:val="1"/>
          <w:numId w:val="9"/>
        </w:numPr>
        <w:autoSpaceDE w:val="0"/>
        <w:autoSpaceDN w:val="0"/>
        <w:adjustRightInd w:val="0"/>
        <w:spacing w:after="0" w:line="240" w:lineRule="auto"/>
        <w:ind w:left="1985" w:hanging="397"/>
        <w:rPr>
          <w:rFonts w:cs="Tahoma"/>
          <w:i/>
          <w:lang w:val="en-US"/>
        </w:rPr>
      </w:pPr>
      <w:r w:rsidRPr="00DB498E">
        <w:rPr>
          <w:rFonts w:cs="Tahoma"/>
          <w:lang w:val="en-US"/>
        </w:rPr>
        <w:t xml:space="preserve">Change to: </w:t>
      </w:r>
      <w:r w:rsidRPr="00DB498E">
        <w:rPr>
          <w:rFonts w:cs="Tahoma"/>
          <w:i/>
          <w:lang w:val="en-US"/>
        </w:rPr>
        <w:t>Opportunities for a range of uses such as office, retail and medical uses to activate either side of the northern east-west street</w:t>
      </w:r>
    </w:p>
    <w:p w14:paraId="1CA58121" w14:textId="77777777" w:rsidR="00FC4568" w:rsidRDefault="00FC4568" w:rsidP="00AF505E">
      <w:pPr>
        <w:spacing w:after="0"/>
        <w:rPr>
          <w:b/>
          <w:bCs/>
          <w:lang w:val="en-US"/>
        </w:rPr>
      </w:pPr>
    </w:p>
    <w:p w14:paraId="31E8838A" w14:textId="236C9AE5" w:rsidR="008C6C51" w:rsidRDefault="00023019" w:rsidP="00AF505E">
      <w:pPr>
        <w:pStyle w:val="Heading2"/>
        <w:rPr>
          <w:rFonts w:ascii="Calibri" w:hAnsi="Calibri"/>
        </w:rPr>
      </w:pPr>
      <w:bookmarkStart w:id="38" w:name="_Toc469573674"/>
      <w:r>
        <w:rPr>
          <w:noProof/>
        </w:rPr>
        <w:lastRenderedPageBreak/>
        <w:t xml:space="preserve">4.9 </w:t>
      </w:r>
      <w:r w:rsidR="008C6C51" w:rsidRPr="0021131D">
        <w:rPr>
          <w:noProof/>
        </w:rPr>
        <w:t>Submission 7</w:t>
      </w:r>
      <w:r w:rsidR="00A719F7">
        <w:rPr>
          <w:noProof/>
        </w:rPr>
        <w:t xml:space="preserve"> (Kororoit)</w:t>
      </w:r>
      <w:r w:rsidR="008C6C51" w:rsidRPr="0021131D">
        <w:rPr>
          <w:noProof/>
        </w:rPr>
        <w:t xml:space="preserve"> – Town Planning Group (on behalf of landowners)</w:t>
      </w:r>
      <w:bookmarkEnd w:id="38"/>
    </w:p>
    <w:p w14:paraId="400B1DB3" w14:textId="77777777" w:rsidR="008C6C51" w:rsidRDefault="008C6C51" w:rsidP="00AF505E">
      <w:pPr>
        <w:spacing w:after="0" w:line="276" w:lineRule="auto"/>
        <w:rPr>
          <w:rFonts w:ascii="Calibri" w:hAnsi="Calibri"/>
        </w:rPr>
      </w:pPr>
      <w:r w:rsidRPr="0061415D">
        <w:rPr>
          <w:rFonts w:cs="Arial"/>
          <w:b/>
          <w:noProof/>
        </w:rPr>
        <w:t xml:space="preserve">Address: </w:t>
      </w:r>
      <w:r w:rsidRPr="0061415D">
        <w:rPr>
          <w:rFonts w:cs="Arial"/>
          <w:noProof/>
        </w:rPr>
        <w:t>149 - 258 Clarke Road; 274 Clarke Road; 276 Clarke Road; 402 Clarke Road (properties within the Kororoit Part 2 PSP)</w:t>
      </w:r>
    </w:p>
    <w:p w14:paraId="057F2A55" w14:textId="77777777" w:rsidR="008C6C51" w:rsidRDefault="008C6C51" w:rsidP="00AF505E">
      <w:pPr>
        <w:spacing w:after="0" w:line="276" w:lineRule="auto"/>
        <w:rPr>
          <w:rFonts w:ascii="Calibri" w:hAnsi="Calibri"/>
        </w:rPr>
      </w:pPr>
    </w:p>
    <w:p w14:paraId="7A87AB3C" w14:textId="0B815250" w:rsidR="00C84F73" w:rsidRDefault="00C84F73" w:rsidP="00736861">
      <w:pPr>
        <w:pStyle w:val="ListParagraph"/>
        <w:numPr>
          <w:ilvl w:val="0"/>
          <w:numId w:val="9"/>
        </w:numPr>
        <w:spacing w:after="0"/>
        <w:ind w:left="1021" w:hanging="1021"/>
      </w:pPr>
      <w:r>
        <w:t>The VPA submits that the Panel ought not</w:t>
      </w:r>
      <w:r w:rsidR="002B1668">
        <w:t xml:space="preserve"> to</w:t>
      </w:r>
      <w:r>
        <w:t xml:space="preserve"> make any recommendations for change arising from the Town Planning Group submission. </w:t>
      </w:r>
    </w:p>
    <w:p w14:paraId="37FC4BD6" w14:textId="77777777" w:rsidR="00023019" w:rsidRDefault="00023019" w:rsidP="00AF505E">
      <w:pPr>
        <w:pStyle w:val="ListParagraph"/>
        <w:spacing w:after="0"/>
        <w:ind w:left="1021"/>
      </w:pPr>
    </w:p>
    <w:p w14:paraId="41C10B04" w14:textId="520EB056" w:rsidR="00C84F73" w:rsidRDefault="00C84F73" w:rsidP="00736861">
      <w:pPr>
        <w:pStyle w:val="ListParagraph"/>
        <w:numPr>
          <w:ilvl w:val="0"/>
          <w:numId w:val="9"/>
        </w:numPr>
        <w:spacing w:after="0"/>
        <w:ind w:left="1021" w:hanging="1021"/>
      </w:pPr>
      <w:r>
        <w:t xml:space="preserve">The proposed location of the Regional Park to the south of the Creek was established through the Growth Corridor Plan and the BCS – though noting its boundaries will be revisited through the “Part 2” amendment process.  </w:t>
      </w:r>
      <w:r w:rsidR="00023019">
        <w:t xml:space="preserve">The </w:t>
      </w:r>
      <w:r>
        <w:t>VPA agrees that the BCS stated that the boundaries should be finalised. This was outlined in Section 2.4 of VPA’s Part B submission to the Panel.</w:t>
      </w:r>
    </w:p>
    <w:p w14:paraId="64F625A2" w14:textId="77777777" w:rsidR="00023019" w:rsidRDefault="00023019" w:rsidP="00AF505E">
      <w:pPr>
        <w:pStyle w:val="ListParagraph"/>
        <w:spacing w:after="0"/>
        <w:ind w:left="1021"/>
      </w:pPr>
    </w:p>
    <w:p w14:paraId="2E2026BF" w14:textId="0293CD9B" w:rsidR="00023019" w:rsidRDefault="00C84F73" w:rsidP="00736861">
      <w:pPr>
        <w:pStyle w:val="ListParagraph"/>
        <w:numPr>
          <w:ilvl w:val="0"/>
          <w:numId w:val="9"/>
        </w:numPr>
        <w:spacing w:after="0"/>
        <w:ind w:left="1021" w:hanging="1021"/>
      </w:pPr>
      <w:r>
        <w:t xml:space="preserve">The submitters have not established a sufficient basis for the Panel to recommend re-location of the park to the northern side of the </w:t>
      </w:r>
      <w:proofErr w:type="spellStart"/>
      <w:r>
        <w:t>Kororoit</w:t>
      </w:r>
      <w:proofErr w:type="spellEnd"/>
      <w:r>
        <w:t xml:space="preserve"> Creek.  </w:t>
      </w:r>
      <w:r w:rsidR="00023019">
        <w:t xml:space="preserve">The </w:t>
      </w:r>
      <w:r>
        <w:t>VPA is satisfied that the proposed location for the Regional Park as identified in the West Growth Corridor Plan and the BCS is appropriate, for the reasons outlined in the VPA’s Part B submission in response to Submission 7.</w:t>
      </w:r>
    </w:p>
    <w:p w14:paraId="6C79E3FC" w14:textId="77777777" w:rsidR="00023019" w:rsidRDefault="00023019" w:rsidP="00AF505E">
      <w:pPr>
        <w:pStyle w:val="ListParagraph"/>
        <w:spacing w:after="0"/>
      </w:pPr>
    </w:p>
    <w:p w14:paraId="484655BF" w14:textId="26937318" w:rsidR="00023019" w:rsidRDefault="00023019" w:rsidP="00736861">
      <w:pPr>
        <w:pStyle w:val="ListParagraph"/>
        <w:numPr>
          <w:ilvl w:val="0"/>
          <w:numId w:val="9"/>
        </w:numPr>
        <w:spacing w:after="0"/>
        <w:ind w:left="1021" w:hanging="1021"/>
      </w:pPr>
      <w:r>
        <w:t xml:space="preserve">The </w:t>
      </w:r>
      <w:r w:rsidR="00C84F73">
        <w:t xml:space="preserve">VPA notes that to relocate the park to the northern side of the Creek would constitute a transformation of the Amendment which would require notice to the landowners on the northern side of the Creek.  </w:t>
      </w:r>
    </w:p>
    <w:p w14:paraId="391EA8D8" w14:textId="77777777" w:rsidR="00023019" w:rsidRDefault="00023019" w:rsidP="00AF505E">
      <w:pPr>
        <w:pStyle w:val="ListParagraph"/>
        <w:spacing w:after="0"/>
      </w:pPr>
    </w:p>
    <w:p w14:paraId="0DFC911A" w14:textId="77777777" w:rsidR="00023019" w:rsidRDefault="00C84F73" w:rsidP="00736861">
      <w:pPr>
        <w:pStyle w:val="ListParagraph"/>
        <w:numPr>
          <w:ilvl w:val="0"/>
          <w:numId w:val="9"/>
        </w:numPr>
        <w:spacing w:after="0"/>
        <w:ind w:left="1021" w:hanging="1021"/>
      </w:pPr>
      <w:r>
        <w:t xml:space="preserve">The compensation process is under discussion – the frustrations of the submitters are noted but it is not the role of this Panel to determine this issue. </w:t>
      </w:r>
    </w:p>
    <w:p w14:paraId="068A12C6" w14:textId="77777777" w:rsidR="00023019" w:rsidRDefault="00023019" w:rsidP="00AF505E">
      <w:pPr>
        <w:pStyle w:val="ListParagraph"/>
        <w:spacing w:after="0"/>
      </w:pPr>
    </w:p>
    <w:p w14:paraId="04293E83" w14:textId="77777777" w:rsidR="00023019" w:rsidRDefault="00023019" w:rsidP="00736861">
      <w:pPr>
        <w:pStyle w:val="ListParagraph"/>
        <w:numPr>
          <w:ilvl w:val="0"/>
          <w:numId w:val="9"/>
        </w:numPr>
        <w:spacing w:after="0"/>
        <w:ind w:left="1021" w:hanging="1021"/>
      </w:pPr>
      <w:r>
        <w:t xml:space="preserve">The </w:t>
      </w:r>
      <w:r w:rsidR="00C84F73">
        <w:t xml:space="preserve">VPA accepts that it is possible to make changes if the Commonwealth and State agree – but this has not happened in this instance. </w:t>
      </w:r>
    </w:p>
    <w:p w14:paraId="39D38106" w14:textId="77777777" w:rsidR="00023019" w:rsidRDefault="00023019" w:rsidP="00AF505E">
      <w:pPr>
        <w:pStyle w:val="ListParagraph"/>
        <w:spacing w:after="0"/>
      </w:pPr>
    </w:p>
    <w:p w14:paraId="31D6B565" w14:textId="77777777" w:rsidR="00023019" w:rsidRDefault="00023019" w:rsidP="00736861">
      <w:pPr>
        <w:pStyle w:val="ListParagraph"/>
        <w:numPr>
          <w:ilvl w:val="0"/>
          <w:numId w:val="9"/>
        </w:numPr>
        <w:spacing w:after="0"/>
        <w:ind w:left="1021" w:hanging="1021"/>
      </w:pPr>
      <w:r>
        <w:t xml:space="preserve">The </w:t>
      </w:r>
      <w:r w:rsidR="008C6C51">
        <w:t>VPA d</w:t>
      </w:r>
      <w:r w:rsidR="00C84F73">
        <w:t>oes not agree</w:t>
      </w:r>
      <w:r w:rsidR="008C6C51">
        <w:t xml:space="preserve"> that it separated PSP 1080 into two parts to confine the issues related to the park to a future amendment. VPA in fact separated the PSP into two parts for the reasons outlined in its Part B submission to the Panel (Section 2.4).</w:t>
      </w:r>
    </w:p>
    <w:p w14:paraId="49F4B295" w14:textId="77777777" w:rsidR="00023019" w:rsidRDefault="00023019" w:rsidP="00AF505E">
      <w:pPr>
        <w:pStyle w:val="ListParagraph"/>
        <w:spacing w:after="0"/>
      </w:pPr>
    </w:p>
    <w:p w14:paraId="3F3FDA2A" w14:textId="559D2936" w:rsidR="00023019" w:rsidRDefault="008C6C51" w:rsidP="00736861">
      <w:pPr>
        <w:pStyle w:val="ListParagraph"/>
        <w:numPr>
          <w:ilvl w:val="0"/>
          <w:numId w:val="9"/>
        </w:numPr>
        <w:spacing w:after="0"/>
        <w:ind w:left="1021" w:hanging="1021"/>
      </w:pPr>
      <w:r w:rsidRPr="00A73931">
        <w:t xml:space="preserve">In response to the question from the Panel: </w:t>
      </w:r>
      <w:r w:rsidR="00023019">
        <w:t xml:space="preserve">the </w:t>
      </w:r>
      <w:r w:rsidRPr="00A73931">
        <w:t xml:space="preserve">VPA </w:t>
      </w:r>
      <w:r w:rsidR="007606A2" w:rsidRPr="00A73931">
        <w:t>has confirmed with DELWP t</w:t>
      </w:r>
      <w:r w:rsidRPr="00A73931">
        <w:t>hat there is no final</w:t>
      </w:r>
      <w:r w:rsidR="007606A2" w:rsidRPr="00A73931">
        <w:t>ised</w:t>
      </w:r>
      <w:r w:rsidRPr="00A73931">
        <w:t xml:space="preserve"> version of the ‘</w:t>
      </w:r>
      <w:r w:rsidRPr="00A73931">
        <w:rPr>
          <w:i/>
        </w:rPr>
        <w:t>Defining the Boundaries’</w:t>
      </w:r>
      <w:r w:rsidRPr="00A73931">
        <w:t xml:space="preserve"> report</w:t>
      </w:r>
      <w:r w:rsidR="007606A2" w:rsidRPr="00A73931">
        <w:t>.</w:t>
      </w:r>
    </w:p>
    <w:p w14:paraId="392A47B0" w14:textId="77777777" w:rsidR="00023019" w:rsidRDefault="00023019" w:rsidP="00AF505E">
      <w:pPr>
        <w:pStyle w:val="ListParagraph"/>
        <w:spacing w:after="0"/>
      </w:pPr>
    </w:p>
    <w:p w14:paraId="365EFDAA" w14:textId="40D2C385" w:rsidR="00023019" w:rsidRDefault="00023019" w:rsidP="00736861">
      <w:pPr>
        <w:pStyle w:val="ListParagraph"/>
        <w:numPr>
          <w:ilvl w:val="0"/>
          <w:numId w:val="9"/>
        </w:numPr>
        <w:spacing w:after="0"/>
        <w:ind w:left="1021" w:hanging="1021"/>
      </w:pPr>
      <w:r>
        <w:t xml:space="preserve">The </w:t>
      </w:r>
      <w:r w:rsidR="008C6C51" w:rsidRPr="007606A2">
        <w:t>VPA will continue to work with DELWP to finalise the boundary of the proposed Regional Park and DELWP will seek Commonwealth approval for a change if required.</w:t>
      </w:r>
      <w:r w:rsidR="00C84F73" w:rsidRPr="007606A2">
        <w:t xml:space="preserve">  </w:t>
      </w:r>
      <w:r w:rsidR="008C6C51" w:rsidRPr="007606A2">
        <w:t>VPA will seek comment from affected landowners as part of this process.</w:t>
      </w:r>
      <w:r w:rsidR="008C6C51" w:rsidRPr="00291F62">
        <w:t xml:space="preserve"> </w:t>
      </w:r>
    </w:p>
    <w:p w14:paraId="70A389A6" w14:textId="77777777" w:rsidR="002B1668" w:rsidRPr="00023019" w:rsidRDefault="002B1668" w:rsidP="00AF505E">
      <w:pPr>
        <w:spacing w:after="0"/>
      </w:pPr>
    </w:p>
    <w:p w14:paraId="374DFC2C" w14:textId="039C6F75" w:rsidR="00B56F61" w:rsidRDefault="00023019" w:rsidP="00AF505E">
      <w:pPr>
        <w:pStyle w:val="Heading2"/>
      </w:pPr>
      <w:bookmarkStart w:id="39" w:name="_Toc469573675"/>
      <w:r>
        <w:rPr>
          <w:noProof/>
        </w:rPr>
        <w:t xml:space="preserve">4.10 </w:t>
      </w:r>
      <w:r w:rsidR="00B56F61" w:rsidRPr="00A73A34">
        <w:rPr>
          <w:noProof/>
        </w:rPr>
        <w:t>Submission 29</w:t>
      </w:r>
      <w:r w:rsidR="00A719F7">
        <w:rPr>
          <w:noProof/>
        </w:rPr>
        <w:t xml:space="preserve"> (Kororoit)</w:t>
      </w:r>
      <w:r w:rsidR="00B56F61" w:rsidRPr="00A73A34">
        <w:rPr>
          <w:noProof/>
        </w:rPr>
        <w:t xml:space="preserve"> – </w:t>
      </w:r>
      <w:r w:rsidR="00B56F61">
        <w:rPr>
          <w:noProof/>
        </w:rPr>
        <w:t>L</w:t>
      </w:r>
      <w:r w:rsidR="00B56F61" w:rsidRPr="00A73A34">
        <w:rPr>
          <w:noProof/>
        </w:rPr>
        <w:t>uzon Holdings</w:t>
      </w:r>
      <w:bookmarkEnd w:id="39"/>
    </w:p>
    <w:p w14:paraId="45CFF595" w14:textId="77777777" w:rsidR="00B56F61" w:rsidRDefault="00B56F61" w:rsidP="00AF505E">
      <w:pPr>
        <w:spacing w:after="0" w:line="276" w:lineRule="auto"/>
        <w:rPr>
          <w:rFonts w:cs="Arial"/>
          <w:noProof/>
        </w:rPr>
      </w:pPr>
      <w:r w:rsidRPr="0061415D">
        <w:rPr>
          <w:rFonts w:cs="Arial"/>
          <w:b/>
          <w:noProof/>
        </w:rPr>
        <w:t xml:space="preserve">Address: </w:t>
      </w:r>
      <w:r w:rsidRPr="0061415D">
        <w:rPr>
          <w:rFonts w:cs="Arial"/>
          <w:noProof/>
        </w:rPr>
        <w:t xml:space="preserve">80-120 Gray Court/ #38; 1205 Taylors </w:t>
      </w:r>
      <w:r>
        <w:rPr>
          <w:rFonts w:cs="Arial"/>
          <w:noProof/>
        </w:rPr>
        <w:t>Rd / #10; 650-674 Neale Rd; #47</w:t>
      </w:r>
    </w:p>
    <w:p w14:paraId="560D278D" w14:textId="77777777" w:rsidR="00B56F61" w:rsidRDefault="00B56F61" w:rsidP="00AF505E">
      <w:pPr>
        <w:spacing w:after="0" w:line="276" w:lineRule="auto"/>
        <w:rPr>
          <w:rFonts w:cs="Arial"/>
          <w:noProof/>
        </w:rPr>
      </w:pPr>
    </w:p>
    <w:p w14:paraId="51B31E91" w14:textId="77777777" w:rsidR="00C84F73" w:rsidRDefault="00C84F73" w:rsidP="00736861">
      <w:pPr>
        <w:pStyle w:val="ListParagraph"/>
        <w:numPr>
          <w:ilvl w:val="0"/>
          <w:numId w:val="9"/>
        </w:numPr>
        <w:spacing w:after="0"/>
        <w:ind w:left="1021" w:hanging="1021"/>
      </w:pPr>
      <w:r w:rsidRPr="00023019">
        <w:t>The VPA submits the Panel ought</w:t>
      </w:r>
      <w:r w:rsidR="00D312C7" w:rsidRPr="00023019">
        <w:t xml:space="preserve"> make the following recommendations in respect of the submissions of this submitter:</w:t>
      </w:r>
    </w:p>
    <w:p w14:paraId="5A7ADEF8" w14:textId="5FA6B21C" w:rsidR="009C174F" w:rsidRPr="00B32F05" w:rsidRDefault="009C174F" w:rsidP="00736861">
      <w:pPr>
        <w:pStyle w:val="ListParagraph"/>
        <w:numPr>
          <w:ilvl w:val="1"/>
          <w:numId w:val="9"/>
        </w:numPr>
        <w:spacing w:after="0"/>
      </w:pPr>
      <w:r w:rsidRPr="009C174F">
        <w:lastRenderedPageBreak/>
        <w:t xml:space="preserve">G11 currently: </w:t>
      </w:r>
      <w:r w:rsidR="00756ED8">
        <w:t>“</w:t>
      </w:r>
      <w:r w:rsidRPr="009C174F">
        <w:t>Sites in prominent locations, such as the Local Town Centres, and at major intersections such as Neale Road and Hopkins Road, should be developed to respond to their strategic location and have greater height, density and architectural quality (</w:t>
      </w:r>
      <w:r w:rsidR="00FD4738" w:rsidRPr="00B32F05">
        <w:t>refer</w:t>
      </w:r>
      <w:r w:rsidR="00FD4738">
        <w:t xml:space="preserve"> </w:t>
      </w:r>
      <w:r w:rsidR="00FD4738" w:rsidRPr="00B32F05">
        <w:t>Appendix</w:t>
      </w:r>
      <w:r w:rsidRPr="007A3A80">
        <w:t xml:space="preserve"> </w:t>
      </w:r>
      <w:r w:rsidR="00FD4738" w:rsidRPr="007A3A80">
        <w:t>C</w:t>
      </w:r>
      <w:r w:rsidR="00FD4738">
        <w:t>)</w:t>
      </w:r>
      <w:r w:rsidRPr="00B32F05">
        <w:t>.</w:t>
      </w:r>
      <w:r w:rsidR="00756ED8">
        <w:t>”</w:t>
      </w:r>
    </w:p>
    <w:p w14:paraId="46265D81" w14:textId="36C8B3D3" w:rsidR="009C174F" w:rsidRPr="009C174F" w:rsidRDefault="009C174F" w:rsidP="00736861">
      <w:pPr>
        <w:pStyle w:val="ListParagraph"/>
        <w:numPr>
          <w:ilvl w:val="1"/>
          <w:numId w:val="9"/>
        </w:numPr>
        <w:spacing w:after="0"/>
      </w:pPr>
      <w:r w:rsidRPr="009C174F">
        <w:t>Add to the end of the sentence…. “</w:t>
      </w:r>
      <w:proofErr w:type="gramStart"/>
      <w:r w:rsidRPr="009C174F">
        <w:t>and</w:t>
      </w:r>
      <w:proofErr w:type="gramEnd"/>
      <w:r w:rsidRPr="009C174F">
        <w:t xml:space="preserve"> may be built to the edge of the property boundary”.</w:t>
      </w:r>
    </w:p>
    <w:p w14:paraId="084ED0BA" w14:textId="77777777" w:rsidR="009C174F" w:rsidRDefault="009C174F" w:rsidP="00736861">
      <w:pPr>
        <w:pStyle w:val="ListParagraph"/>
        <w:numPr>
          <w:ilvl w:val="1"/>
          <w:numId w:val="9"/>
        </w:numPr>
        <w:spacing w:after="0"/>
      </w:pPr>
      <w:r w:rsidRPr="009C174F">
        <w:t xml:space="preserve">New Guideline G12: “Uses such as place of assembly, office and hotel are encouraged to locate along the Hopkins Road frontage opposite the </w:t>
      </w:r>
      <w:proofErr w:type="spellStart"/>
      <w:r w:rsidRPr="009C174F">
        <w:t>Kororoit</w:t>
      </w:r>
      <w:proofErr w:type="spellEnd"/>
      <w:r w:rsidRPr="009C174F">
        <w:t xml:space="preserve"> LTC.” </w:t>
      </w:r>
    </w:p>
    <w:p w14:paraId="20159B31" w14:textId="7FDF7205" w:rsidR="009C174F" w:rsidRDefault="001B0FBE" w:rsidP="00736861">
      <w:pPr>
        <w:pStyle w:val="ListParagraph"/>
        <w:numPr>
          <w:ilvl w:val="1"/>
          <w:numId w:val="9"/>
        </w:numPr>
        <w:spacing w:after="0"/>
      </w:pPr>
      <w:r>
        <w:t xml:space="preserve">The </w:t>
      </w:r>
      <w:r w:rsidR="009C174F">
        <w:t>VPA understands that Council agrees to this update.</w:t>
      </w:r>
    </w:p>
    <w:p w14:paraId="7C33CFEF" w14:textId="77777777" w:rsidR="002B1668" w:rsidRPr="009C174F" w:rsidRDefault="002B1668" w:rsidP="00AF505E">
      <w:pPr>
        <w:pStyle w:val="ListParagraph"/>
        <w:spacing w:after="0"/>
        <w:ind w:left="1440"/>
      </w:pPr>
    </w:p>
    <w:p w14:paraId="39CA25A3" w14:textId="23921B57" w:rsidR="00C84F73" w:rsidRDefault="00C84F73" w:rsidP="00736861">
      <w:pPr>
        <w:pStyle w:val="ListParagraph"/>
        <w:numPr>
          <w:ilvl w:val="0"/>
          <w:numId w:val="9"/>
        </w:numPr>
        <w:spacing w:after="0"/>
        <w:ind w:left="1021" w:hanging="1021"/>
      </w:pPr>
      <w:r w:rsidRPr="00A73931">
        <w:t xml:space="preserve">Regarding </w:t>
      </w:r>
      <w:proofErr w:type="spellStart"/>
      <w:r w:rsidRPr="00A73931">
        <w:t>Gray</w:t>
      </w:r>
      <w:proofErr w:type="spellEnd"/>
      <w:r w:rsidRPr="00A73931">
        <w:t xml:space="preserve"> Court site (prop 29) VPA submit</w:t>
      </w:r>
      <w:r w:rsidR="00A411E9" w:rsidRPr="00A73931">
        <w:t>s</w:t>
      </w:r>
      <w:r w:rsidRPr="00A73931">
        <w:t xml:space="preserve"> no change is necessary to achieve the</w:t>
      </w:r>
      <w:r w:rsidR="00A411E9" w:rsidRPr="00A73931">
        <w:t xml:space="preserve"> submitter’s</w:t>
      </w:r>
      <w:r w:rsidRPr="00A73931">
        <w:t xml:space="preserve"> vision because </w:t>
      </w:r>
      <w:r w:rsidR="00A411E9" w:rsidRPr="00A73931">
        <w:t xml:space="preserve">the densities </w:t>
      </w:r>
      <w:r w:rsidRPr="00A73931">
        <w:t xml:space="preserve">are minimum densities.  </w:t>
      </w:r>
      <w:r w:rsidR="002B1668">
        <w:t>The l</w:t>
      </w:r>
      <w:r w:rsidRPr="00A73931">
        <w:t xml:space="preserve">ocal park can be moved at permit stage.   </w:t>
      </w:r>
    </w:p>
    <w:p w14:paraId="210C9D43" w14:textId="77777777" w:rsidR="009D7684" w:rsidRPr="00A73931" w:rsidRDefault="009D7684" w:rsidP="00AF505E">
      <w:pPr>
        <w:pStyle w:val="ListParagraph"/>
        <w:spacing w:after="0"/>
        <w:ind w:left="1021"/>
      </w:pPr>
    </w:p>
    <w:p w14:paraId="59C1906D" w14:textId="62B13894" w:rsidR="00171284" w:rsidRDefault="002B1668" w:rsidP="00736861">
      <w:pPr>
        <w:pStyle w:val="ListParagraph"/>
        <w:numPr>
          <w:ilvl w:val="0"/>
          <w:numId w:val="9"/>
        </w:numPr>
        <w:spacing w:after="0"/>
        <w:ind w:left="1021" w:hanging="1021"/>
      </w:pPr>
      <w:r>
        <w:t xml:space="preserve">The </w:t>
      </w:r>
      <w:r w:rsidR="00A411E9" w:rsidRPr="00A73931">
        <w:t xml:space="preserve">VPA supports Council’s counter-proposal to the revised plan prepared </w:t>
      </w:r>
      <w:r w:rsidR="00280F88">
        <w:t>by</w:t>
      </w:r>
      <w:r w:rsidR="00A411E9" w:rsidRPr="00A73931">
        <w:t xml:space="preserve"> Luzon Holdings (refer </w:t>
      </w:r>
      <w:r w:rsidR="00A411E9" w:rsidRPr="0073197B">
        <w:t xml:space="preserve">Appendix </w:t>
      </w:r>
      <w:r w:rsidR="00634A3B">
        <w:t>6</w:t>
      </w:r>
      <w:r w:rsidR="00A411E9" w:rsidRPr="00A73931">
        <w:t xml:space="preserve">) </w:t>
      </w:r>
      <w:r w:rsidR="009C174F">
        <w:t xml:space="preserve">(although </w:t>
      </w:r>
      <w:r>
        <w:t xml:space="preserve">the </w:t>
      </w:r>
      <w:r w:rsidR="009C174F">
        <w:t>VPA</w:t>
      </w:r>
      <w:r w:rsidR="00A411E9" w:rsidRPr="00A73931">
        <w:t xml:space="preserve"> notes that the owners of Property 11 are not a submitter to this Panel and the VPA has not been able to make contact with this landowner.</w:t>
      </w:r>
      <w:r w:rsidR="009C174F">
        <w:t>)</w:t>
      </w:r>
    </w:p>
    <w:p w14:paraId="4FC3AE90" w14:textId="77777777" w:rsidR="009D7684" w:rsidRDefault="009D7684" w:rsidP="00AF505E">
      <w:pPr>
        <w:pStyle w:val="ListParagraph"/>
        <w:spacing w:after="0"/>
        <w:ind w:left="1021"/>
      </w:pPr>
    </w:p>
    <w:p w14:paraId="1B12B0DD" w14:textId="7CE64845" w:rsidR="00C84F73" w:rsidRDefault="00171284" w:rsidP="00736861">
      <w:pPr>
        <w:pStyle w:val="ListParagraph"/>
        <w:numPr>
          <w:ilvl w:val="0"/>
          <w:numId w:val="9"/>
        </w:numPr>
        <w:spacing w:after="0"/>
        <w:ind w:left="1021" w:hanging="1021"/>
      </w:pPr>
      <w:r>
        <w:t xml:space="preserve">Luzon Holdings </w:t>
      </w:r>
      <w:r w:rsidR="006C54C5">
        <w:t>agrees</w:t>
      </w:r>
      <w:r>
        <w:t xml:space="preserve"> </w:t>
      </w:r>
      <w:r w:rsidR="006C54C5">
        <w:t xml:space="preserve">that </w:t>
      </w:r>
      <w:r>
        <w:t>Council’s proposal PSP version</w:t>
      </w:r>
      <w:r w:rsidR="00280F88">
        <w:t xml:space="preserve"> is appropriate</w:t>
      </w:r>
      <w:r>
        <w:t>.</w:t>
      </w:r>
    </w:p>
    <w:p w14:paraId="4C6BDEE3" w14:textId="77777777" w:rsidR="009D7684" w:rsidRPr="00A73931" w:rsidRDefault="009D7684" w:rsidP="00AF505E">
      <w:pPr>
        <w:pStyle w:val="ListParagraph"/>
        <w:spacing w:after="0"/>
        <w:ind w:left="1021"/>
      </w:pPr>
    </w:p>
    <w:p w14:paraId="62C6EF7E" w14:textId="77777777" w:rsidR="002B1668" w:rsidRDefault="006C54C5" w:rsidP="00736861">
      <w:pPr>
        <w:pStyle w:val="ListParagraph"/>
        <w:numPr>
          <w:ilvl w:val="0"/>
          <w:numId w:val="9"/>
        </w:numPr>
        <w:spacing w:after="0"/>
        <w:ind w:left="1021" w:hanging="1021"/>
      </w:pPr>
      <w:r>
        <w:t>In response to the question from Panel, t</w:t>
      </w:r>
      <w:r w:rsidR="009D7684">
        <w:t xml:space="preserve">he </w:t>
      </w:r>
      <w:r w:rsidR="00C84F73" w:rsidRPr="00A73931">
        <w:t xml:space="preserve">VPA </w:t>
      </w:r>
      <w:r w:rsidR="00A411E9" w:rsidRPr="00A73931">
        <w:t xml:space="preserve">notes that the distance between the northern part of the sports reserve (SR-08) and Taylors Rd </w:t>
      </w:r>
      <w:r w:rsidR="00A411E9" w:rsidRPr="009D7684">
        <w:t xml:space="preserve">is </w:t>
      </w:r>
      <w:r>
        <w:t>69</w:t>
      </w:r>
      <w:r w:rsidR="00A411E9" w:rsidRPr="009D7684">
        <w:t>m. This</w:t>
      </w:r>
      <w:r w:rsidR="00A411E9" w:rsidRPr="00A73931">
        <w:t xml:space="preserve"> is sufficient to provide a residential loop road (or service road</w:t>
      </w:r>
      <w:r>
        <w:t xml:space="preserve"> of width 12m</w:t>
      </w:r>
      <w:r w:rsidR="00A411E9" w:rsidRPr="00A73931">
        <w:t>); two lots</w:t>
      </w:r>
      <w:r>
        <w:t xml:space="preserve"> of 20.5m depth each</w:t>
      </w:r>
      <w:r w:rsidR="00A411E9" w:rsidRPr="00A73931">
        <w:t xml:space="preserve">; and a local road </w:t>
      </w:r>
      <w:r>
        <w:t xml:space="preserve">or 16m width abutting </w:t>
      </w:r>
      <w:r w:rsidR="00A411E9" w:rsidRPr="00A73931">
        <w:t>SR-08.</w:t>
      </w:r>
    </w:p>
    <w:p w14:paraId="6B1197AF" w14:textId="77777777" w:rsidR="002B1668" w:rsidRDefault="002B1668" w:rsidP="00AF505E">
      <w:pPr>
        <w:pStyle w:val="ListParagraph"/>
        <w:spacing w:after="0"/>
      </w:pPr>
    </w:p>
    <w:p w14:paraId="2237D5F3" w14:textId="4AADDE1C" w:rsidR="00B56F61" w:rsidRPr="00A73931" w:rsidRDefault="00B56F61" w:rsidP="00AF505E">
      <w:pPr>
        <w:pStyle w:val="Heading3"/>
      </w:pPr>
      <w:bookmarkStart w:id="40" w:name="_Toc469573676"/>
      <w:r w:rsidRPr="00A73931">
        <w:t>Property #10, Taylors R</w:t>
      </w:r>
      <w:r w:rsidR="00A719F7">
        <w:t>oa</w:t>
      </w:r>
      <w:r w:rsidRPr="00A73931">
        <w:t>d</w:t>
      </w:r>
      <w:bookmarkEnd w:id="40"/>
    </w:p>
    <w:p w14:paraId="012818CF" w14:textId="77777777" w:rsidR="002B1668" w:rsidRDefault="00B56F61" w:rsidP="00736861">
      <w:pPr>
        <w:pStyle w:val="ListParagraph"/>
        <w:numPr>
          <w:ilvl w:val="0"/>
          <w:numId w:val="9"/>
        </w:numPr>
        <w:spacing w:after="0"/>
        <w:ind w:left="1021" w:hanging="1021"/>
      </w:pPr>
      <w:r w:rsidRPr="00A73931">
        <w:t>In his evidence for Luzon holdings, citing a negative of the exhibited version, Mr Battaglia stated it is 700m between community facility and LTC, but conceded that at its closest it is 450m from community centre to LTC.</w:t>
      </w:r>
    </w:p>
    <w:p w14:paraId="613AF224" w14:textId="77777777" w:rsidR="002B1668" w:rsidRDefault="002B1668" w:rsidP="00AF505E">
      <w:pPr>
        <w:pStyle w:val="ListParagraph"/>
        <w:spacing w:after="0"/>
        <w:ind w:left="1021"/>
      </w:pPr>
    </w:p>
    <w:p w14:paraId="00F7C68B" w14:textId="77777777" w:rsidR="002B1668" w:rsidRDefault="002B1668" w:rsidP="00736861">
      <w:pPr>
        <w:pStyle w:val="ListParagraph"/>
        <w:numPr>
          <w:ilvl w:val="0"/>
          <w:numId w:val="9"/>
        </w:numPr>
        <w:spacing w:after="0"/>
        <w:ind w:left="1021" w:hanging="1021"/>
      </w:pPr>
      <w:r>
        <w:t xml:space="preserve">The </w:t>
      </w:r>
      <w:r w:rsidR="00B56F61" w:rsidRPr="00A73931">
        <w:t xml:space="preserve">VPA agrees there </w:t>
      </w:r>
      <w:r w:rsidR="00280F88">
        <w:t>is</w:t>
      </w:r>
      <w:r w:rsidR="00B56F61" w:rsidRPr="00A73931">
        <w:t xml:space="preserve"> some merit in re-locating the community centre to be adjacent (south of) the sports reserve</w:t>
      </w:r>
      <w:r w:rsidR="00066EDC">
        <w:t xml:space="preserve">, although this takes it </w:t>
      </w:r>
      <w:r w:rsidR="00066EDC" w:rsidRPr="00DA3D10">
        <w:t>further from the residential areas to the west which extend to the OMR.</w:t>
      </w:r>
    </w:p>
    <w:p w14:paraId="5BFA0DEB" w14:textId="77777777" w:rsidR="002B1668" w:rsidRDefault="002B1668" w:rsidP="00AF505E">
      <w:pPr>
        <w:pStyle w:val="ListParagraph"/>
        <w:spacing w:after="0"/>
      </w:pPr>
    </w:p>
    <w:p w14:paraId="025B6F92" w14:textId="77777777" w:rsidR="002B1668" w:rsidRDefault="00B56F61" w:rsidP="00736861">
      <w:pPr>
        <w:pStyle w:val="ListParagraph"/>
        <w:numPr>
          <w:ilvl w:val="0"/>
          <w:numId w:val="9"/>
        </w:numPr>
        <w:spacing w:after="0"/>
        <w:ind w:left="1021" w:hanging="1021"/>
      </w:pPr>
      <w:r w:rsidRPr="00A73931">
        <w:t xml:space="preserve">The exhibited PSP has co-located these facilities in most other locations, depending on local circumstances. </w:t>
      </w:r>
    </w:p>
    <w:p w14:paraId="4556F9C4" w14:textId="77777777" w:rsidR="002B1668" w:rsidRDefault="002B1668" w:rsidP="00AF505E">
      <w:pPr>
        <w:pStyle w:val="ListParagraph"/>
        <w:spacing w:after="0"/>
      </w:pPr>
    </w:p>
    <w:p w14:paraId="513CAED2" w14:textId="08D3EDD0" w:rsidR="00B56F61" w:rsidRDefault="002B1668" w:rsidP="00736861">
      <w:pPr>
        <w:pStyle w:val="ListParagraph"/>
        <w:numPr>
          <w:ilvl w:val="0"/>
          <w:numId w:val="9"/>
        </w:numPr>
        <w:spacing w:after="0"/>
        <w:ind w:left="1021" w:hanging="1021"/>
      </w:pPr>
      <w:r>
        <w:t xml:space="preserve">The </w:t>
      </w:r>
      <w:r w:rsidR="00B56F61" w:rsidRPr="00A73931">
        <w:t xml:space="preserve">VPA does not consider that indoor courts in the indoor recreation facility (which is likely to house 4 – 6 courts) on the south side of the connector would provide sufficient replacement for outdoor hard courts (8 – 10 courts). </w:t>
      </w:r>
    </w:p>
    <w:p w14:paraId="550BBE40" w14:textId="77777777" w:rsidR="002B1668" w:rsidRPr="00A73931" w:rsidRDefault="002B1668" w:rsidP="001B0FBE">
      <w:pPr>
        <w:spacing w:after="0"/>
      </w:pPr>
    </w:p>
    <w:p w14:paraId="2DCEFBEE" w14:textId="3B77F26F" w:rsidR="00023016" w:rsidRPr="0021131D" w:rsidRDefault="002B1668" w:rsidP="00AF505E">
      <w:pPr>
        <w:pStyle w:val="Heading2"/>
        <w:rPr>
          <w:b/>
        </w:rPr>
      </w:pPr>
      <w:bookmarkStart w:id="41" w:name="_Toc469573677"/>
      <w:r>
        <w:t xml:space="preserve">4.11 </w:t>
      </w:r>
      <w:r w:rsidR="00023016" w:rsidRPr="0021131D">
        <w:t>Submission 6</w:t>
      </w:r>
      <w:r w:rsidR="00023016" w:rsidRPr="0021131D">
        <w:rPr>
          <w:spacing w:val="-2"/>
        </w:rPr>
        <w:t xml:space="preserve"> </w:t>
      </w:r>
      <w:r w:rsidR="00A719F7">
        <w:rPr>
          <w:spacing w:val="-2"/>
        </w:rPr>
        <w:t>(</w:t>
      </w:r>
      <w:proofErr w:type="spellStart"/>
      <w:r w:rsidR="00A719F7">
        <w:rPr>
          <w:spacing w:val="-2"/>
        </w:rPr>
        <w:t>Plumpton</w:t>
      </w:r>
      <w:proofErr w:type="spellEnd"/>
      <w:r w:rsidR="00A719F7">
        <w:rPr>
          <w:spacing w:val="-2"/>
        </w:rPr>
        <w:t xml:space="preserve">) </w:t>
      </w:r>
      <w:r w:rsidR="00023016" w:rsidRPr="0021131D">
        <w:t>–</w:t>
      </w:r>
      <w:r w:rsidR="00023016" w:rsidRPr="0021131D">
        <w:rPr>
          <w:spacing w:val="-2"/>
        </w:rPr>
        <w:t xml:space="preserve"> </w:t>
      </w:r>
      <w:r w:rsidR="00023016" w:rsidRPr="0021131D">
        <w:t>Urban Design &amp;</w:t>
      </w:r>
      <w:r w:rsidR="00023016" w:rsidRPr="0021131D">
        <w:rPr>
          <w:spacing w:val="-2"/>
        </w:rPr>
        <w:t xml:space="preserve"> </w:t>
      </w:r>
      <w:r w:rsidR="00023016" w:rsidRPr="0021131D">
        <w:t xml:space="preserve">Management (on behalf of </w:t>
      </w:r>
      <w:r w:rsidR="00023016" w:rsidRPr="0021131D">
        <w:rPr>
          <w:spacing w:val="-2"/>
        </w:rPr>
        <w:t>L&amp;G</w:t>
      </w:r>
      <w:r w:rsidR="00023016" w:rsidRPr="0021131D">
        <w:t xml:space="preserve"> </w:t>
      </w:r>
      <w:proofErr w:type="spellStart"/>
      <w:r w:rsidR="00023016" w:rsidRPr="0021131D">
        <w:t>Failli</w:t>
      </w:r>
      <w:proofErr w:type="spellEnd"/>
      <w:r w:rsidR="00023016" w:rsidRPr="0021131D">
        <w:t>)</w:t>
      </w:r>
      <w:bookmarkEnd w:id="41"/>
    </w:p>
    <w:p w14:paraId="44C5E823" w14:textId="77777777" w:rsidR="009D7684" w:rsidRDefault="00023016" w:rsidP="00AF505E">
      <w:pPr>
        <w:pStyle w:val="BodyText"/>
        <w:spacing w:line="276" w:lineRule="auto"/>
        <w:rPr>
          <w:rFonts w:asciiTheme="minorHAnsi" w:hAnsiTheme="minorHAnsi"/>
          <w:spacing w:val="-1"/>
        </w:rPr>
      </w:pPr>
      <w:r w:rsidRPr="0021131D">
        <w:rPr>
          <w:rFonts w:asciiTheme="minorHAnsi" w:hAnsiTheme="minorHAnsi"/>
          <w:b/>
          <w:bCs/>
          <w:spacing w:val="-1"/>
        </w:rPr>
        <w:t>Address:</w:t>
      </w:r>
      <w:r w:rsidRPr="0021131D">
        <w:rPr>
          <w:rFonts w:asciiTheme="minorHAnsi" w:hAnsiTheme="minorHAnsi"/>
          <w:b/>
          <w:bCs/>
          <w:spacing w:val="-3"/>
        </w:rPr>
        <w:t xml:space="preserve"> </w:t>
      </w:r>
      <w:r w:rsidRPr="0021131D">
        <w:rPr>
          <w:rFonts w:asciiTheme="minorHAnsi" w:hAnsiTheme="minorHAnsi"/>
          <w:spacing w:val="-1"/>
        </w:rPr>
        <w:t>1056 Taylors</w:t>
      </w:r>
      <w:r w:rsidRPr="0021131D">
        <w:rPr>
          <w:rFonts w:asciiTheme="minorHAnsi" w:hAnsiTheme="minorHAnsi"/>
          <w:spacing w:val="-2"/>
        </w:rPr>
        <w:t xml:space="preserve"> Road</w:t>
      </w:r>
      <w:r w:rsidR="009D7684">
        <w:rPr>
          <w:rFonts w:asciiTheme="minorHAnsi" w:hAnsiTheme="minorHAnsi"/>
          <w:spacing w:val="-1"/>
        </w:rPr>
        <w:t xml:space="preserve"> /#48</w:t>
      </w:r>
    </w:p>
    <w:p w14:paraId="5215AE99" w14:textId="77777777" w:rsidR="009D7684" w:rsidRDefault="009D7684" w:rsidP="00AF505E">
      <w:pPr>
        <w:pStyle w:val="BodyText"/>
        <w:spacing w:line="276" w:lineRule="auto"/>
        <w:rPr>
          <w:rFonts w:asciiTheme="minorHAnsi" w:hAnsiTheme="minorHAnsi"/>
          <w:spacing w:val="-1"/>
        </w:rPr>
      </w:pPr>
    </w:p>
    <w:p w14:paraId="4C6315C8" w14:textId="510BD0F0" w:rsidR="009D7684" w:rsidRPr="002B1668" w:rsidRDefault="005F6D9C" w:rsidP="00736861">
      <w:pPr>
        <w:pStyle w:val="ListParagraph"/>
        <w:numPr>
          <w:ilvl w:val="0"/>
          <w:numId w:val="9"/>
        </w:numPr>
        <w:spacing w:after="0"/>
        <w:ind w:left="1021" w:hanging="1021"/>
      </w:pPr>
      <w:r w:rsidRPr="002B1668">
        <w:lastRenderedPageBreak/>
        <w:t>Refer responses re</w:t>
      </w:r>
      <w:r w:rsidR="00C84F73" w:rsidRPr="002B1668">
        <w:t>garding</w:t>
      </w:r>
      <w:r w:rsidR="00A719F7">
        <w:t xml:space="preserve"> the</w:t>
      </w:r>
      <w:r w:rsidR="001B0FBE">
        <w:t xml:space="preserve"> </w:t>
      </w:r>
      <w:r w:rsidRPr="002B1668">
        <w:t>ICP and residential zones in general sections above</w:t>
      </w:r>
      <w:r w:rsidR="009D7684" w:rsidRPr="002B1668">
        <w:t>.</w:t>
      </w:r>
    </w:p>
    <w:p w14:paraId="21A4EF9C" w14:textId="77777777" w:rsidR="009D7684" w:rsidRPr="009D7684" w:rsidRDefault="009D7684" w:rsidP="00AF505E">
      <w:pPr>
        <w:spacing w:after="0"/>
        <w:rPr>
          <w:rFonts w:cs="Arial"/>
          <w:noProof/>
        </w:rPr>
      </w:pPr>
    </w:p>
    <w:p w14:paraId="26C3361B" w14:textId="617E0AFA" w:rsidR="00B56F61" w:rsidRPr="00F56957" w:rsidRDefault="002B1668" w:rsidP="00AF505E">
      <w:pPr>
        <w:pStyle w:val="Heading2"/>
      </w:pPr>
      <w:bookmarkStart w:id="42" w:name="_Toc469573678"/>
      <w:r>
        <w:t xml:space="preserve">4.12 </w:t>
      </w:r>
      <w:r w:rsidR="00B56F61" w:rsidRPr="00F56957">
        <w:t>Submission 19</w:t>
      </w:r>
      <w:r w:rsidR="00A719F7">
        <w:t xml:space="preserve"> (</w:t>
      </w:r>
      <w:proofErr w:type="spellStart"/>
      <w:r w:rsidR="00A719F7">
        <w:t>Plumpton</w:t>
      </w:r>
      <w:proofErr w:type="spellEnd"/>
      <w:r w:rsidR="00A719F7">
        <w:t>)</w:t>
      </w:r>
      <w:r w:rsidR="00B56F61" w:rsidRPr="00F56957">
        <w:rPr>
          <w:spacing w:val="-2"/>
        </w:rPr>
        <w:t xml:space="preserve"> </w:t>
      </w:r>
      <w:r w:rsidR="00B56F61" w:rsidRPr="00F56957">
        <w:t>–</w:t>
      </w:r>
      <w:r w:rsidR="00B56F61" w:rsidRPr="00F56957">
        <w:rPr>
          <w:spacing w:val="-2"/>
        </w:rPr>
        <w:t xml:space="preserve"> </w:t>
      </w:r>
      <w:proofErr w:type="spellStart"/>
      <w:r w:rsidR="00B56F61" w:rsidRPr="00F56957">
        <w:t>Gadens</w:t>
      </w:r>
      <w:proofErr w:type="spellEnd"/>
      <w:r w:rsidR="00B56F61" w:rsidRPr="00F56957">
        <w:t xml:space="preserve"> Lawyers (on behalf of </w:t>
      </w:r>
      <w:proofErr w:type="spellStart"/>
      <w:r w:rsidR="00B56F61" w:rsidRPr="00F56957">
        <w:t>Dahua</w:t>
      </w:r>
      <w:proofErr w:type="spellEnd"/>
      <w:r w:rsidR="00B56F61" w:rsidRPr="00F56957">
        <w:rPr>
          <w:spacing w:val="-3"/>
        </w:rPr>
        <w:t xml:space="preserve"> </w:t>
      </w:r>
      <w:proofErr w:type="spellStart"/>
      <w:r w:rsidR="00B56F61" w:rsidRPr="00F56957">
        <w:t>Dacland</w:t>
      </w:r>
      <w:proofErr w:type="spellEnd"/>
      <w:r w:rsidR="00B56F61" w:rsidRPr="00F56957">
        <w:rPr>
          <w:spacing w:val="-3"/>
        </w:rPr>
        <w:t xml:space="preserve"> </w:t>
      </w:r>
      <w:proofErr w:type="spellStart"/>
      <w:r w:rsidR="00B56F61" w:rsidRPr="00F56957">
        <w:t>Plumpton</w:t>
      </w:r>
      <w:proofErr w:type="spellEnd"/>
      <w:r w:rsidR="00B56F61" w:rsidRPr="00F56957">
        <w:t xml:space="preserve"> P/L)</w:t>
      </w:r>
      <w:bookmarkEnd w:id="42"/>
      <w:r w:rsidR="00A719F7">
        <w:t xml:space="preserve"> </w:t>
      </w:r>
    </w:p>
    <w:p w14:paraId="29FF7B1C" w14:textId="77777777" w:rsidR="00B56F61" w:rsidRDefault="00B56F61" w:rsidP="00AF505E">
      <w:pPr>
        <w:pStyle w:val="BodyText"/>
        <w:spacing w:line="276" w:lineRule="auto"/>
        <w:rPr>
          <w:rFonts w:asciiTheme="minorHAnsi" w:hAnsiTheme="minorHAnsi"/>
          <w:spacing w:val="-1"/>
        </w:rPr>
      </w:pPr>
      <w:r w:rsidRPr="003F5261">
        <w:rPr>
          <w:rFonts w:asciiTheme="minorHAnsi" w:hAnsiTheme="minorHAnsi"/>
          <w:b/>
          <w:bCs/>
          <w:spacing w:val="-1"/>
        </w:rPr>
        <w:t>Address:</w:t>
      </w:r>
      <w:r w:rsidRPr="003F5261">
        <w:rPr>
          <w:rFonts w:asciiTheme="minorHAnsi" w:hAnsiTheme="minorHAnsi"/>
          <w:b/>
          <w:bCs/>
          <w:spacing w:val="-3"/>
        </w:rPr>
        <w:t xml:space="preserve"> </w:t>
      </w:r>
      <w:r w:rsidRPr="003F5261">
        <w:rPr>
          <w:rFonts w:asciiTheme="minorHAnsi" w:hAnsiTheme="minorHAnsi"/>
          <w:spacing w:val="-1"/>
        </w:rPr>
        <w:t xml:space="preserve">235-311 </w:t>
      </w:r>
      <w:proofErr w:type="spellStart"/>
      <w:r w:rsidRPr="003F5261">
        <w:rPr>
          <w:rFonts w:asciiTheme="minorHAnsi" w:hAnsiTheme="minorHAnsi"/>
          <w:spacing w:val="-1"/>
        </w:rPr>
        <w:t>Beattys</w:t>
      </w:r>
      <w:proofErr w:type="spellEnd"/>
      <w:r w:rsidRPr="003F5261">
        <w:rPr>
          <w:rFonts w:asciiTheme="minorHAnsi" w:hAnsiTheme="minorHAnsi"/>
          <w:spacing w:val="-5"/>
        </w:rPr>
        <w:t xml:space="preserve"> </w:t>
      </w:r>
      <w:r w:rsidRPr="003F5261">
        <w:rPr>
          <w:rFonts w:asciiTheme="minorHAnsi" w:hAnsiTheme="minorHAnsi"/>
        </w:rPr>
        <w:t>Road</w:t>
      </w:r>
      <w:r w:rsidRPr="003F5261">
        <w:rPr>
          <w:rFonts w:asciiTheme="minorHAnsi" w:hAnsiTheme="minorHAnsi"/>
          <w:spacing w:val="-1"/>
        </w:rPr>
        <w:t xml:space="preserve"> (#28); 365-389</w:t>
      </w:r>
      <w:r w:rsidRPr="003F5261">
        <w:rPr>
          <w:rFonts w:asciiTheme="minorHAnsi" w:hAnsiTheme="minorHAnsi"/>
          <w:spacing w:val="1"/>
        </w:rPr>
        <w:t xml:space="preserve"> </w:t>
      </w:r>
      <w:proofErr w:type="spellStart"/>
      <w:r w:rsidRPr="003F5261">
        <w:rPr>
          <w:rFonts w:asciiTheme="minorHAnsi" w:hAnsiTheme="minorHAnsi"/>
          <w:spacing w:val="-2"/>
        </w:rPr>
        <w:t>Beattys</w:t>
      </w:r>
      <w:proofErr w:type="spellEnd"/>
      <w:r w:rsidRPr="003F5261">
        <w:rPr>
          <w:rFonts w:asciiTheme="minorHAnsi" w:hAnsiTheme="minorHAnsi"/>
        </w:rPr>
        <w:t xml:space="preserve"> Rd</w:t>
      </w:r>
      <w:r w:rsidRPr="003F5261">
        <w:rPr>
          <w:rFonts w:asciiTheme="minorHAnsi" w:hAnsiTheme="minorHAnsi"/>
          <w:spacing w:val="-1"/>
        </w:rPr>
        <w:t xml:space="preserve"> (#31); 391-413 </w:t>
      </w:r>
      <w:proofErr w:type="spellStart"/>
      <w:r w:rsidRPr="003F5261">
        <w:rPr>
          <w:rFonts w:asciiTheme="minorHAnsi" w:hAnsiTheme="minorHAnsi"/>
          <w:spacing w:val="-1"/>
        </w:rPr>
        <w:t>Beattys</w:t>
      </w:r>
      <w:proofErr w:type="spellEnd"/>
      <w:r w:rsidRPr="003F5261">
        <w:rPr>
          <w:rFonts w:asciiTheme="minorHAnsi" w:hAnsiTheme="minorHAnsi"/>
          <w:spacing w:val="-2"/>
        </w:rPr>
        <w:t xml:space="preserve"> </w:t>
      </w:r>
      <w:r w:rsidRPr="003F5261">
        <w:rPr>
          <w:rFonts w:asciiTheme="minorHAnsi" w:hAnsiTheme="minorHAnsi"/>
        </w:rPr>
        <w:t>Rd</w:t>
      </w:r>
      <w:r w:rsidRPr="003F5261">
        <w:rPr>
          <w:rFonts w:asciiTheme="minorHAnsi" w:hAnsiTheme="minorHAnsi"/>
          <w:spacing w:val="-1"/>
        </w:rPr>
        <w:t xml:space="preserve"> (#32)</w:t>
      </w:r>
    </w:p>
    <w:p w14:paraId="08CB2223" w14:textId="77777777" w:rsidR="006159F9" w:rsidRDefault="006159F9" w:rsidP="00AF505E">
      <w:pPr>
        <w:spacing w:after="0"/>
      </w:pPr>
    </w:p>
    <w:p w14:paraId="075455F6" w14:textId="69164CD2" w:rsidR="002B1668" w:rsidRDefault="006159F9" w:rsidP="00736861">
      <w:pPr>
        <w:pStyle w:val="ListParagraph"/>
        <w:numPr>
          <w:ilvl w:val="0"/>
          <w:numId w:val="9"/>
        </w:numPr>
        <w:spacing w:after="0"/>
        <w:ind w:left="1021" w:hanging="1021"/>
      </w:pPr>
      <w:r w:rsidRPr="002B1668">
        <w:t xml:space="preserve">The VPA submits the Panel </w:t>
      </w:r>
      <w:r w:rsidR="00FD4738" w:rsidRPr="002B1668">
        <w:t>ought to</w:t>
      </w:r>
      <w:r w:rsidRPr="002B1668">
        <w:t xml:space="preserve"> make the following recommendations in respect of th</w:t>
      </w:r>
      <w:r w:rsidR="002B1668">
        <w:t>e submissions of this submitter.</w:t>
      </w:r>
    </w:p>
    <w:p w14:paraId="480A4BAE" w14:textId="77777777" w:rsidR="002B1668" w:rsidRDefault="002B1668" w:rsidP="00AF505E">
      <w:pPr>
        <w:pStyle w:val="ListParagraph"/>
        <w:spacing w:after="0"/>
        <w:ind w:left="1021"/>
      </w:pPr>
    </w:p>
    <w:p w14:paraId="0B148426" w14:textId="50F633AB" w:rsidR="00DD54A9" w:rsidRDefault="006159F9" w:rsidP="00DD54A9">
      <w:pPr>
        <w:pStyle w:val="Heading3"/>
      </w:pPr>
      <w:bookmarkStart w:id="43" w:name="_Toc469573679"/>
      <w:r>
        <w:t>Re</w:t>
      </w:r>
      <w:r w:rsidR="00DD54A9">
        <w:t>-configuration of community hub</w:t>
      </w:r>
      <w:bookmarkEnd w:id="43"/>
      <w:r>
        <w:t xml:space="preserve"> </w:t>
      </w:r>
    </w:p>
    <w:p w14:paraId="719067AF" w14:textId="43D474A9" w:rsidR="002B1668" w:rsidRDefault="00DD54A9" w:rsidP="00736861">
      <w:pPr>
        <w:pStyle w:val="ListParagraph"/>
        <w:numPr>
          <w:ilvl w:val="0"/>
          <w:numId w:val="9"/>
        </w:numPr>
        <w:spacing w:after="0"/>
        <w:ind w:left="1021" w:hanging="1021"/>
      </w:pPr>
      <w:r>
        <w:t xml:space="preserve">The </w:t>
      </w:r>
      <w:r w:rsidR="006159F9">
        <w:t xml:space="preserve">VPA supports revised </w:t>
      </w:r>
      <w:proofErr w:type="spellStart"/>
      <w:r w:rsidR="006159F9">
        <w:t>Dahua</w:t>
      </w:r>
      <w:proofErr w:type="spellEnd"/>
      <w:r w:rsidR="006159F9">
        <w:t xml:space="preserve"> </w:t>
      </w:r>
      <w:proofErr w:type="spellStart"/>
      <w:r w:rsidR="006159F9">
        <w:t>Dacland</w:t>
      </w:r>
      <w:proofErr w:type="spellEnd"/>
      <w:r w:rsidR="006159F9">
        <w:t xml:space="preserve"> community hub proposal (re-drawn by</w:t>
      </w:r>
      <w:r w:rsidR="002B1668">
        <w:t xml:space="preserve"> the</w:t>
      </w:r>
      <w:r w:rsidR="006159F9">
        <w:t xml:space="preserve"> VPA in Appendix </w:t>
      </w:r>
      <w:r w:rsidR="00B32F05">
        <w:t>7</w:t>
      </w:r>
      <w:r w:rsidR="006159F9">
        <w:t>)</w:t>
      </w:r>
      <w:r w:rsidR="00756ED8">
        <w:t>. The VPA notes the Panel’s question whether the community centre could be moved further west to collocate with the town centre. VPA submits this would not be appropriate as it would not service communities to the east as conveniently.</w:t>
      </w:r>
    </w:p>
    <w:p w14:paraId="67B715C8" w14:textId="77777777" w:rsidR="002B1668" w:rsidRDefault="002B1668" w:rsidP="00AF505E">
      <w:pPr>
        <w:pStyle w:val="ListParagraph"/>
        <w:spacing w:after="0"/>
      </w:pPr>
    </w:p>
    <w:p w14:paraId="632D6E80" w14:textId="754E3053" w:rsidR="00CB6D97" w:rsidRDefault="00CB6D97" w:rsidP="00CB6D97">
      <w:pPr>
        <w:pStyle w:val="ListParagraph"/>
        <w:numPr>
          <w:ilvl w:val="1"/>
          <w:numId w:val="8"/>
        </w:numPr>
        <w:spacing w:after="0" w:line="240" w:lineRule="auto"/>
      </w:pPr>
      <w:r>
        <w:t xml:space="preserve">VPA notes that the Panel queries whether </w:t>
      </w:r>
      <w:r w:rsidR="00FD4738">
        <w:t>the connector</w:t>
      </w:r>
      <w:r>
        <w:t xml:space="preserve"> road </w:t>
      </w:r>
      <w:r w:rsidR="00FD4738">
        <w:t>ought to</w:t>
      </w:r>
      <w:r>
        <w:t xml:space="preserve"> </w:t>
      </w:r>
      <w:r w:rsidR="00FD4738">
        <w:t>continue straight</w:t>
      </w:r>
      <w:r>
        <w:t xml:space="preserve"> up to east of aquatic centre, to provide a further north-south connection. VPA does not object to this.</w:t>
      </w:r>
    </w:p>
    <w:p w14:paraId="2728CC2C" w14:textId="77777777" w:rsidR="00CB6D97" w:rsidRDefault="00CB6D97" w:rsidP="00AF505E">
      <w:pPr>
        <w:pStyle w:val="ListParagraph"/>
        <w:spacing w:after="0"/>
      </w:pPr>
    </w:p>
    <w:p w14:paraId="328E25D8" w14:textId="2B309B94" w:rsidR="00DD54A9" w:rsidRDefault="00DD54A9" w:rsidP="00DD54A9">
      <w:pPr>
        <w:pStyle w:val="Heading3"/>
      </w:pPr>
      <w:bookmarkStart w:id="44" w:name="_Toc469573680"/>
      <w:r>
        <w:t>Alignment of Hume Drive</w:t>
      </w:r>
      <w:bookmarkEnd w:id="44"/>
    </w:p>
    <w:p w14:paraId="1644A4B6" w14:textId="488C4AA4" w:rsidR="002B1668" w:rsidRDefault="006159F9" w:rsidP="00736861">
      <w:pPr>
        <w:pStyle w:val="ListParagraph"/>
        <w:numPr>
          <w:ilvl w:val="0"/>
          <w:numId w:val="9"/>
        </w:numPr>
        <w:spacing w:after="0"/>
        <w:ind w:left="1021" w:hanging="1021"/>
      </w:pPr>
      <w:r>
        <w:t xml:space="preserve">VPA does not support </w:t>
      </w:r>
      <w:proofErr w:type="spellStart"/>
      <w:r>
        <w:t>Dahua</w:t>
      </w:r>
      <w:proofErr w:type="spellEnd"/>
      <w:r>
        <w:t xml:space="preserve"> </w:t>
      </w:r>
      <w:proofErr w:type="spellStart"/>
      <w:r>
        <w:t>Dacland’s</w:t>
      </w:r>
      <w:proofErr w:type="spellEnd"/>
      <w:r>
        <w:t xml:space="preserve"> proposal to realign this. </w:t>
      </w:r>
      <w:r w:rsidR="002B1668">
        <w:t xml:space="preserve">The </w:t>
      </w:r>
      <w:r>
        <w:t xml:space="preserve">VPA supports slight re-alignment proposed by </w:t>
      </w:r>
      <w:proofErr w:type="spellStart"/>
      <w:r>
        <w:t>Failli</w:t>
      </w:r>
      <w:proofErr w:type="spellEnd"/>
      <w:r>
        <w:t xml:space="preserve"> (refer </w:t>
      </w:r>
      <w:r w:rsidRPr="0073197B">
        <w:t xml:space="preserve">Appendix </w:t>
      </w:r>
      <w:r w:rsidR="00B32F05">
        <w:t>8</w:t>
      </w:r>
      <w:r>
        <w:t xml:space="preserve">) as this removes the undevelopable “triangle” of land left remnant on </w:t>
      </w:r>
      <w:proofErr w:type="spellStart"/>
      <w:r>
        <w:t>Falli</w:t>
      </w:r>
      <w:proofErr w:type="spellEnd"/>
      <w:r>
        <w:t xml:space="preserve"> land. There is very little impact of this on the </w:t>
      </w:r>
      <w:proofErr w:type="spellStart"/>
      <w:r>
        <w:t>Dahua</w:t>
      </w:r>
      <w:proofErr w:type="spellEnd"/>
      <w:r>
        <w:t xml:space="preserve"> </w:t>
      </w:r>
      <w:proofErr w:type="spellStart"/>
      <w:r>
        <w:t>Dacland</w:t>
      </w:r>
      <w:proofErr w:type="spellEnd"/>
      <w:r>
        <w:t xml:space="preserve"> land – it does not leave an undevelopable triangle and it is fair that landowners contribute to ICP land. There are no traffic implications of either option.</w:t>
      </w:r>
    </w:p>
    <w:p w14:paraId="7085E4A0" w14:textId="77777777" w:rsidR="002B1668" w:rsidRDefault="002B1668" w:rsidP="00AF505E">
      <w:pPr>
        <w:pStyle w:val="ListParagraph"/>
        <w:spacing w:after="0"/>
      </w:pPr>
    </w:p>
    <w:p w14:paraId="1B40086C" w14:textId="65007F17" w:rsidR="00DD54A9" w:rsidRDefault="006159F9" w:rsidP="00DD54A9">
      <w:pPr>
        <w:pStyle w:val="Heading3"/>
      </w:pPr>
      <w:bookmarkStart w:id="45" w:name="_Toc469573681"/>
      <w:r>
        <w:t>Gas pipeline e</w:t>
      </w:r>
      <w:r w:rsidR="00DD54A9">
        <w:t>asement interface – Appendix H</w:t>
      </w:r>
      <w:bookmarkEnd w:id="45"/>
    </w:p>
    <w:p w14:paraId="4C41D428" w14:textId="40B2825D" w:rsidR="006159F9" w:rsidRDefault="002B1668" w:rsidP="00736861">
      <w:pPr>
        <w:pStyle w:val="ListParagraph"/>
        <w:numPr>
          <w:ilvl w:val="0"/>
          <w:numId w:val="9"/>
        </w:numPr>
        <w:spacing w:after="0"/>
        <w:ind w:left="1021" w:hanging="1021"/>
      </w:pPr>
      <w:r>
        <w:t xml:space="preserve">The </w:t>
      </w:r>
      <w:r w:rsidR="006159F9">
        <w:t xml:space="preserve">VPA submits Panel should adopt recommendation of </w:t>
      </w:r>
      <w:proofErr w:type="spellStart"/>
      <w:r w:rsidR="006159F9">
        <w:t>Dacland</w:t>
      </w:r>
      <w:proofErr w:type="spellEnd"/>
      <w:r w:rsidR="006159F9">
        <w:t xml:space="preserve"> to introduce reference to trees but not hard landscaping (</w:t>
      </w:r>
      <w:r>
        <w:t>i.e.</w:t>
      </w:r>
      <w:r w:rsidR="006159F9">
        <w:t xml:space="preserve"> street furniture). This reference would be added to G48 (</w:t>
      </w:r>
      <w:proofErr w:type="spellStart"/>
      <w:r w:rsidR="006159F9">
        <w:t>Plumpton</w:t>
      </w:r>
      <w:proofErr w:type="spellEnd"/>
      <w:r w:rsidR="006159F9">
        <w:t>) and G40 (</w:t>
      </w:r>
      <w:proofErr w:type="spellStart"/>
      <w:r w:rsidR="006159F9">
        <w:t>Kororoit</w:t>
      </w:r>
      <w:proofErr w:type="spellEnd"/>
      <w:r w:rsidR="006159F9">
        <w:t>) by way of a second dot point as follows:</w:t>
      </w:r>
    </w:p>
    <w:p w14:paraId="2BD1A916" w14:textId="2EDA916C" w:rsidR="002B1668" w:rsidRDefault="006159F9" w:rsidP="00736861">
      <w:pPr>
        <w:pStyle w:val="ListParagraph"/>
        <w:numPr>
          <w:ilvl w:val="1"/>
          <w:numId w:val="9"/>
        </w:numPr>
        <w:spacing w:after="0"/>
      </w:pPr>
      <w:r w:rsidRPr="002B1668">
        <w:t>hard landscaping (</w:t>
      </w:r>
      <w:r w:rsidR="002B1668" w:rsidRPr="002B1668">
        <w:t>e.g.</w:t>
      </w:r>
      <w:r w:rsidRPr="002B1668">
        <w:t xml:space="preserve"> street furniture) and small trees may be included provided sight lines between signs indicating the location of the pipe are not obscured and compliance with mandated pipeline clearances is achieved (APA agrees to this wording).</w:t>
      </w:r>
    </w:p>
    <w:p w14:paraId="1209B4F4" w14:textId="77777777" w:rsidR="002B1668" w:rsidRDefault="002B1668" w:rsidP="00AF505E">
      <w:pPr>
        <w:pStyle w:val="ListParagraph"/>
        <w:spacing w:after="0"/>
        <w:ind w:left="1440"/>
      </w:pPr>
    </w:p>
    <w:p w14:paraId="4A43023F" w14:textId="77777777" w:rsidR="00DD54A9" w:rsidRDefault="006159F9" w:rsidP="00DD54A9">
      <w:pPr>
        <w:pStyle w:val="Heading3"/>
      </w:pPr>
      <w:bookmarkStart w:id="46" w:name="_Toc469573682"/>
      <w:r>
        <w:t xml:space="preserve">Local park </w:t>
      </w:r>
      <w:r w:rsidR="00DD54A9">
        <w:t>text</w:t>
      </w:r>
      <w:bookmarkEnd w:id="46"/>
    </w:p>
    <w:p w14:paraId="513EA20C" w14:textId="09A32DE8" w:rsidR="002B1668" w:rsidRDefault="002B1668" w:rsidP="00736861">
      <w:pPr>
        <w:pStyle w:val="ListParagraph"/>
        <w:numPr>
          <w:ilvl w:val="0"/>
          <w:numId w:val="9"/>
        </w:numPr>
        <w:spacing w:after="0"/>
        <w:ind w:left="1021" w:hanging="1021"/>
      </w:pPr>
      <w:r>
        <w:t xml:space="preserve">The </w:t>
      </w:r>
      <w:r w:rsidR="006159F9">
        <w:t xml:space="preserve">VPA agrees to </w:t>
      </w:r>
      <w:r w:rsidR="002761AC">
        <w:t xml:space="preserve">the </w:t>
      </w:r>
      <w:r w:rsidR="006159F9">
        <w:t xml:space="preserve">local park wording which adds to R42 the words ‘generally’ before in “accordance with”. </w:t>
      </w:r>
      <w:r w:rsidR="00A719F7">
        <w:t xml:space="preserve">The </w:t>
      </w:r>
      <w:r w:rsidR="006159F9">
        <w:t xml:space="preserve">VPA does not support wording to add ‘approximately’ to the local park area, as the intent of this part of the requirement is that the local park area should not be reduced. </w:t>
      </w:r>
      <w:r w:rsidR="006159F9" w:rsidRPr="00570D59">
        <w:t xml:space="preserve"> </w:t>
      </w:r>
      <w:r w:rsidR="00756ED8">
        <w:t xml:space="preserve">Mr Day agreed that there is flexibility in the location of the local park. He had not undertaken an assessment of the 400m walkable catchment. In the circumstances the Panel ought </w:t>
      </w:r>
      <w:proofErr w:type="gramStart"/>
      <w:r w:rsidR="00756ED8">
        <w:t>not</w:t>
      </w:r>
      <w:proofErr w:type="gramEnd"/>
      <w:r w:rsidR="00756ED8">
        <w:t xml:space="preserve"> recommend any change to the location proposed by VPA.</w:t>
      </w:r>
    </w:p>
    <w:p w14:paraId="04B794D6" w14:textId="77777777" w:rsidR="002B1668" w:rsidRDefault="002B1668" w:rsidP="00AF505E">
      <w:pPr>
        <w:pStyle w:val="ListParagraph"/>
        <w:spacing w:after="0"/>
        <w:ind w:left="1021"/>
      </w:pPr>
    </w:p>
    <w:p w14:paraId="4C2BD362" w14:textId="360A3F0B" w:rsidR="00DD54A9" w:rsidRDefault="00DD54A9" w:rsidP="00DD54A9">
      <w:pPr>
        <w:pStyle w:val="Heading3"/>
      </w:pPr>
      <w:bookmarkStart w:id="47" w:name="_Toc469573683"/>
      <w:r>
        <w:lastRenderedPageBreak/>
        <w:t>Beatty’s Road</w:t>
      </w:r>
      <w:bookmarkEnd w:id="47"/>
    </w:p>
    <w:p w14:paraId="7D85A4C8" w14:textId="023F299B" w:rsidR="002761AC" w:rsidRDefault="006159F9" w:rsidP="00736861">
      <w:pPr>
        <w:pStyle w:val="ListParagraph"/>
        <w:numPr>
          <w:ilvl w:val="0"/>
          <w:numId w:val="9"/>
        </w:numPr>
        <w:spacing w:after="0"/>
        <w:ind w:left="1021" w:hanging="1021"/>
      </w:pPr>
      <w:r>
        <w:t xml:space="preserve">We note that Mr Day’s evidence for </w:t>
      </w:r>
      <w:proofErr w:type="spellStart"/>
      <w:r>
        <w:t>Dahua</w:t>
      </w:r>
      <w:proofErr w:type="spellEnd"/>
      <w:r>
        <w:t xml:space="preserve"> </w:t>
      </w:r>
      <w:proofErr w:type="spellStart"/>
      <w:r>
        <w:t>Dacland</w:t>
      </w:r>
      <w:proofErr w:type="spellEnd"/>
      <w:r>
        <w:t xml:space="preserve"> supports </w:t>
      </w:r>
      <w:r w:rsidR="00A719F7">
        <w:t xml:space="preserve">the </w:t>
      </w:r>
      <w:r>
        <w:t xml:space="preserve">VPA’s approach to </w:t>
      </w:r>
      <w:proofErr w:type="spellStart"/>
      <w:r>
        <w:t>Beattys</w:t>
      </w:r>
      <w:proofErr w:type="spellEnd"/>
      <w:r>
        <w:t xml:space="preserve"> Road linear reserve, including that removal of lo</w:t>
      </w:r>
      <w:r w:rsidR="002B1668">
        <w:t>cal parks is acceptable. Mr Day</w:t>
      </w:r>
      <w:r>
        <w:t xml:space="preserve"> stated that the real value of Beatty’s Road is in a linear trail connection for walking and cycling. </w:t>
      </w:r>
    </w:p>
    <w:p w14:paraId="6DD54EAA" w14:textId="77777777" w:rsidR="002761AC" w:rsidRDefault="002761AC" w:rsidP="00AF505E">
      <w:pPr>
        <w:pStyle w:val="ListParagraph"/>
        <w:spacing w:after="0"/>
      </w:pPr>
    </w:p>
    <w:p w14:paraId="443455BD" w14:textId="23722609" w:rsidR="00DD54A9" w:rsidRDefault="00DD54A9" w:rsidP="00DD54A9">
      <w:pPr>
        <w:pStyle w:val="Heading3"/>
      </w:pPr>
      <w:bookmarkStart w:id="48" w:name="_Toc469573684"/>
      <w:r>
        <w:t>Width of drainage reserves</w:t>
      </w:r>
      <w:bookmarkEnd w:id="48"/>
    </w:p>
    <w:p w14:paraId="1F77EAEF" w14:textId="2807898B" w:rsidR="002761AC" w:rsidRDefault="002761AC" w:rsidP="00736861">
      <w:pPr>
        <w:pStyle w:val="ListParagraph"/>
        <w:numPr>
          <w:ilvl w:val="0"/>
          <w:numId w:val="9"/>
        </w:numPr>
        <w:spacing w:after="0"/>
        <w:ind w:left="1021" w:hanging="1021"/>
      </w:pPr>
      <w:r>
        <w:t xml:space="preserve">The </w:t>
      </w:r>
      <w:r w:rsidR="006159F9">
        <w:t xml:space="preserve">VPA does not agree to reduction of drainage reserve width from 60m to 45m as proposed by </w:t>
      </w:r>
      <w:proofErr w:type="spellStart"/>
      <w:r w:rsidR="006159F9">
        <w:t>Dahua</w:t>
      </w:r>
      <w:proofErr w:type="spellEnd"/>
      <w:r w:rsidR="006159F9">
        <w:t xml:space="preserve"> </w:t>
      </w:r>
      <w:proofErr w:type="spellStart"/>
      <w:r w:rsidR="006159F9">
        <w:t>Dacland</w:t>
      </w:r>
      <w:proofErr w:type="spellEnd"/>
      <w:r w:rsidR="006159F9">
        <w:t xml:space="preserve">, but does note that further detailed design is to satisfaction of Melbourne Water may reduce widths (as per note on Plan 10). </w:t>
      </w:r>
    </w:p>
    <w:p w14:paraId="01B1EFBA" w14:textId="77777777" w:rsidR="002761AC" w:rsidRDefault="002761AC" w:rsidP="00AF505E">
      <w:pPr>
        <w:pStyle w:val="ListParagraph"/>
        <w:spacing w:after="0"/>
      </w:pPr>
    </w:p>
    <w:p w14:paraId="5A733962" w14:textId="77777777" w:rsidR="002761AC" w:rsidRDefault="002761AC" w:rsidP="00736861">
      <w:pPr>
        <w:pStyle w:val="ListParagraph"/>
        <w:numPr>
          <w:ilvl w:val="0"/>
          <w:numId w:val="9"/>
        </w:numPr>
        <w:spacing w:after="0"/>
        <w:ind w:left="1021" w:hanging="1021"/>
      </w:pPr>
      <w:r>
        <w:t xml:space="preserve">The </w:t>
      </w:r>
      <w:r w:rsidR="006159F9">
        <w:t xml:space="preserve">VPA does not agree to update the note wording on Plan 10 as requested by </w:t>
      </w:r>
      <w:proofErr w:type="spellStart"/>
      <w:r w:rsidR="006159F9">
        <w:t>Dahua</w:t>
      </w:r>
      <w:proofErr w:type="spellEnd"/>
      <w:r w:rsidR="006159F9">
        <w:t xml:space="preserve"> </w:t>
      </w:r>
      <w:proofErr w:type="spellStart"/>
      <w:r w:rsidR="006159F9">
        <w:t>Dacland</w:t>
      </w:r>
      <w:proofErr w:type="spellEnd"/>
      <w:r w:rsidR="006159F9">
        <w:t>. Melbourne Water does not support this change and is satisfied that the existing wording p</w:t>
      </w:r>
      <w:r w:rsidR="006159F9" w:rsidRPr="00D6269A">
        <w:t xml:space="preserve">rovides the required design flexibility for developers whilst maintaining a robust Development Services Scheme (DSS) which can be applied to </w:t>
      </w:r>
      <w:proofErr w:type="spellStart"/>
      <w:r w:rsidR="006159F9" w:rsidRPr="00D6269A">
        <w:t>stormwater</w:t>
      </w:r>
      <w:proofErr w:type="spellEnd"/>
      <w:r w:rsidR="006159F9" w:rsidRPr="00D6269A">
        <w:t xml:space="preserve"> assets across the entire catchment (PSP).</w:t>
      </w:r>
      <w:r w:rsidR="006159F9">
        <w:t xml:space="preserve"> </w:t>
      </w:r>
    </w:p>
    <w:p w14:paraId="2A570051" w14:textId="77777777" w:rsidR="002761AC" w:rsidRDefault="002761AC" w:rsidP="00AF505E">
      <w:pPr>
        <w:pStyle w:val="ListParagraph"/>
        <w:spacing w:after="0"/>
      </w:pPr>
    </w:p>
    <w:p w14:paraId="562A207A" w14:textId="59C60ED4" w:rsidR="002761AC" w:rsidRPr="00DD54A9" w:rsidRDefault="006159F9" w:rsidP="00736861">
      <w:pPr>
        <w:pStyle w:val="ListParagraph"/>
        <w:numPr>
          <w:ilvl w:val="0"/>
          <w:numId w:val="9"/>
        </w:numPr>
        <w:spacing w:after="0"/>
        <w:ind w:left="1021" w:hanging="1021"/>
      </w:pPr>
      <w:r w:rsidRPr="00DD54A9">
        <w:t xml:space="preserve">Urban Floodway Zone treatment – </w:t>
      </w:r>
      <w:r w:rsidR="00280F88" w:rsidRPr="00DD54A9">
        <w:t>Refer</w:t>
      </w:r>
      <w:r w:rsidR="00DD54A9" w:rsidRPr="00DD54A9">
        <w:t xml:space="preserve"> to Section 2.6 Dealing with Urban Floodway Zone.</w:t>
      </w:r>
    </w:p>
    <w:p w14:paraId="0ECA818D" w14:textId="77777777" w:rsidR="00DD54A9" w:rsidRDefault="00DD54A9" w:rsidP="00DD54A9">
      <w:pPr>
        <w:spacing w:after="0"/>
      </w:pPr>
    </w:p>
    <w:p w14:paraId="1CED1222" w14:textId="7DA73B1B" w:rsidR="00DD54A9" w:rsidRDefault="00DD54A9" w:rsidP="00DD54A9">
      <w:pPr>
        <w:pStyle w:val="Heading3"/>
      </w:pPr>
      <w:bookmarkStart w:id="49" w:name="_Toc469573685"/>
      <w:r>
        <w:t>Bridge PBR-02</w:t>
      </w:r>
      <w:bookmarkEnd w:id="49"/>
    </w:p>
    <w:p w14:paraId="07A9105D" w14:textId="2EA35114" w:rsidR="002761AC" w:rsidRDefault="00DD54A9" w:rsidP="00736861">
      <w:pPr>
        <w:pStyle w:val="ListParagraph"/>
        <w:numPr>
          <w:ilvl w:val="0"/>
          <w:numId w:val="9"/>
        </w:numPr>
        <w:spacing w:after="0"/>
        <w:ind w:left="1021" w:hanging="1021"/>
      </w:pPr>
      <w:r>
        <w:t>T</w:t>
      </w:r>
      <w:r w:rsidR="002761AC">
        <w:t xml:space="preserve">he </w:t>
      </w:r>
      <w:r w:rsidR="006159F9">
        <w:t xml:space="preserve">VPA does not agree to delete this bridge. Bridge provides access to </w:t>
      </w:r>
      <w:proofErr w:type="gramStart"/>
      <w:r w:rsidR="006159F9">
        <w:t>local park</w:t>
      </w:r>
      <w:proofErr w:type="gramEnd"/>
      <w:r w:rsidR="006159F9">
        <w:t xml:space="preserve"> LP-10 and connects residents west of creek to the school </w:t>
      </w:r>
      <w:r w:rsidR="006159F9" w:rsidRPr="00DD54A9">
        <w:t>and community centre to the</w:t>
      </w:r>
      <w:r w:rsidRPr="00DD54A9">
        <w:t xml:space="preserve"> east.</w:t>
      </w:r>
      <w:r w:rsidR="006159F9">
        <w:t xml:space="preserve"> </w:t>
      </w:r>
    </w:p>
    <w:p w14:paraId="6CFEDA7E" w14:textId="77777777" w:rsidR="0024686D" w:rsidRDefault="0024686D" w:rsidP="00736861">
      <w:pPr>
        <w:pStyle w:val="ListParagraph"/>
        <w:numPr>
          <w:ilvl w:val="0"/>
          <w:numId w:val="9"/>
        </w:numPr>
        <w:spacing w:after="0"/>
        <w:ind w:left="1021" w:hanging="1021"/>
      </w:pPr>
    </w:p>
    <w:p w14:paraId="7F072074" w14:textId="77777777" w:rsidR="00CB6D97" w:rsidRDefault="00CB6D97" w:rsidP="0073197B">
      <w:pPr>
        <w:pStyle w:val="ListParagraph"/>
        <w:numPr>
          <w:ilvl w:val="0"/>
          <w:numId w:val="9"/>
        </w:numPr>
        <w:spacing w:after="0"/>
        <w:ind w:left="1021" w:hanging="1021"/>
      </w:pPr>
      <w:r>
        <w:t>VPA notes that Table 7 also states criteria about location of LP-10 (which states under attributes that: “Located adjacent to waterway. Includes a pedestrian bridge across the waterway to increase its accessibility”). VPA thus recognises that the park may have a flexible location but emphasises in the PSP as exhibited that the bridge connection/ location is intrinsically linked to the local park location.</w:t>
      </w:r>
    </w:p>
    <w:p w14:paraId="4A6E2826" w14:textId="24AC2674" w:rsidR="00CB6D97" w:rsidRDefault="00CB6D97" w:rsidP="0073197B">
      <w:pPr>
        <w:pStyle w:val="ListParagraph"/>
        <w:numPr>
          <w:ilvl w:val="0"/>
          <w:numId w:val="9"/>
        </w:numPr>
        <w:spacing w:after="0"/>
        <w:ind w:left="1021" w:hanging="1021"/>
      </w:pPr>
      <w:r>
        <w:t xml:space="preserve">Mr Day agreed under cross examination that LP-10 </w:t>
      </w:r>
      <w:r w:rsidR="0024686D">
        <w:t xml:space="preserve">services demand from </w:t>
      </w:r>
      <w:r>
        <w:t>people on both sides of the creek.</w:t>
      </w:r>
    </w:p>
    <w:p w14:paraId="2A4A7C9F" w14:textId="77777777" w:rsidR="002761AC" w:rsidRDefault="002761AC" w:rsidP="0073197B">
      <w:pPr>
        <w:pStyle w:val="ListParagraph"/>
        <w:numPr>
          <w:ilvl w:val="0"/>
          <w:numId w:val="9"/>
        </w:numPr>
        <w:spacing w:after="0"/>
        <w:ind w:left="1021" w:hanging="1021"/>
      </w:pPr>
    </w:p>
    <w:p w14:paraId="390166DC" w14:textId="491847D9" w:rsidR="002761AC" w:rsidRDefault="006159F9" w:rsidP="00736861">
      <w:pPr>
        <w:pStyle w:val="ListParagraph"/>
        <w:numPr>
          <w:ilvl w:val="0"/>
          <w:numId w:val="9"/>
        </w:numPr>
        <w:spacing w:after="0"/>
        <w:ind w:left="1021" w:hanging="1021"/>
      </w:pPr>
      <w:r>
        <w:t xml:space="preserve">Note </w:t>
      </w:r>
      <w:proofErr w:type="spellStart"/>
      <w:r>
        <w:t>Dacland</w:t>
      </w:r>
      <w:proofErr w:type="spellEnd"/>
      <w:r>
        <w:t xml:space="preserve"> did not raise any issues in their submission in relation to residential zones and densities.</w:t>
      </w:r>
    </w:p>
    <w:p w14:paraId="2B647736" w14:textId="08110D76" w:rsidR="002761AC" w:rsidRDefault="0024686D" w:rsidP="0073197B">
      <w:pPr>
        <w:pStyle w:val="ListParagraph"/>
        <w:tabs>
          <w:tab w:val="left" w:pos="2030"/>
        </w:tabs>
        <w:spacing w:after="0"/>
      </w:pPr>
      <w:r>
        <w:tab/>
      </w:r>
    </w:p>
    <w:p w14:paraId="79073D60" w14:textId="55470C2B" w:rsidR="006159F9" w:rsidRDefault="006159F9" w:rsidP="00736861">
      <w:pPr>
        <w:pStyle w:val="ListParagraph"/>
        <w:numPr>
          <w:ilvl w:val="0"/>
          <w:numId w:val="9"/>
        </w:numPr>
        <w:spacing w:after="0"/>
        <w:ind w:left="1021" w:hanging="1021"/>
      </w:pPr>
      <w:proofErr w:type="spellStart"/>
      <w:r>
        <w:t>Dacland</w:t>
      </w:r>
      <w:proofErr w:type="spellEnd"/>
      <w:r>
        <w:t xml:space="preserve"> supports </w:t>
      </w:r>
      <w:r w:rsidR="002761AC">
        <w:t xml:space="preserve">the </w:t>
      </w:r>
      <w:r>
        <w:t xml:space="preserve">VPA view that the approval of the PSP should not be delayed until a full ICP has been prepared.  </w:t>
      </w:r>
    </w:p>
    <w:p w14:paraId="6319D34B" w14:textId="77777777" w:rsidR="006159F9" w:rsidRDefault="006159F9" w:rsidP="00AF505E">
      <w:pPr>
        <w:spacing w:after="0" w:line="240" w:lineRule="auto"/>
      </w:pPr>
    </w:p>
    <w:p w14:paraId="6708F62A" w14:textId="77777777" w:rsidR="006159F9" w:rsidRDefault="006159F9" w:rsidP="00AF505E">
      <w:pPr>
        <w:spacing w:after="0" w:line="240" w:lineRule="auto"/>
      </w:pPr>
    </w:p>
    <w:p w14:paraId="0A93C4E4" w14:textId="55865C94" w:rsidR="00B56F61" w:rsidRPr="0020235B" w:rsidRDefault="002761AC" w:rsidP="00AF505E">
      <w:pPr>
        <w:pStyle w:val="Heading2"/>
        <w:rPr>
          <w:rFonts w:cs="Arial"/>
          <w:b/>
          <w:noProof/>
          <w:color w:val="0070C0"/>
          <w:u w:val="single"/>
        </w:rPr>
      </w:pPr>
      <w:bookmarkStart w:id="50" w:name="_Toc469573686"/>
      <w:r>
        <w:t xml:space="preserve">4.13 </w:t>
      </w:r>
      <w:r w:rsidR="00B56F61" w:rsidRPr="0021131D">
        <w:t>Submission 9</w:t>
      </w:r>
      <w:r w:rsidR="001B0FBE">
        <w:t xml:space="preserve"> (</w:t>
      </w:r>
      <w:proofErr w:type="spellStart"/>
      <w:r w:rsidR="001B0FBE">
        <w:t>Kororoit</w:t>
      </w:r>
      <w:proofErr w:type="spellEnd"/>
      <w:r w:rsidR="001B0FBE">
        <w:t>)</w:t>
      </w:r>
      <w:r w:rsidR="00B56F61" w:rsidRPr="0021131D">
        <w:t xml:space="preserve"> – </w:t>
      </w:r>
      <w:proofErr w:type="spellStart"/>
      <w:r w:rsidR="00B56F61" w:rsidRPr="0021131D">
        <w:t>Moremac</w:t>
      </w:r>
      <w:proofErr w:type="spellEnd"/>
      <w:r w:rsidR="00B56F61">
        <w:t xml:space="preserve"> Property Group P/L</w:t>
      </w:r>
      <w:bookmarkEnd w:id="50"/>
    </w:p>
    <w:p w14:paraId="70248F90" w14:textId="77777777" w:rsidR="002761AC" w:rsidRDefault="00B56F61" w:rsidP="00AF505E">
      <w:pPr>
        <w:spacing w:after="0" w:line="276" w:lineRule="auto"/>
        <w:rPr>
          <w:rFonts w:cs="Arial"/>
          <w:noProof/>
        </w:rPr>
      </w:pPr>
      <w:r w:rsidRPr="0061415D">
        <w:rPr>
          <w:rFonts w:cs="Arial"/>
          <w:b/>
          <w:noProof/>
        </w:rPr>
        <w:t xml:space="preserve">Address: </w:t>
      </w:r>
      <w:r w:rsidRPr="0061415D">
        <w:rPr>
          <w:rFonts w:cs="Arial"/>
          <w:noProof/>
        </w:rPr>
        <w:t>624-648 Neale Rd (#48); 139 Gray Crt (#43); 140-182 Gray Crt (#39); 130-138 Gray Crt (#35); 104-192 Deanside Dve (#33); 46-102 Deanside Dve (#37); 2-44 Deanside Dve (#40); and, 61-99 Deanside Dve (#32)</w:t>
      </w:r>
    </w:p>
    <w:p w14:paraId="53FE03FA" w14:textId="77777777" w:rsidR="002761AC" w:rsidRDefault="002761AC" w:rsidP="00AF505E">
      <w:pPr>
        <w:spacing w:after="0" w:line="276" w:lineRule="auto"/>
        <w:rPr>
          <w:rFonts w:cs="Arial"/>
          <w:noProof/>
        </w:rPr>
      </w:pPr>
    </w:p>
    <w:p w14:paraId="3CF1D7E9" w14:textId="35B1EDE2" w:rsidR="0069278A" w:rsidRPr="00A719F7" w:rsidRDefault="0069278A" w:rsidP="00736861">
      <w:pPr>
        <w:pStyle w:val="ListParagraph"/>
        <w:numPr>
          <w:ilvl w:val="0"/>
          <w:numId w:val="9"/>
        </w:numPr>
        <w:spacing w:after="0"/>
        <w:ind w:left="1021" w:hanging="1021"/>
      </w:pPr>
      <w:r w:rsidRPr="00A719F7">
        <w:t xml:space="preserve">The VPA submits the Panel ought make the following recommendations in respect of the submissions </w:t>
      </w:r>
      <w:r w:rsidR="00A719F7">
        <w:t>made by this</w:t>
      </w:r>
      <w:r w:rsidRPr="00A719F7">
        <w:t xml:space="preserve"> submitter:</w:t>
      </w:r>
    </w:p>
    <w:p w14:paraId="4A6A46EE" w14:textId="77777777" w:rsidR="00DD54A9" w:rsidRDefault="00DD54A9" w:rsidP="00A719F7">
      <w:pPr>
        <w:pStyle w:val="Heading3"/>
        <w:rPr>
          <w:noProof/>
        </w:rPr>
      </w:pPr>
    </w:p>
    <w:p w14:paraId="0D7DBCA4" w14:textId="70ED9B89" w:rsidR="00A719F7" w:rsidRPr="00B32F05" w:rsidRDefault="00A719F7" w:rsidP="00736861">
      <w:pPr>
        <w:pStyle w:val="ListParagraph"/>
        <w:numPr>
          <w:ilvl w:val="0"/>
          <w:numId w:val="9"/>
        </w:numPr>
        <w:spacing w:after="0"/>
        <w:ind w:left="1021" w:hanging="1021"/>
      </w:pPr>
      <w:r w:rsidRPr="00A719F7">
        <w:t>T</w:t>
      </w:r>
      <w:r w:rsidR="0069278A" w:rsidRPr="00A719F7">
        <w:t xml:space="preserve">here is insufficient basis to require retention or interpretation of heritage features so this will now be proposed in the PSP as a local road (level 1). Council and </w:t>
      </w:r>
      <w:proofErr w:type="spellStart"/>
      <w:r w:rsidR="0069278A" w:rsidRPr="00A719F7">
        <w:t>Moremac</w:t>
      </w:r>
      <w:proofErr w:type="spellEnd"/>
      <w:r w:rsidR="0069278A" w:rsidRPr="00A719F7">
        <w:t xml:space="preserve"> support this.</w:t>
      </w:r>
      <w:r w:rsidR="0069278A" w:rsidRPr="00A719F7">
        <w:rPr>
          <w:rFonts w:cs="Arial"/>
          <w:noProof/>
        </w:rPr>
        <w:t xml:space="preserve">SR-09 to be 10 ha extending from Deanside Drive to north-south connector, as per </w:t>
      </w:r>
      <w:r w:rsidR="0069278A" w:rsidRPr="00B32F05">
        <w:rPr>
          <w:rFonts w:cs="Arial"/>
          <w:noProof/>
        </w:rPr>
        <w:t>Moremac submission.</w:t>
      </w:r>
    </w:p>
    <w:p w14:paraId="2DCB273A" w14:textId="77777777" w:rsidR="00A719F7" w:rsidRPr="0073197B" w:rsidRDefault="00A719F7" w:rsidP="00A719F7">
      <w:pPr>
        <w:pStyle w:val="ListParagraph"/>
        <w:rPr>
          <w:color w:val="000000"/>
        </w:rPr>
      </w:pPr>
    </w:p>
    <w:p w14:paraId="5DCE4D7A" w14:textId="77777777" w:rsidR="00A719F7" w:rsidRPr="00B32F05" w:rsidRDefault="00A719F7" w:rsidP="00736861">
      <w:pPr>
        <w:pStyle w:val="ListParagraph"/>
        <w:numPr>
          <w:ilvl w:val="0"/>
          <w:numId w:val="9"/>
        </w:numPr>
        <w:spacing w:after="0"/>
        <w:ind w:left="1021" w:hanging="1021"/>
      </w:pPr>
      <w:r w:rsidRPr="0073197B">
        <w:rPr>
          <w:color w:val="000000"/>
        </w:rPr>
        <w:t xml:space="preserve">The </w:t>
      </w:r>
      <w:r w:rsidR="0069278A" w:rsidRPr="0073197B">
        <w:rPr>
          <w:color w:val="000000"/>
        </w:rPr>
        <w:t>VPA will update Plan 10 - Integrated Water Management to indicate overland flow path (&gt; 1 in 100 year) across western edge SR-09.</w:t>
      </w:r>
    </w:p>
    <w:p w14:paraId="7F3E8EAC" w14:textId="77777777" w:rsidR="00A719F7" w:rsidRPr="0073197B" w:rsidRDefault="00A719F7" w:rsidP="00A719F7">
      <w:pPr>
        <w:pStyle w:val="ListParagraph"/>
        <w:rPr>
          <w:color w:val="000000"/>
        </w:rPr>
      </w:pPr>
    </w:p>
    <w:p w14:paraId="38E9D12F" w14:textId="77777777" w:rsidR="00A719F7" w:rsidRPr="00B32F05" w:rsidRDefault="0069278A" w:rsidP="00736861">
      <w:pPr>
        <w:pStyle w:val="ListParagraph"/>
        <w:numPr>
          <w:ilvl w:val="0"/>
          <w:numId w:val="9"/>
        </w:numPr>
        <w:spacing w:after="0"/>
        <w:ind w:left="1021" w:hanging="1021"/>
      </w:pPr>
      <w:r w:rsidRPr="0073197B">
        <w:rPr>
          <w:color w:val="000000"/>
        </w:rPr>
        <w:t>Retain pedestrian/ cyclist bridge PBR-08 as an ICP item</w:t>
      </w:r>
    </w:p>
    <w:p w14:paraId="245A41B7" w14:textId="77777777" w:rsidR="00A719F7" w:rsidRPr="0073197B" w:rsidRDefault="00A719F7" w:rsidP="00A719F7">
      <w:pPr>
        <w:pStyle w:val="ListParagraph"/>
        <w:rPr>
          <w:color w:val="000000"/>
        </w:rPr>
      </w:pPr>
    </w:p>
    <w:p w14:paraId="5820D9E2" w14:textId="4F3F164D" w:rsidR="00A719F7" w:rsidRPr="00B32F05" w:rsidRDefault="0069278A" w:rsidP="00736861">
      <w:pPr>
        <w:pStyle w:val="ListParagraph"/>
        <w:numPr>
          <w:ilvl w:val="0"/>
          <w:numId w:val="9"/>
        </w:numPr>
        <w:spacing w:after="0"/>
        <w:ind w:left="1021" w:hanging="1021"/>
      </w:pPr>
      <w:r w:rsidRPr="0073197B">
        <w:rPr>
          <w:color w:val="000000"/>
        </w:rPr>
        <w:t xml:space="preserve">Update Clause 4.2 as per </w:t>
      </w:r>
      <w:r w:rsidR="00122F45" w:rsidRPr="0073197B">
        <w:rPr>
          <w:color w:val="000000"/>
        </w:rPr>
        <w:t xml:space="preserve">the </w:t>
      </w:r>
      <w:r w:rsidRPr="0073197B">
        <w:rPr>
          <w:color w:val="000000"/>
        </w:rPr>
        <w:t>VPA and Council agreed wording</w:t>
      </w:r>
    </w:p>
    <w:p w14:paraId="43E564A1" w14:textId="77777777" w:rsidR="00A719F7" w:rsidRPr="0073197B" w:rsidRDefault="00A719F7" w:rsidP="00A719F7">
      <w:pPr>
        <w:pStyle w:val="ListParagraph"/>
        <w:rPr>
          <w:color w:val="000000"/>
        </w:rPr>
      </w:pPr>
    </w:p>
    <w:p w14:paraId="5DB764E3" w14:textId="7F5390C2" w:rsidR="0069278A" w:rsidRPr="00B32F05" w:rsidRDefault="0069278A" w:rsidP="00736861">
      <w:pPr>
        <w:pStyle w:val="ListParagraph"/>
        <w:numPr>
          <w:ilvl w:val="0"/>
          <w:numId w:val="9"/>
        </w:numPr>
        <w:spacing w:after="0"/>
        <w:ind w:left="1021" w:hanging="1021"/>
      </w:pPr>
      <w:r w:rsidRPr="0073197B">
        <w:rPr>
          <w:color w:val="000000"/>
        </w:rPr>
        <w:t xml:space="preserve">Retain R26 regarding non-government schools as per </w:t>
      </w:r>
      <w:proofErr w:type="spellStart"/>
      <w:r w:rsidRPr="0073197B">
        <w:rPr>
          <w:color w:val="000000"/>
        </w:rPr>
        <w:t>Rockbank</w:t>
      </w:r>
      <w:proofErr w:type="spellEnd"/>
      <w:r w:rsidRPr="0073197B">
        <w:rPr>
          <w:color w:val="000000"/>
        </w:rPr>
        <w:t xml:space="preserve"> and Mt Atkinson and Tarneit Plains PSPs</w:t>
      </w:r>
    </w:p>
    <w:p w14:paraId="2C4E844A" w14:textId="77777777" w:rsidR="00A719F7" w:rsidRPr="00B32F05" w:rsidRDefault="00A719F7" w:rsidP="00AF505E">
      <w:pPr>
        <w:spacing w:after="0"/>
        <w:rPr>
          <w:rFonts w:cs="Arial"/>
          <w:noProof/>
        </w:rPr>
      </w:pPr>
    </w:p>
    <w:p w14:paraId="5FA64C74" w14:textId="64E38F97" w:rsidR="0069278A" w:rsidRPr="0073197B" w:rsidRDefault="0069278A" w:rsidP="00122F45">
      <w:pPr>
        <w:pStyle w:val="Heading3"/>
        <w:rPr>
          <w:rFonts w:asciiTheme="minorHAnsi" w:hAnsiTheme="minorHAnsi"/>
          <w:noProof/>
          <w:sz w:val="22"/>
          <w:szCs w:val="22"/>
        </w:rPr>
      </w:pPr>
      <w:bookmarkStart w:id="51" w:name="_Toc469573687"/>
      <w:r w:rsidRPr="0073197B">
        <w:rPr>
          <w:rFonts w:asciiTheme="minorHAnsi" w:hAnsiTheme="minorHAnsi"/>
          <w:noProof/>
          <w:sz w:val="22"/>
          <w:szCs w:val="22"/>
        </w:rPr>
        <w:t>Overland flow path</w:t>
      </w:r>
      <w:r w:rsidR="00122F45" w:rsidRPr="0073197B">
        <w:rPr>
          <w:rFonts w:asciiTheme="minorHAnsi" w:hAnsiTheme="minorHAnsi"/>
          <w:noProof/>
          <w:sz w:val="22"/>
          <w:szCs w:val="22"/>
        </w:rPr>
        <w:t xml:space="preserve"> (north of SR-09)</w:t>
      </w:r>
      <w:bookmarkEnd w:id="51"/>
    </w:p>
    <w:p w14:paraId="09CFDEE0" w14:textId="6674D5B2" w:rsidR="0069278A" w:rsidRPr="0073197B" w:rsidRDefault="0069278A" w:rsidP="00736861">
      <w:pPr>
        <w:pStyle w:val="ListParagraph"/>
        <w:numPr>
          <w:ilvl w:val="0"/>
          <w:numId w:val="9"/>
        </w:numPr>
        <w:spacing w:after="0"/>
        <w:ind w:left="1021" w:hanging="1021"/>
        <w:rPr>
          <w:color w:val="000000"/>
        </w:rPr>
      </w:pPr>
      <w:r w:rsidRPr="0073197B">
        <w:rPr>
          <w:color w:val="000000"/>
        </w:rPr>
        <w:t xml:space="preserve">Melbourne Water does not agree to the reduction in width of the greater than 1 in 100 overland flow from 30m to 10m (refer Melbourne Water letter in Appendix </w:t>
      </w:r>
      <w:r w:rsidR="00231FD1">
        <w:rPr>
          <w:color w:val="000000"/>
        </w:rPr>
        <w:t>9</w:t>
      </w:r>
      <w:r w:rsidRPr="0073197B">
        <w:rPr>
          <w:color w:val="000000"/>
        </w:rPr>
        <w:t>).</w:t>
      </w:r>
    </w:p>
    <w:p w14:paraId="7E0BCAAE" w14:textId="77777777" w:rsidR="00122F45" w:rsidRPr="00B32F05" w:rsidRDefault="00122F45" w:rsidP="00122F45">
      <w:pPr>
        <w:pStyle w:val="ListParagraph"/>
        <w:spacing w:after="0"/>
        <w:rPr>
          <w:rFonts w:cs="Arial"/>
          <w:noProof/>
        </w:rPr>
      </w:pPr>
    </w:p>
    <w:p w14:paraId="06A5FDF6" w14:textId="53645F5A" w:rsidR="0069278A" w:rsidRPr="0073197B" w:rsidRDefault="00122F45" w:rsidP="00736861">
      <w:pPr>
        <w:pStyle w:val="ListParagraph"/>
        <w:numPr>
          <w:ilvl w:val="0"/>
          <w:numId w:val="9"/>
        </w:numPr>
        <w:spacing w:after="0"/>
        <w:ind w:left="1021" w:hanging="1021"/>
        <w:rPr>
          <w:color w:val="000000"/>
        </w:rPr>
      </w:pPr>
      <w:r w:rsidRPr="0073197B">
        <w:rPr>
          <w:color w:val="000000"/>
        </w:rPr>
        <w:t xml:space="preserve">The </w:t>
      </w:r>
      <w:r w:rsidR="0069278A" w:rsidRPr="0073197B">
        <w:rPr>
          <w:color w:val="000000"/>
        </w:rPr>
        <w:t xml:space="preserve">VPA supports this </w:t>
      </w:r>
      <w:r w:rsidR="00784A1F">
        <w:rPr>
          <w:color w:val="000000"/>
        </w:rPr>
        <w:t xml:space="preserve">30m width </w:t>
      </w:r>
      <w:r w:rsidR="0069278A" w:rsidRPr="0073197B">
        <w:rPr>
          <w:color w:val="000000"/>
        </w:rPr>
        <w:t xml:space="preserve">being located across the western edge of SR-09, and submits that this could be incorporated with the sports reserve as per </w:t>
      </w:r>
      <w:r w:rsidR="00DD54A9" w:rsidRPr="0073197B">
        <w:rPr>
          <w:color w:val="000000"/>
        </w:rPr>
        <w:t>Document #87</w:t>
      </w:r>
      <w:r w:rsidR="0069278A" w:rsidRPr="0073197B">
        <w:rPr>
          <w:color w:val="000000"/>
        </w:rPr>
        <w:t xml:space="preserve">. Note that </w:t>
      </w:r>
      <w:r w:rsidRPr="0073197B">
        <w:rPr>
          <w:color w:val="000000"/>
        </w:rPr>
        <w:t xml:space="preserve">the </w:t>
      </w:r>
      <w:r w:rsidR="0069278A" w:rsidRPr="0073197B">
        <w:rPr>
          <w:color w:val="000000"/>
        </w:rPr>
        <w:t>VPA does not propose to include this</w:t>
      </w:r>
      <w:r w:rsidR="00784A1F">
        <w:rPr>
          <w:color w:val="000000"/>
        </w:rPr>
        <w:t xml:space="preserve"> precise</w:t>
      </w:r>
      <w:r w:rsidR="0069278A" w:rsidRPr="0073197B">
        <w:rPr>
          <w:color w:val="000000"/>
        </w:rPr>
        <w:t xml:space="preserve"> configuration in the PSP as there could be other configurations which better suit local recreational needs in future. </w:t>
      </w:r>
    </w:p>
    <w:p w14:paraId="0B24C7B2" w14:textId="77777777" w:rsidR="00122F45" w:rsidRPr="0073197B" w:rsidRDefault="00122F45" w:rsidP="00122F45">
      <w:pPr>
        <w:pStyle w:val="ListParagraph"/>
        <w:spacing w:after="0"/>
        <w:ind w:left="1021"/>
        <w:rPr>
          <w:color w:val="000000"/>
        </w:rPr>
      </w:pPr>
    </w:p>
    <w:p w14:paraId="290C7DE4" w14:textId="60D7BB73" w:rsidR="0069278A" w:rsidRPr="0073197B" w:rsidRDefault="0069278A" w:rsidP="00736861">
      <w:pPr>
        <w:pStyle w:val="ListParagraph"/>
        <w:numPr>
          <w:ilvl w:val="0"/>
          <w:numId w:val="9"/>
        </w:numPr>
        <w:spacing w:after="0"/>
        <w:ind w:left="1021" w:hanging="1021"/>
        <w:rPr>
          <w:color w:val="000000"/>
        </w:rPr>
      </w:pPr>
      <w:r w:rsidRPr="0073197B">
        <w:rPr>
          <w:color w:val="000000"/>
        </w:rPr>
        <w:t>The Panel asked</w:t>
      </w:r>
      <w:r w:rsidR="00122F45" w:rsidRPr="0073197B">
        <w:rPr>
          <w:color w:val="000000"/>
        </w:rPr>
        <w:t xml:space="preserve"> the</w:t>
      </w:r>
      <w:r w:rsidRPr="0073197B">
        <w:rPr>
          <w:color w:val="000000"/>
        </w:rPr>
        <w:t xml:space="preserve"> VPA to advise how WI-13 would connect to this overland flow path. The overland flow path would connect to the northern end of WI-13, with no residential area between. Melbourne has indicated that it is possible that through detailed design this can be relocated to abut </w:t>
      </w:r>
      <w:proofErr w:type="spellStart"/>
      <w:r w:rsidRPr="0073197B">
        <w:rPr>
          <w:color w:val="000000"/>
        </w:rPr>
        <w:t>Deanside</w:t>
      </w:r>
      <w:proofErr w:type="spellEnd"/>
      <w:r w:rsidRPr="0073197B">
        <w:rPr>
          <w:color w:val="000000"/>
        </w:rPr>
        <w:t xml:space="preserve"> Drive.</w:t>
      </w:r>
    </w:p>
    <w:p w14:paraId="5521C238" w14:textId="77777777" w:rsidR="00122F45" w:rsidRPr="00B32F05" w:rsidRDefault="00122F45" w:rsidP="00AF505E">
      <w:pPr>
        <w:spacing w:after="0"/>
        <w:rPr>
          <w:rFonts w:cs="Arial"/>
          <w:noProof/>
        </w:rPr>
      </w:pPr>
    </w:p>
    <w:p w14:paraId="5F465E28" w14:textId="77777777" w:rsidR="0069278A" w:rsidRPr="0073197B" w:rsidRDefault="0069278A" w:rsidP="00122F45">
      <w:pPr>
        <w:pStyle w:val="Heading3"/>
        <w:rPr>
          <w:rFonts w:asciiTheme="minorHAnsi" w:hAnsiTheme="minorHAnsi"/>
          <w:noProof/>
          <w:sz w:val="22"/>
          <w:szCs w:val="22"/>
        </w:rPr>
      </w:pPr>
      <w:bookmarkStart w:id="52" w:name="_Toc469573688"/>
      <w:r w:rsidRPr="0073197B">
        <w:rPr>
          <w:rFonts w:asciiTheme="minorHAnsi" w:hAnsiTheme="minorHAnsi"/>
          <w:noProof/>
          <w:sz w:val="22"/>
          <w:szCs w:val="22"/>
        </w:rPr>
        <w:t>Pedestrian/ cyclist bridge PBR-08</w:t>
      </w:r>
      <w:bookmarkEnd w:id="52"/>
    </w:p>
    <w:p w14:paraId="29970591" w14:textId="4247548D" w:rsidR="0069278A" w:rsidRPr="0073197B" w:rsidRDefault="00122F45" w:rsidP="00736861">
      <w:pPr>
        <w:pStyle w:val="ListParagraph"/>
        <w:numPr>
          <w:ilvl w:val="0"/>
          <w:numId w:val="9"/>
        </w:numPr>
        <w:spacing w:after="0"/>
        <w:ind w:left="1021" w:hanging="1021"/>
        <w:rPr>
          <w:color w:val="000000"/>
        </w:rPr>
      </w:pPr>
      <w:r w:rsidRPr="0073197B">
        <w:rPr>
          <w:color w:val="000000"/>
        </w:rPr>
        <w:t xml:space="preserve">The </w:t>
      </w:r>
      <w:r w:rsidR="0069278A" w:rsidRPr="0073197B">
        <w:rPr>
          <w:color w:val="000000"/>
        </w:rPr>
        <w:t xml:space="preserve">VPA notes that this is designed to be a 4m wide bridge, providing for both pedestrians and cyclists. </w:t>
      </w:r>
    </w:p>
    <w:p w14:paraId="1A725BC1" w14:textId="77777777" w:rsidR="00122F45" w:rsidRPr="0073197B" w:rsidRDefault="00122F45" w:rsidP="00122F45">
      <w:pPr>
        <w:pStyle w:val="ListParagraph"/>
        <w:spacing w:after="0"/>
        <w:ind w:left="1021"/>
        <w:rPr>
          <w:color w:val="000000"/>
        </w:rPr>
      </w:pPr>
    </w:p>
    <w:p w14:paraId="21BD47C5" w14:textId="2B37027B" w:rsidR="0069278A" w:rsidRPr="0073197B" w:rsidRDefault="0069278A" w:rsidP="00736861">
      <w:pPr>
        <w:pStyle w:val="ListParagraph"/>
        <w:numPr>
          <w:ilvl w:val="0"/>
          <w:numId w:val="9"/>
        </w:numPr>
        <w:spacing w:after="0"/>
        <w:ind w:left="1021" w:hanging="1021"/>
        <w:rPr>
          <w:color w:val="000000"/>
        </w:rPr>
      </w:pPr>
      <w:r w:rsidRPr="0073197B">
        <w:rPr>
          <w:color w:val="000000"/>
        </w:rPr>
        <w:t xml:space="preserve">Cyclists’ 10 minute cycling catchment to the proposed future Mt Atkinson station (based on a conservative 15kph) is shown in Appendix </w:t>
      </w:r>
      <w:r w:rsidR="00231FD1">
        <w:rPr>
          <w:color w:val="000000"/>
        </w:rPr>
        <w:t>10</w:t>
      </w:r>
      <w:r w:rsidRPr="0073197B">
        <w:rPr>
          <w:color w:val="000000"/>
        </w:rPr>
        <w:t xml:space="preserve">. </w:t>
      </w:r>
    </w:p>
    <w:p w14:paraId="3036C153" w14:textId="77777777" w:rsidR="00122F45" w:rsidRPr="0073197B" w:rsidRDefault="00122F45" w:rsidP="00122F45">
      <w:pPr>
        <w:pStyle w:val="ListParagraph"/>
        <w:spacing w:after="0"/>
        <w:ind w:left="1021"/>
        <w:rPr>
          <w:color w:val="000000"/>
        </w:rPr>
      </w:pPr>
    </w:p>
    <w:p w14:paraId="75771DF7" w14:textId="7866E2FA" w:rsidR="0069278A" w:rsidRPr="0073197B" w:rsidRDefault="0069278A" w:rsidP="00736861">
      <w:pPr>
        <w:pStyle w:val="ListParagraph"/>
        <w:numPr>
          <w:ilvl w:val="0"/>
          <w:numId w:val="9"/>
        </w:numPr>
        <w:spacing w:after="0"/>
        <w:ind w:left="1021" w:hanging="1021"/>
        <w:rPr>
          <w:color w:val="000000"/>
        </w:rPr>
      </w:pPr>
      <w:r w:rsidRPr="0073197B">
        <w:rPr>
          <w:color w:val="000000"/>
        </w:rPr>
        <w:t xml:space="preserve">The pedestrian/ cyclist bridge is also a connection for prospective secondary school students from Mt Atkinson and connects to the </w:t>
      </w:r>
      <w:proofErr w:type="spellStart"/>
      <w:r w:rsidRPr="0073197B">
        <w:rPr>
          <w:color w:val="000000"/>
        </w:rPr>
        <w:t>Kororoit</w:t>
      </w:r>
      <w:proofErr w:type="spellEnd"/>
      <w:r w:rsidRPr="0073197B">
        <w:rPr>
          <w:color w:val="000000"/>
        </w:rPr>
        <w:t xml:space="preserve"> Creek open space network (refer plan in Appendix </w:t>
      </w:r>
      <w:r w:rsidR="00231FD1">
        <w:rPr>
          <w:color w:val="000000"/>
        </w:rPr>
        <w:t>10</w:t>
      </w:r>
      <w:r w:rsidRPr="0073197B">
        <w:rPr>
          <w:color w:val="000000"/>
        </w:rPr>
        <w:t>).</w:t>
      </w:r>
    </w:p>
    <w:p w14:paraId="3FA34832" w14:textId="77777777" w:rsidR="00122F45" w:rsidRPr="0073197B" w:rsidRDefault="00122F45" w:rsidP="00122F45">
      <w:pPr>
        <w:pStyle w:val="ListParagraph"/>
        <w:spacing w:after="0"/>
        <w:ind w:left="1021"/>
        <w:rPr>
          <w:color w:val="000000"/>
        </w:rPr>
      </w:pPr>
    </w:p>
    <w:p w14:paraId="75C57EEB" w14:textId="4BA092B8" w:rsidR="0069278A" w:rsidRPr="0073197B" w:rsidRDefault="00122F45" w:rsidP="00736861">
      <w:pPr>
        <w:pStyle w:val="ListParagraph"/>
        <w:numPr>
          <w:ilvl w:val="0"/>
          <w:numId w:val="9"/>
        </w:numPr>
        <w:spacing w:after="0"/>
        <w:ind w:left="1021" w:hanging="1021"/>
        <w:rPr>
          <w:color w:val="000000"/>
        </w:rPr>
      </w:pPr>
      <w:r w:rsidRPr="0073197B">
        <w:rPr>
          <w:color w:val="000000"/>
        </w:rPr>
        <w:t xml:space="preserve">The </w:t>
      </w:r>
      <w:r w:rsidR="0069278A" w:rsidRPr="0073197B">
        <w:rPr>
          <w:color w:val="000000"/>
        </w:rPr>
        <w:t xml:space="preserve">VPA notes that the </w:t>
      </w:r>
      <w:proofErr w:type="spellStart"/>
      <w:r w:rsidR="0069278A" w:rsidRPr="0073197B">
        <w:rPr>
          <w:color w:val="000000"/>
        </w:rPr>
        <w:t>Kororoit</w:t>
      </w:r>
      <w:proofErr w:type="spellEnd"/>
      <w:r w:rsidR="0069278A" w:rsidRPr="0073197B">
        <w:rPr>
          <w:color w:val="000000"/>
        </w:rPr>
        <w:t xml:space="preserve"> PSP area south of the Creek is not in the </w:t>
      </w:r>
      <w:proofErr w:type="spellStart"/>
      <w:r w:rsidR="0069278A" w:rsidRPr="0073197B">
        <w:rPr>
          <w:color w:val="000000"/>
        </w:rPr>
        <w:t>Plumpton</w:t>
      </w:r>
      <w:proofErr w:type="spellEnd"/>
      <w:r w:rsidR="0069278A" w:rsidRPr="0073197B">
        <w:rPr>
          <w:color w:val="000000"/>
        </w:rPr>
        <w:t xml:space="preserve"> MTC main trade area in Hill</w:t>
      </w:r>
      <w:r w:rsidRPr="0073197B">
        <w:rPr>
          <w:color w:val="000000"/>
        </w:rPr>
        <w:t xml:space="preserve"> </w:t>
      </w:r>
      <w:r w:rsidR="0069278A" w:rsidRPr="0073197B">
        <w:rPr>
          <w:color w:val="000000"/>
        </w:rPr>
        <w:t>PDA’s analysis, and that therefore many of these residents will travel to the Mt Atkinson STC.</w:t>
      </w:r>
    </w:p>
    <w:p w14:paraId="611BF8E6" w14:textId="77777777" w:rsidR="00122F45" w:rsidRPr="00B32F05" w:rsidRDefault="00122F45" w:rsidP="00122F45">
      <w:pPr>
        <w:spacing w:after="0" w:line="276" w:lineRule="auto"/>
      </w:pPr>
    </w:p>
    <w:p w14:paraId="34A2F6AE" w14:textId="77777777" w:rsidR="0069278A" w:rsidRPr="0073197B" w:rsidRDefault="0069278A" w:rsidP="00122F45">
      <w:pPr>
        <w:pStyle w:val="Heading3"/>
        <w:rPr>
          <w:rFonts w:asciiTheme="minorHAnsi" w:hAnsiTheme="minorHAnsi"/>
          <w:sz w:val="22"/>
          <w:szCs w:val="22"/>
        </w:rPr>
      </w:pPr>
      <w:bookmarkStart w:id="53" w:name="_Toc469573689"/>
      <w:r w:rsidRPr="0073197B">
        <w:rPr>
          <w:rFonts w:asciiTheme="minorHAnsi" w:hAnsiTheme="minorHAnsi"/>
          <w:sz w:val="22"/>
          <w:szCs w:val="22"/>
        </w:rPr>
        <w:lastRenderedPageBreak/>
        <w:t>Clause 4.2</w:t>
      </w:r>
      <w:bookmarkEnd w:id="53"/>
    </w:p>
    <w:p w14:paraId="6ADE4E0B" w14:textId="76158518" w:rsidR="0069278A" w:rsidRPr="0073197B" w:rsidRDefault="00122F45" w:rsidP="00736861">
      <w:pPr>
        <w:pStyle w:val="ListParagraph"/>
        <w:numPr>
          <w:ilvl w:val="0"/>
          <w:numId w:val="9"/>
        </w:numPr>
        <w:spacing w:after="0"/>
        <w:ind w:left="1021" w:hanging="1021"/>
        <w:rPr>
          <w:color w:val="000000"/>
        </w:rPr>
      </w:pPr>
      <w:r w:rsidRPr="0073197B">
        <w:rPr>
          <w:color w:val="000000"/>
        </w:rPr>
        <w:t xml:space="preserve">The </w:t>
      </w:r>
      <w:r w:rsidR="0069278A" w:rsidRPr="0073197B">
        <w:rPr>
          <w:color w:val="000000"/>
        </w:rPr>
        <w:t>VPA supports Council’s proposal to simplify and clarify this clause to its intent to capture the transaction costs of land transfer, as follows:</w:t>
      </w:r>
    </w:p>
    <w:p w14:paraId="4436668F" w14:textId="77777777" w:rsidR="00122F45" w:rsidRPr="0073197B" w:rsidRDefault="00122F45" w:rsidP="00122F45">
      <w:pPr>
        <w:pStyle w:val="ListParagraph"/>
        <w:spacing w:after="0"/>
        <w:ind w:left="1021"/>
        <w:rPr>
          <w:color w:val="000000"/>
        </w:rPr>
      </w:pPr>
    </w:p>
    <w:p w14:paraId="6D64FE38" w14:textId="77777777" w:rsidR="0069278A" w:rsidRPr="0073197B" w:rsidRDefault="0069278A" w:rsidP="00736861">
      <w:pPr>
        <w:pStyle w:val="ListParagraph"/>
        <w:numPr>
          <w:ilvl w:val="0"/>
          <w:numId w:val="9"/>
        </w:numPr>
        <w:spacing w:after="0"/>
        <w:ind w:left="1021" w:hanging="1021"/>
        <w:rPr>
          <w:i/>
          <w:color w:val="000000"/>
        </w:rPr>
      </w:pPr>
      <w:r w:rsidRPr="0073197B">
        <w:rPr>
          <w:i/>
          <w:color w:val="000000"/>
        </w:rPr>
        <w:t xml:space="preserve">Conditions for subdivision or buildings and works permits where land is required for community facilities, public open space and road widening </w:t>
      </w:r>
    </w:p>
    <w:p w14:paraId="76094ED1" w14:textId="77777777" w:rsidR="00122F45" w:rsidRPr="0073197B" w:rsidRDefault="00122F45" w:rsidP="00122F45">
      <w:pPr>
        <w:pStyle w:val="ListParagraph"/>
        <w:spacing w:after="0"/>
        <w:ind w:left="1021"/>
        <w:rPr>
          <w:i/>
          <w:color w:val="000000"/>
        </w:rPr>
      </w:pPr>
    </w:p>
    <w:p w14:paraId="56799EDB" w14:textId="77777777" w:rsidR="0069278A" w:rsidRPr="0073197B" w:rsidRDefault="0069278A" w:rsidP="00736861">
      <w:pPr>
        <w:pStyle w:val="ListParagraph"/>
        <w:numPr>
          <w:ilvl w:val="0"/>
          <w:numId w:val="9"/>
        </w:numPr>
        <w:spacing w:after="0"/>
        <w:ind w:left="1021" w:hanging="1021"/>
        <w:rPr>
          <w:i/>
          <w:color w:val="000000"/>
        </w:rPr>
      </w:pPr>
      <w:r w:rsidRPr="0073197B">
        <w:rPr>
          <w:i/>
          <w:color w:val="000000"/>
        </w:rPr>
        <w:t xml:space="preserve">The costs associated with effecting the transfer or vesting of land required for community facilities, public open space or road widening must be borne by permit holder.  </w:t>
      </w:r>
    </w:p>
    <w:p w14:paraId="5E21A415" w14:textId="77777777" w:rsidR="00122F45" w:rsidRPr="0073197B" w:rsidRDefault="00122F45" w:rsidP="00122F45">
      <w:pPr>
        <w:pStyle w:val="ListParagraph"/>
        <w:spacing w:after="0"/>
        <w:ind w:left="1021"/>
        <w:rPr>
          <w:i/>
          <w:color w:val="000000"/>
        </w:rPr>
      </w:pPr>
    </w:p>
    <w:p w14:paraId="12D022C9" w14:textId="77777777" w:rsidR="0069278A" w:rsidRPr="0073197B" w:rsidRDefault="0069278A" w:rsidP="00736861">
      <w:pPr>
        <w:pStyle w:val="ListParagraph"/>
        <w:numPr>
          <w:ilvl w:val="0"/>
          <w:numId w:val="9"/>
        </w:numPr>
        <w:spacing w:after="0"/>
        <w:ind w:left="1021" w:hanging="1021"/>
        <w:rPr>
          <w:i/>
          <w:color w:val="000000"/>
        </w:rPr>
      </w:pPr>
      <w:r w:rsidRPr="0073197B">
        <w:rPr>
          <w:i/>
          <w:color w:val="000000"/>
        </w:rPr>
        <w:t xml:space="preserve">Land required for community facilities, public open space or road widening must be transferred to or vested in the relevant public agency with any designation (e.g. road, reserve or lot) nominated by the relevant agency.  </w:t>
      </w:r>
    </w:p>
    <w:p w14:paraId="329FEF3E" w14:textId="77777777" w:rsidR="00122F45" w:rsidRPr="00B32F05" w:rsidRDefault="00122F45" w:rsidP="00AF505E">
      <w:pPr>
        <w:spacing w:after="0"/>
        <w:ind w:left="360"/>
      </w:pPr>
    </w:p>
    <w:p w14:paraId="55D329B9" w14:textId="77777777" w:rsidR="0069278A" w:rsidRPr="0073197B" w:rsidRDefault="0069278A" w:rsidP="00122F45">
      <w:pPr>
        <w:pStyle w:val="Heading3"/>
        <w:rPr>
          <w:rFonts w:asciiTheme="minorHAnsi" w:hAnsiTheme="minorHAnsi"/>
          <w:sz w:val="22"/>
          <w:szCs w:val="22"/>
        </w:rPr>
      </w:pPr>
      <w:bookmarkStart w:id="54" w:name="_Toc469573690"/>
      <w:r w:rsidRPr="0073197B">
        <w:rPr>
          <w:rFonts w:asciiTheme="minorHAnsi" w:hAnsiTheme="minorHAnsi"/>
          <w:sz w:val="22"/>
          <w:szCs w:val="22"/>
        </w:rPr>
        <w:t>Non-government school – Requirement 26</w:t>
      </w:r>
      <w:bookmarkEnd w:id="54"/>
    </w:p>
    <w:p w14:paraId="20F47A99" w14:textId="6A29758E" w:rsidR="0069278A" w:rsidRPr="0073197B" w:rsidRDefault="00122F45" w:rsidP="00736861">
      <w:pPr>
        <w:pStyle w:val="ListParagraph"/>
        <w:numPr>
          <w:ilvl w:val="0"/>
          <w:numId w:val="9"/>
        </w:numPr>
        <w:spacing w:after="0"/>
        <w:ind w:left="1021" w:hanging="1021"/>
        <w:rPr>
          <w:color w:val="000000"/>
        </w:rPr>
      </w:pPr>
      <w:r w:rsidRPr="0073197B">
        <w:rPr>
          <w:color w:val="000000"/>
        </w:rPr>
        <w:t xml:space="preserve">The </w:t>
      </w:r>
      <w:r w:rsidR="0069278A" w:rsidRPr="0073197B">
        <w:rPr>
          <w:color w:val="000000"/>
        </w:rPr>
        <w:t xml:space="preserve">VPA agreed with Council and the Catholic Education Office (CEO) to change R26 to be consistent with the agreed wording in the </w:t>
      </w:r>
      <w:proofErr w:type="spellStart"/>
      <w:r w:rsidR="0069278A" w:rsidRPr="0073197B">
        <w:rPr>
          <w:color w:val="000000"/>
        </w:rPr>
        <w:t>Rockbank</w:t>
      </w:r>
      <w:proofErr w:type="spellEnd"/>
      <w:r w:rsidR="0069278A" w:rsidRPr="0073197B">
        <w:rPr>
          <w:color w:val="000000"/>
        </w:rPr>
        <w:t xml:space="preserve"> Panel (refer Part B submission: changes matrix item 52).</w:t>
      </w:r>
    </w:p>
    <w:p w14:paraId="4E72BAEA" w14:textId="77777777" w:rsidR="00122F45" w:rsidRPr="0073197B" w:rsidRDefault="00122F45" w:rsidP="00122F45">
      <w:pPr>
        <w:pStyle w:val="ListParagraph"/>
        <w:spacing w:after="0"/>
        <w:ind w:left="1021"/>
        <w:rPr>
          <w:color w:val="000000"/>
        </w:rPr>
      </w:pPr>
    </w:p>
    <w:p w14:paraId="5E0FF1A2" w14:textId="538FCB2F" w:rsidR="0069278A" w:rsidRPr="0073197B" w:rsidRDefault="00122F45" w:rsidP="00736861">
      <w:pPr>
        <w:pStyle w:val="ListParagraph"/>
        <w:numPr>
          <w:ilvl w:val="0"/>
          <w:numId w:val="9"/>
        </w:numPr>
        <w:spacing w:after="0"/>
        <w:ind w:left="1021" w:hanging="1021"/>
        <w:rPr>
          <w:color w:val="000000"/>
        </w:rPr>
      </w:pPr>
      <w:r w:rsidRPr="0073197B">
        <w:rPr>
          <w:color w:val="000000"/>
        </w:rPr>
        <w:t xml:space="preserve">The </w:t>
      </w:r>
      <w:r w:rsidR="0069278A" w:rsidRPr="0073197B">
        <w:rPr>
          <w:color w:val="000000"/>
        </w:rPr>
        <w:t xml:space="preserve">VPA is unclear what community benefit would accrue from adopting </w:t>
      </w:r>
      <w:proofErr w:type="spellStart"/>
      <w:r w:rsidR="0069278A" w:rsidRPr="0073197B">
        <w:rPr>
          <w:color w:val="000000"/>
        </w:rPr>
        <w:t>Moremac’s</w:t>
      </w:r>
      <w:proofErr w:type="spellEnd"/>
      <w:r w:rsidR="0069278A" w:rsidRPr="0073197B">
        <w:rPr>
          <w:color w:val="000000"/>
        </w:rPr>
        <w:t xml:space="preserve"> proposed changes to R26. If the preferred school site as shown in the exhibited PSP reverts to residential use early in the development of the area, then a sub-optimal outcome in terms of the school’s location will result. </w:t>
      </w:r>
    </w:p>
    <w:p w14:paraId="227991FB" w14:textId="77777777" w:rsidR="00122F45" w:rsidRPr="0073197B" w:rsidRDefault="00122F45" w:rsidP="00122F45">
      <w:pPr>
        <w:pStyle w:val="ListParagraph"/>
        <w:spacing w:after="0"/>
        <w:ind w:left="1021"/>
        <w:rPr>
          <w:color w:val="000000"/>
        </w:rPr>
      </w:pPr>
    </w:p>
    <w:p w14:paraId="24B5BA95" w14:textId="77777777" w:rsidR="0069278A" w:rsidRDefault="0069278A" w:rsidP="00736861">
      <w:pPr>
        <w:pStyle w:val="ListParagraph"/>
        <w:numPr>
          <w:ilvl w:val="0"/>
          <w:numId w:val="9"/>
        </w:numPr>
        <w:spacing w:after="0"/>
        <w:ind w:left="1021" w:hanging="1021"/>
        <w:rPr>
          <w:color w:val="000000"/>
        </w:rPr>
      </w:pPr>
      <w:r w:rsidRPr="0073197B">
        <w:rPr>
          <w:color w:val="000000"/>
        </w:rPr>
        <w:t>The VPA has shown a non-government school on this site in response to CEO strategic planning identifying a school as necessary. Therefore the issue of whether the site is strategically justified is already covered and the VPA does not believe this requires re-justification in the near-term.</w:t>
      </w:r>
    </w:p>
    <w:p w14:paraId="3A9C34E5" w14:textId="77777777" w:rsidR="00784A1F" w:rsidRPr="0073197B" w:rsidRDefault="00784A1F" w:rsidP="0073197B">
      <w:pPr>
        <w:pStyle w:val="ListParagraph"/>
        <w:rPr>
          <w:color w:val="000000"/>
        </w:rPr>
      </w:pPr>
    </w:p>
    <w:p w14:paraId="3123846E" w14:textId="0F74AE10" w:rsidR="00784A1F" w:rsidRPr="0073197B" w:rsidRDefault="00784A1F" w:rsidP="00736861">
      <w:pPr>
        <w:pStyle w:val="ListParagraph"/>
        <w:numPr>
          <w:ilvl w:val="0"/>
          <w:numId w:val="9"/>
        </w:numPr>
        <w:spacing w:after="0"/>
        <w:ind w:left="1021" w:hanging="1021"/>
        <w:rPr>
          <w:color w:val="000000"/>
        </w:rPr>
      </w:pPr>
      <w:r>
        <w:rPr>
          <w:color w:val="000000"/>
        </w:rPr>
        <w:t xml:space="preserve">In essence, the VPA </w:t>
      </w:r>
      <w:r w:rsidR="00467192">
        <w:rPr>
          <w:color w:val="000000"/>
        </w:rPr>
        <w:t xml:space="preserve">considers </w:t>
      </w:r>
      <w:proofErr w:type="spellStart"/>
      <w:r w:rsidR="00467192">
        <w:rPr>
          <w:color w:val="000000"/>
        </w:rPr>
        <w:t>Moremac’s</w:t>
      </w:r>
      <w:proofErr w:type="spellEnd"/>
      <w:r w:rsidR="00467192">
        <w:rPr>
          <w:color w:val="000000"/>
        </w:rPr>
        <w:t xml:space="preserve"> proposed wording too conservative. It considers it will lead to a scenario where the land may be “tune over” to a non-school use in the short term, which is undesirable given demand.</w:t>
      </w:r>
    </w:p>
    <w:p w14:paraId="6BD468C3" w14:textId="77777777" w:rsidR="0069278A" w:rsidRDefault="0069278A" w:rsidP="00AF505E">
      <w:pPr>
        <w:spacing w:after="0" w:line="276" w:lineRule="auto"/>
        <w:rPr>
          <w:rFonts w:cs="Arial"/>
          <w:noProof/>
        </w:rPr>
      </w:pPr>
    </w:p>
    <w:p w14:paraId="4ABB92E0" w14:textId="77777777" w:rsidR="008642F7" w:rsidRDefault="008642F7" w:rsidP="00AF505E">
      <w:pPr>
        <w:spacing w:after="0" w:line="276" w:lineRule="auto"/>
        <w:rPr>
          <w:rFonts w:cs="Arial"/>
          <w:noProof/>
        </w:rPr>
      </w:pPr>
    </w:p>
    <w:p w14:paraId="5D1F40FD" w14:textId="77777777" w:rsidR="008642F7" w:rsidRPr="005416B0" w:rsidRDefault="008642F7" w:rsidP="008642F7">
      <w:pPr>
        <w:pStyle w:val="Heading2"/>
        <w:rPr>
          <w:noProof/>
          <w:u w:val="single"/>
        </w:rPr>
      </w:pPr>
      <w:bookmarkStart w:id="55" w:name="_Toc469501813"/>
      <w:bookmarkStart w:id="56" w:name="_Toc469573691"/>
      <w:r w:rsidRPr="005416B0">
        <w:rPr>
          <w:noProof/>
        </w:rPr>
        <w:t>Submission 15 (Kororoit) – Saviour and Lucy Debrincat</w:t>
      </w:r>
      <w:bookmarkEnd w:id="55"/>
      <w:bookmarkEnd w:id="56"/>
    </w:p>
    <w:p w14:paraId="130D1536" w14:textId="77777777" w:rsidR="008642F7" w:rsidRPr="005416B0" w:rsidRDefault="008642F7" w:rsidP="008642F7">
      <w:pPr>
        <w:spacing w:after="0" w:line="276" w:lineRule="auto"/>
        <w:rPr>
          <w:rFonts w:cs="Arial"/>
          <w:noProof/>
        </w:rPr>
      </w:pPr>
      <w:r w:rsidRPr="005416B0">
        <w:rPr>
          <w:rFonts w:cs="Arial"/>
          <w:b/>
          <w:noProof/>
        </w:rPr>
        <w:t xml:space="preserve">Address: </w:t>
      </w:r>
      <w:r w:rsidRPr="005416B0">
        <w:rPr>
          <w:rFonts w:cs="Arial"/>
          <w:noProof/>
        </w:rPr>
        <w:t>103 Vere Crt / #9</w:t>
      </w:r>
    </w:p>
    <w:p w14:paraId="77F37049" w14:textId="77777777" w:rsidR="008642F7" w:rsidRPr="005416B0" w:rsidRDefault="008642F7" w:rsidP="008642F7">
      <w:pPr>
        <w:spacing w:after="0" w:line="276" w:lineRule="auto"/>
        <w:rPr>
          <w:rFonts w:cs="Arial"/>
          <w:b/>
          <w:noProof/>
          <w:u w:val="single"/>
        </w:rPr>
      </w:pPr>
    </w:p>
    <w:p w14:paraId="51279F26" w14:textId="77777777" w:rsidR="008642F7" w:rsidRDefault="008642F7" w:rsidP="008642F7">
      <w:r>
        <w:t xml:space="preserve">The VPA submits the Panel </w:t>
      </w:r>
      <w:proofErr w:type="gramStart"/>
      <w:r>
        <w:t>ought</w:t>
      </w:r>
      <w:proofErr w:type="gramEnd"/>
      <w:r>
        <w:t xml:space="preserve"> recommend as follows:</w:t>
      </w:r>
    </w:p>
    <w:p w14:paraId="78114DBE" w14:textId="77777777" w:rsidR="008642F7" w:rsidRDefault="008642F7" w:rsidP="008642F7">
      <w:pPr>
        <w:pStyle w:val="ListParagraph"/>
        <w:numPr>
          <w:ilvl w:val="0"/>
          <w:numId w:val="18"/>
        </w:numPr>
        <w:spacing w:after="200" w:line="276" w:lineRule="auto"/>
      </w:pPr>
      <w:r>
        <w:t>No change to LP-26</w:t>
      </w:r>
    </w:p>
    <w:p w14:paraId="4AE0632A" w14:textId="77777777" w:rsidR="008642F7" w:rsidRDefault="008642F7" w:rsidP="008642F7">
      <w:pPr>
        <w:pStyle w:val="ListParagraph"/>
        <w:numPr>
          <w:ilvl w:val="1"/>
          <w:numId w:val="18"/>
        </w:numPr>
        <w:spacing w:after="200" w:line="276" w:lineRule="auto"/>
      </w:pPr>
      <w:r>
        <w:t>The proposed local park is very small and is located on a raised promontory which will be an attractive place for an outlook over the Creek for future residents (refer VPA Part B submission). There is no certainty (and indeed it is quite unlikely) that playground type facilities will be able to be located within the GGF Conservation Area, as its prime focus is indeed conservation of frogs. VPA notes that the park location could be varied to Council satisfaction at subdivision stage.</w:t>
      </w:r>
    </w:p>
    <w:p w14:paraId="1D4926E4" w14:textId="77777777" w:rsidR="008642F7" w:rsidRDefault="008642F7" w:rsidP="008642F7">
      <w:pPr>
        <w:spacing w:after="200" w:line="276" w:lineRule="auto"/>
        <w:ind w:left="360"/>
      </w:pPr>
    </w:p>
    <w:p w14:paraId="1A65AA22" w14:textId="77777777" w:rsidR="008642F7" w:rsidRDefault="008642F7" w:rsidP="008642F7">
      <w:pPr>
        <w:pStyle w:val="ListParagraph"/>
        <w:numPr>
          <w:ilvl w:val="0"/>
          <w:numId w:val="18"/>
        </w:numPr>
        <w:spacing w:after="200" w:line="276" w:lineRule="auto"/>
      </w:pPr>
      <w:r>
        <w:t>That the bridge BR-01 remains in its proposed location</w:t>
      </w:r>
    </w:p>
    <w:p w14:paraId="493CA1C2" w14:textId="77777777" w:rsidR="008642F7" w:rsidRPr="001143EE" w:rsidRDefault="008642F7" w:rsidP="008642F7">
      <w:pPr>
        <w:pStyle w:val="ListParagraph"/>
        <w:numPr>
          <w:ilvl w:val="1"/>
          <w:numId w:val="18"/>
        </w:numPr>
        <w:spacing w:after="200" w:line="276" w:lineRule="auto"/>
        <w:rPr>
          <w:rStyle w:val="Strong"/>
        </w:rPr>
      </w:pPr>
      <w:r>
        <w:t xml:space="preserve">BR-01 is listed in Table 9 as ‘L’ for long term delivery </w:t>
      </w:r>
    </w:p>
    <w:p w14:paraId="36166D4A" w14:textId="77777777" w:rsidR="008642F7" w:rsidRDefault="008642F7" w:rsidP="008642F7">
      <w:pPr>
        <w:pStyle w:val="ListParagraph"/>
        <w:numPr>
          <w:ilvl w:val="1"/>
          <w:numId w:val="18"/>
        </w:numPr>
        <w:spacing w:after="200" w:line="276" w:lineRule="auto"/>
      </w:pPr>
      <w:r>
        <w:t>In the background Aboriginal heritage study (refer p183, Figure 39) – it demonstrates that there is a potentially sensitive site (‘areas containing basalt’) located immediately east of Property 9. VPA considers it too high risk to locate the bridge further east and this would lead to reduced certainty for future construction.</w:t>
      </w:r>
    </w:p>
    <w:p w14:paraId="156B733F" w14:textId="77777777" w:rsidR="008642F7" w:rsidRDefault="008642F7" w:rsidP="008642F7">
      <w:pPr>
        <w:spacing w:after="200" w:line="276" w:lineRule="auto"/>
        <w:ind w:left="1080"/>
      </w:pPr>
    </w:p>
    <w:p w14:paraId="5630F6AD" w14:textId="77777777" w:rsidR="008642F7" w:rsidRDefault="008642F7" w:rsidP="008642F7">
      <w:pPr>
        <w:pStyle w:val="ListParagraph"/>
        <w:numPr>
          <w:ilvl w:val="0"/>
          <w:numId w:val="18"/>
        </w:numPr>
        <w:spacing w:after="200" w:line="276" w:lineRule="auto"/>
      </w:pPr>
      <w:r>
        <w:t>That the boundary of the RCZ and UGZ is located as agreed by DELWP and Melbourne Water (as per Document 48)</w:t>
      </w:r>
    </w:p>
    <w:p w14:paraId="2F742CEE" w14:textId="77777777" w:rsidR="008642F7" w:rsidRDefault="008642F7" w:rsidP="008642F7">
      <w:pPr>
        <w:pStyle w:val="ListParagraph"/>
        <w:numPr>
          <w:ilvl w:val="1"/>
          <w:numId w:val="18"/>
        </w:numPr>
        <w:spacing w:after="200" w:line="276" w:lineRule="auto"/>
      </w:pPr>
      <w:r>
        <w:t xml:space="preserve">VPA has worked extensively with DELWP and the landowner in preparation of the PSP and to reach this stage of DELWP supporting the proposed boundary change. This still needs approval from the Commonwealth and needs to meet the criteria outlined on p 11 of the Guidance Note (Document 36 circulated to Panel) for changing the GGF boundary. Adding the LP-26 to the GGF CA and reducing the CA elsewhere on the land does not meet these criteria. </w:t>
      </w:r>
    </w:p>
    <w:p w14:paraId="16EC7763" w14:textId="77777777" w:rsidR="008642F7" w:rsidRDefault="008642F7" w:rsidP="008642F7">
      <w:r>
        <w:t>VPA notes that Mr Cicero submitted that BR-01 should be an ICP funded item.</w:t>
      </w:r>
    </w:p>
    <w:p w14:paraId="66AD3099" w14:textId="08ACCB0A" w:rsidR="008642F7" w:rsidRDefault="008642F7">
      <w:pPr>
        <w:rPr>
          <w:rFonts w:cs="Arial"/>
          <w:noProof/>
        </w:rPr>
      </w:pPr>
      <w:r>
        <w:rPr>
          <w:rFonts w:cs="Arial"/>
          <w:noProof/>
        </w:rPr>
        <w:br w:type="page"/>
      </w:r>
    </w:p>
    <w:p w14:paraId="7D147939" w14:textId="571BBAA4" w:rsidR="008C6C51" w:rsidRPr="002761AC" w:rsidRDefault="002761AC" w:rsidP="00AF505E">
      <w:pPr>
        <w:pStyle w:val="Heading1"/>
        <w:spacing w:line="276" w:lineRule="auto"/>
        <w:rPr>
          <w:b/>
          <w:sz w:val="36"/>
          <w:lang w:val="en-AU"/>
        </w:rPr>
      </w:pPr>
      <w:bookmarkStart w:id="57" w:name="_Toc469573692"/>
      <w:r w:rsidRPr="002761AC">
        <w:rPr>
          <w:b/>
          <w:sz w:val="36"/>
          <w:lang w:val="en-AU"/>
        </w:rPr>
        <w:lastRenderedPageBreak/>
        <w:t xml:space="preserve">5. </w:t>
      </w:r>
      <w:r w:rsidR="008C6C51" w:rsidRPr="002761AC">
        <w:rPr>
          <w:b/>
          <w:sz w:val="36"/>
          <w:lang w:val="en-AU"/>
        </w:rPr>
        <w:t>Notes regarding submitters who did not appear</w:t>
      </w:r>
      <w:bookmarkEnd w:id="57"/>
    </w:p>
    <w:p w14:paraId="157B6D2E" w14:textId="0DE2EC0D" w:rsidR="00023016" w:rsidRPr="002761AC" w:rsidRDefault="002761AC" w:rsidP="00AF505E">
      <w:pPr>
        <w:pStyle w:val="Heading2"/>
      </w:pPr>
      <w:bookmarkStart w:id="58" w:name="_Toc469573693"/>
      <w:r>
        <w:t xml:space="preserve">5.1 </w:t>
      </w:r>
      <w:r w:rsidR="00023016" w:rsidRPr="002761AC">
        <w:t xml:space="preserve">Submission 7 </w:t>
      </w:r>
      <w:r w:rsidR="001B0FBE">
        <w:t>(</w:t>
      </w:r>
      <w:proofErr w:type="spellStart"/>
      <w:r w:rsidR="001B0FBE">
        <w:t>Plumpton</w:t>
      </w:r>
      <w:proofErr w:type="spellEnd"/>
      <w:r w:rsidR="001B0FBE">
        <w:t xml:space="preserve">) </w:t>
      </w:r>
      <w:r w:rsidR="00023016" w:rsidRPr="002761AC">
        <w:t>– Urban Terrain</w:t>
      </w:r>
      <w:bookmarkEnd w:id="58"/>
    </w:p>
    <w:p w14:paraId="3B183FB9" w14:textId="77777777" w:rsidR="00425303" w:rsidRPr="003F5261" w:rsidRDefault="00425303" w:rsidP="00AF505E">
      <w:pPr>
        <w:pStyle w:val="BodyText"/>
        <w:spacing w:line="276" w:lineRule="auto"/>
        <w:rPr>
          <w:rFonts w:asciiTheme="minorHAnsi" w:hAnsiTheme="minorHAnsi"/>
          <w:spacing w:val="-1"/>
        </w:rPr>
      </w:pPr>
      <w:r w:rsidRPr="003F5261">
        <w:rPr>
          <w:rFonts w:asciiTheme="minorHAnsi" w:hAnsiTheme="minorHAnsi"/>
          <w:b/>
          <w:bCs/>
          <w:spacing w:val="-1"/>
        </w:rPr>
        <w:t>Address:</w:t>
      </w:r>
      <w:r w:rsidRPr="003F5261">
        <w:rPr>
          <w:rFonts w:asciiTheme="minorHAnsi" w:hAnsiTheme="minorHAnsi"/>
          <w:b/>
          <w:bCs/>
          <w:spacing w:val="-3"/>
        </w:rPr>
        <w:t xml:space="preserve"> </w:t>
      </w:r>
      <w:r w:rsidRPr="003F5261">
        <w:rPr>
          <w:rFonts w:asciiTheme="minorHAnsi" w:hAnsiTheme="minorHAnsi"/>
          <w:spacing w:val="-1"/>
        </w:rPr>
        <w:t>519</w:t>
      </w:r>
      <w:r w:rsidRPr="003F5261">
        <w:rPr>
          <w:rFonts w:asciiTheme="minorHAnsi" w:hAnsiTheme="minorHAnsi"/>
          <w:spacing w:val="1"/>
        </w:rPr>
        <w:t xml:space="preserve"> </w:t>
      </w:r>
      <w:proofErr w:type="spellStart"/>
      <w:r w:rsidRPr="003F5261">
        <w:rPr>
          <w:rFonts w:asciiTheme="minorHAnsi" w:hAnsiTheme="minorHAnsi"/>
          <w:spacing w:val="-1"/>
        </w:rPr>
        <w:t>Beattys</w:t>
      </w:r>
      <w:proofErr w:type="spellEnd"/>
      <w:r w:rsidRPr="003F5261">
        <w:rPr>
          <w:rFonts w:asciiTheme="minorHAnsi" w:hAnsiTheme="minorHAnsi"/>
        </w:rPr>
        <w:t xml:space="preserve"> </w:t>
      </w:r>
      <w:r w:rsidRPr="003F5261">
        <w:rPr>
          <w:rFonts w:asciiTheme="minorHAnsi" w:hAnsiTheme="minorHAnsi"/>
          <w:spacing w:val="-1"/>
        </w:rPr>
        <w:t>Road</w:t>
      </w:r>
      <w:r w:rsidRPr="003F5261">
        <w:rPr>
          <w:rFonts w:asciiTheme="minorHAnsi" w:hAnsiTheme="minorHAnsi"/>
          <w:spacing w:val="-3"/>
        </w:rPr>
        <w:t xml:space="preserve"> </w:t>
      </w:r>
      <w:r w:rsidRPr="003F5261">
        <w:rPr>
          <w:rFonts w:asciiTheme="minorHAnsi" w:hAnsiTheme="minorHAnsi"/>
          <w:spacing w:val="-1"/>
        </w:rPr>
        <w:t>/#39</w:t>
      </w:r>
    </w:p>
    <w:p w14:paraId="2C517706" w14:textId="77777777" w:rsidR="00A2708E" w:rsidRDefault="00A2708E" w:rsidP="00AF505E">
      <w:pPr>
        <w:pStyle w:val="BodyText"/>
        <w:spacing w:line="276" w:lineRule="auto"/>
        <w:rPr>
          <w:rFonts w:asciiTheme="minorHAnsi" w:hAnsiTheme="minorHAnsi"/>
          <w:b/>
          <w:bCs/>
          <w:color w:val="FF3399"/>
          <w:spacing w:val="-1"/>
          <w:u w:val="single"/>
        </w:rPr>
      </w:pPr>
    </w:p>
    <w:p w14:paraId="4C4FDA59" w14:textId="77777777" w:rsidR="007704AF" w:rsidRPr="002761AC" w:rsidRDefault="007704AF" w:rsidP="00736861">
      <w:pPr>
        <w:pStyle w:val="ListParagraph"/>
        <w:numPr>
          <w:ilvl w:val="0"/>
          <w:numId w:val="9"/>
        </w:numPr>
        <w:spacing w:after="0"/>
        <w:ind w:left="1021" w:hanging="1021"/>
      </w:pPr>
      <w:r w:rsidRPr="002761AC">
        <w:t>Noted that this submitter withdrew from appearing at Panel and confirmed this in writing by letter dated 29 November 2016.</w:t>
      </w:r>
    </w:p>
    <w:p w14:paraId="2E7878E0" w14:textId="77777777" w:rsidR="007704AF" w:rsidRPr="007704AF" w:rsidRDefault="007704AF" w:rsidP="00AF505E">
      <w:pPr>
        <w:pStyle w:val="BodyText"/>
        <w:spacing w:line="276" w:lineRule="auto"/>
        <w:rPr>
          <w:rFonts w:asciiTheme="minorHAnsi" w:hAnsiTheme="minorHAnsi"/>
          <w:bCs/>
          <w:spacing w:val="-1"/>
        </w:rPr>
      </w:pPr>
    </w:p>
    <w:p w14:paraId="5EC1FC78" w14:textId="1FB5C39C" w:rsidR="00023016" w:rsidRPr="0021131D" w:rsidRDefault="002761AC" w:rsidP="00AF505E">
      <w:pPr>
        <w:pStyle w:val="Heading2"/>
      </w:pPr>
      <w:bookmarkStart w:id="59" w:name="_Toc469573694"/>
      <w:r>
        <w:t xml:space="preserve">5.2 </w:t>
      </w:r>
      <w:r w:rsidR="00023016" w:rsidRPr="0021131D">
        <w:t>Submission 10</w:t>
      </w:r>
      <w:r w:rsidR="001B0FBE">
        <w:t xml:space="preserve"> (</w:t>
      </w:r>
      <w:proofErr w:type="spellStart"/>
      <w:r w:rsidR="001B0FBE">
        <w:t>Plumpton</w:t>
      </w:r>
      <w:proofErr w:type="spellEnd"/>
      <w:r w:rsidR="001B0FBE">
        <w:t>)</w:t>
      </w:r>
      <w:r w:rsidR="00023016" w:rsidRPr="0021131D">
        <w:t xml:space="preserve"> – SJB Planning (on behalf of </w:t>
      </w:r>
      <w:proofErr w:type="spellStart"/>
      <w:r w:rsidR="00AD66CD">
        <w:t>Landeq</w:t>
      </w:r>
      <w:proofErr w:type="spellEnd"/>
      <w:r w:rsidR="00AD66CD">
        <w:t xml:space="preserve"> Pty Ltd)</w:t>
      </w:r>
      <w:bookmarkEnd w:id="59"/>
    </w:p>
    <w:p w14:paraId="52FF724A" w14:textId="77777777" w:rsidR="00023016" w:rsidRDefault="00023016" w:rsidP="00AF505E">
      <w:pPr>
        <w:pStyle w:val="BodyText"/>
        <w:spacing w:line="276" w:lineRule="auto"/>
        <w:rPr>
          <w:rFonts w:asciiTheme="minorHAnsi" w:hAnsiTheme="minorHAnsi"/>
          <w:spacing w:val="-2"/>
        </w:rPr>
      </w:pPr>
      <w:r w:rsidRPr="003F5261">
        <w:rPr>
          <w:rFonts w:asciiTheme="minorHAnsi" w:hAnsiTheme="minorHAnsi"/>
          <w:b/>
          <w:bCs/>
          <w:spacing w:val="-1"/>
        </w:rPr>
        <w:t>Address:</w:t>
      </w:r>
      <w:r w:rsidRPr="003F5261">
        <w:rPr>
          <w:rFonts w:asciiTheme="minorHAnsi" w:hAnsiTheme="minorHAnsi"/>
          <w:b/>
          <w:bCs/>
          <w:spacing w:val="-3"/>
        </w:rPr>
        <w:t xml:space="preserve"> </w:t>
      </w:r>
      <w:r w:rsidRPr="003F5261">
        <w:rPr>
          <w:rFonts w:asciiTheme="minorHAnsi" w:hAnsiTheme="minorHAnsi"/>
          <w:spacing w:val="-1"/>
        </w:rPr>
        <w:t xml:space="preserve">1015 </w:t>
      </w:r>
      <w:r w:rsidRPr="003F5261">
        <w:rPr>
          <w:rFonts w:asciiTheme="minorHAnsi" w:hAnsiTheme="minorHAnsi"/>
        </w:rPr>
        <w:t>–</w:t>
      </w:r>
      <w:r w:rsidRPr="003F5261">
        <w:rPr>
          <w:rFonts w:asciiTheme="minorHAnsi" w:hAnsiTheme="minorHAnsi"/>
          <w:spacing w:val="-2"/>
        </w:rPr>
        <w:t xml:space="preserve"> </w:t>
      </w:r>
      <w:r w:rsidRPr="003F5261">
        <w:rPr>
          <w:rFonts w:asciiTheme="minorHAnsi" w:hAnsiTheme="minorHAnsi"/>
          <w:spacing w:val="-1"/>
        </w:rPr>
        <w:t>1041 Melton Highway,</w:t>
      </w:r>
      <w:r w:rsidRPr="003F5261">
        <w:rPr>
          <w:rFonts w:asciiTheme="minorHAnsi" w:hAnsiTheme="minorHAnsi"/>
          <w:spacing w:val="-2"/>
        </w:rPr>
        <w:t xml:space="preserve"> </w:t>
      </w:r>
      <w:proofErr w:type="spellStart"/>
      <w:r w:rsidRPr="003F5261">
        <w:rPr>
          <w:rFonts w:asciiTheme="minorHAnsi" w:hAnsiTheme="minorHAnsi"/>
          <w:spacing w:val="-1"/>
        </w:rPr>
        <w:t>Plumpton</w:t>
      </w:r>
      <w:proofErr w:type="spellEnd"/>
      <w:r w:rsidRPr="003F5261">
        <w:rPr>
          <w:rFonts w:asciiTheme="minorHAnsi" w:hAnsiTheme="minorHAnsi"/>
        </w:rPr>
        <w:t xml:space="preserve"> /</w:t>
      </w:r>
      <w:r w:rsidRPr="003F5261">
        <w:rPr>
          <w:rFonts w:asciiTheme="minorHAnsi" w:hAnsiTheme="minorHAnsi"/>
          <w:spacing w:val="-1"/>
        </w:rPr>
        <w:t xml:space="preserve"> </w:t>
      </w:r>
      <w:r w:rsidRPr="003F5261">
        <w:rPr>
          <w:rFonts w:asciiTheme="minorHAnsi" w:hAnsiTheme="minorHAnsi"/>
          <w:spacing w:val="-2"/>
        </w:rPr>
        <w:t>#20</w:t>
      </w:r>
    </w:p>
    <w:p w14:paraId="2CD073E6" w14:textId="77777777" w:rsidR="00914106" w:rsidRDefault="00914106" w:rsidP="00AF505E">
      <w:pPr>
        <w:pStyle w:val="BodyText"/>
        <w:spacing w:line="276" w:lineRule="auto"/>
        <w:rPr>
          <w:rFonts w:asciiTheme="minorHAnsi" w:hAnsiTheme="minorHAnsi"/>
          <w:spacing w:val="-2"/>
        </w:rPr>
      </w:pPr>
    </w:p>
    <w:p w14:paraId="2F615826" w14:textId="58A96237" w:rsidR="00E279D6" w:rsidRDefault="00E279D6" w:rsidP="00736861">
      <w:pPr>
        <w:pStyle w:val="ListParagraph"/>
        <w:numPr>
          <w:ilvl w:val="0"/>
          <w:numId w:val="9"/>
        </w:numPr>
        <w:spacing w:after="0"/>
        <w:ind w:left="1021" w:hanging="1021"/>
      </w:pPr>
      <w:r w:rsidRPr="002761AC">
        <w:t>Noted that this submitter withdrew from appearing at Panel and conf</w:t>
      </w:r>
      <w:r>
        <w:t xml:space="preserve">irmed this via email on 1 December 2016. </w:t>
      </w:r>
    </w:p>
    <w:p w14:paraId="7529BF4E" w14:textId="77777777" w:rsidR="00E279D6" w:rsidRDefault="00E279D6" w:rsidP="00AF505E">
      <w:pPr>
        <w:pStyle w:val="ListParagraph"/>
        <w:spacing w:after="0"/>
        <w:ind w:left="1021"/>
      </w:pPr>
    </w:p>
    <w:p w14:paraId="17A595BB" w14:textId="23447ECD" w:rsidR="00E279D6" w:rsidRPr="00E279D6" w:rsidRDefault="00E279D6" w:rsidP="00AF505E">
      <w:pPr>
        <w:pStyle w:val="Heading3"/>
      </w:pPr>
      <w:bookmarkStart w:id="60" w:name="_Toc469573695"/>
      <w:r>
        <w:t>Flexibility in location of local parks</w:t>
      </w:r>
      <w:bookmarkEnd w:id="60"/>
      <w:r>
        <w:t xml:space="preserve"> </w:t>
      </w:r>
    </w:p>
    <w:p w14:paraId="4E6140A2" w14:textId="77777777" w:rsidR="00E279D6" w:rsidRDefault="00E279D6" w:rsidP="00AF505E">
      <w:pPr>
        <w:pStyle w:val="ListParagraph"/>
        <w:spacing w:after="0"/>
        <w:ind w:left="1021"/>
      </w:pPr>
    </w:p>
    <w:p w14:paraId="6FA6C6E2" w14:textId="77777777" w:rsidR="00167E23" w:rsidRDefault="00E279D6" w:rsidP="00736861">
      <w:pPr>
        <w:pStyle w:val="ListParagraph"/>
        <w:numPr>
          <w:ilvl w:val="0"/>
          <w:numId w:val="9"/>
        </w:numPr>
        <w:spacing w:after="0"/>
        <w:ind w:left="1021" w:hanging="1021"/>
      </w:pPr>
      <w:r w:rsidRPr="00E279D6">
        <w:t xml:space="preserve">SJB Planning </w:t>
      </w:r>
      <w:r w:rsidR="00167E23">
        <w:t>sought to clarify its client’s position as it felt this was not accurately represented in VPA’s Part B submission.</w:t>
      </w:r>
    </w:p>
    <w:p w14:paraId="71473FB4" w14:textId="77777777" w:rsidR="00167E23" w:rsidRDefault="00167E23" w:rsidP="00167E23">
      <w:pPr>
        <w:spacing w:after="0"/>
      </w:pPr>
    </w:p>
    <w:p w14:paraId="77486E9A" w14:textId="49DB89ED" w:rsidR="00E279D6" w:rsidRDefault="00167E23" w:rsidP="00736861">
      <w:pPr>
        <w:pStyle w:val="ListParagraph"/>
        <w:numPr>
          <w:ilvl w:val="0"/>
          <w:numId w:val="9"/>
        </w:numPr>
        <w:spacing w:after="0"/>
        <w:ind w:left="1021" w:hanging="1021"/>
      </w:pPr>
      <w:r>
        <w:t xml:space="preserve">SJB Planning </w:t>
      </w:r>
      <w:r w:rsidR="00E279D6" w:rsidRPr="00E279D6">
        <w:t>submits that the PSP (as exhibited) provided a distribution of public open space within a 200m (or less) neighbourhood catchment</w:t>
      </w:r>
      <w:r>
        <w:t xml:space="preserve"> on its client’s land</w:t>
      </w:r>
      <w:r w:rsidR="00E279D6" w:rsidRPr="00E279D6">
        <w:t xml:space="preserve"> - rather than the generally accepted 400m neighbourhood catchment - and that there were alternatives in terms of distribution and fair/proportional provision that would meet the accepted 400m catchment.  A rough plan was provided that sought to show that the same amount of public open space could be more equitably distributed in half hectare (rather than 1 hectare) parks.</w:t>
      </w:r>
    </w:p>
    <w:p w14:paraId="56234CC1" w14:textId="77777777" w:rsidR="00E279D6" w:rsidRPr="00E279D6" w:rsidRDefault="00E279D6" w:rsidP="00AF505E">
      <w:pPr>
        <w:pStyle w:val="ListParagraph"/>
        <w:spacing w:after="0"/>
        <w:ind w:left="1021"/>
      </w:pPr>
    </w:p>
    <w:p w14:paraId="30C7F16C" w14:textId="77777777" w:rsidR="00E279D6" w:rsidRDefault="00E279D6" w:rsidP="00736861">
      <w:pPr>
        <w:pStyle w:val="ListParagraph"/>
        <w:numPr>
          <w:ilvl w:val="0"/>
          <w:numId w:val="9"/>
        </w:numPr>
        <w:spacing w:after="0"/>
        <w:ind w:left="1021" w:hanging="1021"/>
      </w:pPr>
      <w:r w:rsidRPr="00E279D6">
        <w:t xml:space="preserve">Whilst the VPA understands the spatial distribution suggested by the applicant, it however retains its position that the distribution of open space assets as per the exhibited version is appropriate and caters to anticipated populations. The VPA and Melton City Council have resolved to </w:t>
      </w:r>
      <w:proofErr w:type="gramStart"/>
      <w:r w:rsidRPr="00E279D6">
        <w:t>locating</w:t>
      </w:r>
      <w:proofErr w:type="gramEnd"/>
      <w:r w:rsidRPr="00E279D6">
        <w:t xml:space="preserve"> local parks on one parcel only to reduce implementation issues which may arise from siting across two parcels such as different timelines for development and refinement of its location through subdivision layout. LP-07 may be relocated at the subdivision stage as long as the distribution of open space is as per the requirements in the PSP (refer R42), to the satisfaction of the responsible authority. Requirement 42 in the PSP ensures this flexibility in terms of the location and distribution of open space within a parcel, provided it can be demonstrated that its residential catchment of 400m can still be achieved. Refer also to Section 3.3 of this Part B submission</w:t>
      </w:r>
    </w:p>
    <w:p w14:paraId="71846953" w14:textId="77777777" w:rsidR="00167E23" w:rsidRDefault="00167E23" w:rsidP="00167E23">
      <w:pPr>
        <w:pStyle w:val="ListParagraph"/>
      </w:pPr>
    </w:p>
    <w:p w14:paraId="06471F32" w14:textId="143079A3" w:rsidR="00167E23" w:rsidRDefault="00167E23" w:rsidP="00736861">
      <w:pPr>
        <w:pStyle w:val="ListParagraph"/>
        <w:numPr>
          <w:ilvl w:val="0"/>
          <w:numId w:val="9"/>
        </w:numPr>
        <w:spacing w:after="0"/>
        <w:ind w:left="1021" w:hanging="1021"/>
      </w:pPr>
      <w:r>
        <w:t xml:space="preserve">In response, </w:t>
      </w:r>
      <w:proofErr w:type="spellStart"/>
      <w:r>
        <w:t>Landeq</w:t>
      </w:r>
      <w:proofErr w:type="spellEnd"/>
      <w:r>
        <w:t xml:space="preserve"> agrees to the retention of LP-07 on its land as outlined.</w:t>
      </w:r>
    </w:p>
    <w:p w14:paraId="67C1B6B3" w14:textId="77777777" w:rsidR="00167E23" w:rsidRDefault="00167E23" w:rsidP="00167E23">
      <w:pPr>
        <w:pStyle w:val="ListParagraph"/>
      </w:pPr>
    </w:p>
    <w:p w14:paraId="3952849D" w14:textId="258F0F54" w:rsidR="00167E23" w:rsidRDefault="00167E23" w:rsidP="00736861">
      <w:pPr>
        <w:pStyle w:val="ListParagraph"/>
        <w:numPr>
          <w:ilvl w:val="0"/>
          <w:numId w:val="9"/>
        </w:numPr>
        <w:spacing w:after="0"/>
        <w:ind w:left="1021" w:hanging="1021"/>
      </w:pPr>
      <w:proofErr w:type="spellStart"/>
      <w:r>
        <w:t>Landeq</w:t>
      </w:r>
      <w:proofErr w:type="spellEnd"/>
      <w:r>
        <w:t xml:space="preserve"> requested that the Panel not delay approval of the PSP until an ICP is adopted. </w:t>
      </w:r>
      <w:r w:rsidR="00EB3248">
        <w:t xml:space="preserve">Instead, </w:t>
      </w:r>
      <w:proofErr w:type="spellStart"/>
      <w:r>
        <w:t>Landeq</w:t>
      </w:r>
      <w:proofErr w:type="spellEnd"/>
      <w:r>
        <w:t xml:space="preserve"> would support either of:</w:t>
      </w:r>
    </w:p>
    <w:p w14:paraId="2DB654F4" w14:textId="00A9AD6F" w:rsidR="00167E23" w:rsidRPr="00167E23" w:rsidRDefault="00736861" w:rsidP="00736861">
      <w:pPr>
        <w:pStyle w:val="ListParagraph"/>
        <w:numPr>
          <w:ilvl w:val="0"/>
          <w:numId w:val="12"/>
        </w:numPr>
        <w:spacing w:after="0"/>
      </w:pPr>
      <w:r>
        <w:lastRenderedPageBreak/>
        <w:t>A</w:t>
      </w:r>
      <w:r w:rsidR="00167E23" w:rsidRPr="00167E23">
        <w:t xml:space="preserve"> Section 173 Agreement (or similar) dealing with Development Contributions as an interim arrangement until such time as </w:t>
      </w:r>
      <w:r w:rsidR="00EB3248">
        <w:t xml:space="preserve">an ICP is prepared and approved; or </w:t>
      </w:r>
    </w:p>
    <w:p w14:paraId="2A2BACDA" w14:textId="178D0D2D" w:rsidR="00167E23" w:rsidRPr="00167E23" w:rsidRDefault="00167E23" w:rsidP="00736861">
      <w:pPr>
        <w:pStyle w:val="ListParagraph"/>
        <w:numPr>
          <w:ilvl w:val="0"/>
          <w:numId w:val="11"/>
        </w:numPr>
        <w:spacing w:after="0"/>
      </w:pPr>
      <w:r w:rsidRPr="00167E23">
        <w:t>Introduction of an ICP now with standard levies implemented via a Section 20(</w:t>
      </w:r>
      <w:r w:rsidR="00EB3248">
        <w:t>a</w:t>
      </w:r>
      <w:r w:rsidRPr="00167E23">
        <w:t>) Amendment (acknowledging that there could be the need for a supplementar</w:t>
      </w:r>
      <w:r w:rsidR="00736861">
        <w:t xml:space="preserve">y levy to deal with some items). If </w:t>
      </w:r>
      <w:r w:rsidRPr="00167E23">
        <w:t>it is then determined that the required infrastructure cannot be accommodated within the Standard Levy (once full costings have been done), a second ‘conventional’ Amendment could then be pursued to introduce the required suppl</w:t>
      </w:r>
      <w:r w:rsidR="00736861">
        <w:t>ementary levy to deal with this.</w:t>
      </w:r>
      <w:r w:rsidR="00EB3248">
        <w:t xml:space="preserve"> An interim </w:t>
      </w:r>
    </w:p>
    <w:p w14:paraId="22B7298C" w14:textId="5F915623" w:rsidR="00167E23" w:rsidRPr="00E279D6" w:rsidRDefault="00167E23" w:rsidP="00167E23">
      <w:pPr>
        <w:spacing w:after="0"/>
      </w:pPr>
    </w:p>
    <w:p w14:paraId="61D85864" w14:textId="77777777" w:rsidR="00F56957" w:rsidRDefault="00F56957" w:rsidP="00AF505E">
      <w:pPr>
        <w:pStyle w:val="BodyText"/>
        <w:spacing w:line="276" w:lineRule="auto"/>
        <w:rPr>
          <w:rFonts w:asciiTheme="minorHAnsi" w:hAnsiTheme="minorHAnsi"/>
          <w:b/>
          <w:bCs/>
          <w:color w:val="0070C0"/>
          <w:spacing w:val="-1"/>
          <w:u w:val="single"/>
        </w:rPr>
      </w:pPr>
    </w:p>
    <w:p w14:paraId="6F3B6835" w14:textId="656B6721" w:rsidR="00023016" w:rsidRPr="0020235B" w:rsidRDefault="00F23680" w:rsidP="00736861">
      <w:pPr>
        <w:pStyle w:val="Heading2"/>
        <w:numPr>
          <w:ilvl w:val="1"/>
          <w:numId w:val="10"/>
        </w:numPr>
        <w:rPr>
          <w:b/>
        </w:rPr>
      </w:pPr>
      <w:r>
        <w:t xml:space="preserve"> </w:t>
      </w:r>
      <w:bookmarkStart w:id="61" w:name="_Toc469573696"/>
      <w:r w:rsidR="00023016" w:rsidRPr="0021131D">
        <w:t>Submission 24</w:t>
      </w:r>
      <w:r w:rsidR="001B0FBE">
        <w:t xml:space="preserve"> (</w:t>
      </w:r>
      <w:proofErr w:type="spellStart"/>
      <w:r w:rsidR="001B0FBE">
        <w:t>Kororoit</w:t>
      </w:r>
      <w:proofErr w:type="spellEnd"/>
      <w:r w:rsidR="001B0FBE">
        <w:t>)</w:t>
      </w:r>
      <w:r w:rsidR="00023016" w:rsidRPr="0021131D">
        <w:t xml:space="preserve"> – Select Group (on behalf of Aldi)</w:t>
      </w:r>
      <w:bookmarkEnd w:id="61"/>
    </w:p>
    <w:p w14:paraId="7A72EDE3" w14:textId="77777777" w:rsidR="002761AC" w:rsidRDefault="00023016" w:rsidP="00AF505E">
      <w:pPr>
        <w:pStyle w:val="BodyText"/>
        <w:spacing w:line="276" w:lineRule="auto"/>
        <w:rPr>
          <w:rFonts w:asciiTheme="minorHAnsi" w:hAnsiTheme="minorHAnsi"/>
          <w:spacing w:val="-1"/>
        </w:rPr>
      </w:pPr>
      <w:r w:rsidRPr="003F5261">
        <w:rPr>
          <w:rFonts w:asciiTheme="minorHAnsi" w:hAnsiTheme="minorHAnsi"/>
          <w:b/>
          <w:bCs/>
          <w:spacing w:val="-1"/>
        </w:rPr>
        <w:t xml:space="preserve">Address: </w:t>
      </w:r>
      <w:r w:rsidRPr="003F5261">
        <w:rPr>
          <w:rFonts w:asciiTheme="minorHAnsi" w:hAnsiTheme="minorHAnsi"/>
          <w:spacing w:val="-1"/>
        </w:rPr>
        <w:t>General</w:t>
      </w:r>
    </w:p>
    <w:p w14:paraId="46CB7213" w14:textId="77777777" w:rsidR="002761AC" w:rsidRDefault="002761AC" w:rsidP="00AF505E">
      <w:pPr>
        <w:pStyle w:val="BodyText"/>
        <w:spacing w:line="276" w:lineRule="auto"/>
        <w:rPr>
          <w:rFonts w:asciiTheme="minorHAnsi" w:hAnsiTheme="minorHAnsi"/>
          <w:spacing w:val="-1"/>
        </w:rPr>
      </w:pPr>
    </w:p>
    <w:p w14:paraId="22A44D73" w14:textId="77777777" w:rsidR="00590220" w:rsidRDefault="00590220" w:rsidP="00736861">
      <w:pPr>
        <w:pStyle w:val="ListParagraph"/>
        <w:numPr>
          <w:ilvl w:val="0"/>
          <w:numId w:val="9"/>
        </w:numPr>
        <w:spacing w:after="0"/>
        <w:ind w:left="1021" w:hanging="1021"/>
      </w:pPr>
      <w:r>
        <w:t>The VPA does not support any changes to the amendment in response to Select’s further written submission to the Panel.</w:t>
      </w:r>
    </w:p>
    <w:p w14:paraId="143BFB10" w14:textId="77777777" w:rsidR="00590220" w:rsidRDefault="00590220" w:rsidP="00590220">
      <w:pPr>
        <w:pStyle w:val="BodyText"/>
        <w:spacing w:line="276" w:lineRule="auto"/>
      </w:pPr>
    </w:p>
    <w:p w14:paraId="5C1B56D3" w14:textId="77777777" w:rsidR="00590220" w:rsidRDefault="00590220" w:rsidP="00590220">
      <w:pPr>
        <w:pStyle w:val="Heading3"/>
        <w:rPr>
          <w:rFonts w:asciiTheme="minorHAnsi" w:hAnsiTheme="minorHAnsi"/>
        </w:rPr>
      </w:pPr>
      <w:bookmarkStart w:id="62" w:name="_Toc469573697"/>
      <w:r>
        <w:rPr>
          <w:noProof/>
        </w:rPr>
        <w:t>Local Town Centres</w:t>
      </w:r>
      <w:bookmarkEnd w:id="62"/>
    </w:p>
    <w:p w14:paraId="1FDEB778" w14:textId="77777777" w:rsidR="00590220" w:rsidRDefault="00590220" w:rsidP="00736861">
      <w:pPr>
        <w:pStyle w:val="ListParagraph"/>
        <w:numPr>
          <w:ilvl w:val="0"/>
          <w:numId w:val="9"/>
        </w:numPr>
        <w:spacing w:after="0"/>
        <w:ind w:left="1021" w:hanging="1021"/>
      </w:pPr>
      <w:r>
        <w:t>The VPA does not support the recommendation put forward in relation to Local Town Centres, and reiterates its position that supermarket uses should be located within town centres. The rationale for designating Small Local Enterprise uses in areas where the applied zoning is Commercial 2 that will be tailored to have a permit trigger specifically for a shop use, is to provide land for supporting services and ancillary uses which are typically on the periphery of, or near, Local Town Centres in traditional inner and middle ring areas in Melbourne. This being the reason why the PSPs are specific with regards to the types of uses encouraged in the Small Local Enterprise areas and the reason for tailoring the applied Commercial 2 Zone to these areas to trigger a permit for shop.</w:t>
      </w:r>
    </w:p>
    <w:p w14:paraId="3E312FC4" w14:textId="77777777" w:rsidR="00590220" w:rsidRDefault="00590220" w:rsidP="00590220">
      <w:pPr>
        <w:pStyle w:val="ListParagraph"/>
        <w:spacing w:after="0"/>
        <w:ind w:left="1021"/>
      </w:pPr>
    </w:p>
    <w:p w14:paraId="00023C63" w14:textId="77777777" w:rsidR="00590220" w:rsidRDefault="00590220" w:rsidP="00590220">
      <w:pPr>
        <w:pStyle w:val="Heading3"/>
        <w:rPr>
          <w:rFonts w:cstheme="minorBidi"/>
          <w:color w:val="auto"/>
        </w:rPr>
      </w:pPr>
      <w:bookmarkStart w:id="63" w:name="_Toc469573698"/>
      <w:r>
        <w:rPr>
          <w:noProof/>
        </w:rPr>
        <w:t>Commercial 2 zoned land forming part of designated business areas</w:t>
      </w:r>
      <w:bookmarkEnd w:id="63"/>
    </w:p>
    <w:p w14:paraId="70D34EB2" w14:textId="77777777" w:rsidR="00590220" w:rsidRDefault="00590220" w:rsidP="00736861">
      <w:pPr>
        <w:pStyle w:val="ListParagraph"/>
        <w:numPr>
          <w:ilvl w:val="0"/>
          <w:numId w:val="9"/>
        </w:numPr>
        <w:spacing w:after="0"/>
        <w:ind w:left="1021" w:hanging="1021"/>
      </w:pPr>
      <w:r>
        <w:t>The VPA does not agree with the recommendation to review the extent of Mixed Use or Commercial 2 applied zoning west of Hopkins Road, nor provide a conceptual layout for the business area west of the Western Freeway interchange. The VPA submits that accessibility and exposure for future retail will be subject to further subdivision layout and design at the permit application stage. In addition, the PSP does not typically designate network of local access roads. Particularly in the case of the business area west of the Western Freeway interchange as this area is expected to be developed after the OMR is delivered.</w:t>
      </w:r>
    </w:p>
    <w:p w14:paraId="757EED5C" w14:textId="77777777" w:rsidR="00590220" w:rsidRDefault="00590220" w:rsidP="00590220">
      <w:pPr>
        <w:spacing w:after="0"/>
      </w:pPr>
    </w:p>
    <w:p w14:paraId="2164E360" w14:textId="77777777" w:rsidR="00590220" w:rsidRDefault="00590220" w:rsidP="00736861">
      <w:pPr>
        <w:pStyle w:val="ListParagraph"/>
        <w:numPr>
          <w:ilvl w:val="0"/>
          <w:numId w:val="9"/>
        </w:numPr>
        <w:spacing w:after="0"/>
        <w:ind w:left="1021" w:hanging="1021"/>
      </w:pPr>
      <w:r>
        <w:t xml:space="preserve">The extent of applied Mixed Use Zone is appropriate as the VPA submits there is adequate land within the PSP to cater for a supermarket use to establish as-of-right (i.e. Commercial 1 and Commercial 2 zoned land), therefore it is appropriate for the responsible authority to exercise its discretion as to whether or not a supermarket is appropriate in the Mixed Use zoned land. </w:t>
      </w:r>
    </w:p>
    <w:p w14:paraId="3673A494" w14:textId="77777777" w:rsidR="00590220" w:rsidRDefault="00590220" w:rsidP="00590220">
      <w:pPr>
        <w:spacing w:after="0" w:line="276" w:lineRule="auto"/>
        <w:rPr>
          <w:rFonts w:cs="Arial"/>
          <w:b/>
          <w:noProof/>
          <w:color w:val="0070C0"/>
          <w:u w:val="single"/>
        </w:rPr>
      </w:pPr>
    </w:p>
    <w:p w14:paraId="0D7D9F48" w14:textId="77777777" w:rsidR="00590220" w:rsidRDefault="00590220" w:rsidP="00590220">
      <w:pPr>
        <w:pStyle w:val="Heading3"/>
        <w:rPr>
          <w:noProof/>
        </w:rPr>
      </w:pPr>
      <w:bookmarkStart w:id="64" w:name="_Toc469573699"/>
      <w:r>
        <w:rPr>
          <w:noProof/>
        </w:rPr>
        <w:t>Local Convenience Centres</w:t>
      </w:r>
      <w:bookmarkEnd w:id="64"/>
    </w:p>
    <w:p w14:paraId="275434A5" w14:textId="77777777" w:rsidR="00590220" w:rsidRDefault="00590220" w:rsidP="00736861">
      <w:pPr>
        <w:pStyle w:val="ListParagraph"/>
        <w:numPr>
          <w:ilvl w:val="0"/>
          <w:numId w:val="9"/>
        </w:numPr>
        <w:spacing w:after="0"/>
        <w:ind w:left="1021" w:hanging="1021"/>
      </w:pPr>
      <w:r>
        <w:t xml:space="preserve">The intent of including a soft floor space cap is to guide the size of local convenience centres so as not to impact the hierarchy of town centres. The VPA submits that it is </w:t>
      </w:r>
      <w:r>
        <w:lastRenderedPageBreak/>
        <w:t xml:space="preserve">reasonable for the responsible authority to exercise its discretion in determining the appropriateness of shop uses beyond the soft cap, which will be guided by an assessment of the necessity for such uses amongst other decision guidelines. </w:t>
      </w:r>
    </w:p>
    <w:p w14:paraId="64746D37" w14:textId="77777777" w:rsidR="00590220" w:rsidRDefault="00590220" w:rsidP="00590220">
      <w:pPr>
        <w:spacing w:after="0"/>
      </w:pPr>
    </w:p>
    <w:p w14:paraId="618EB790" w14:textId="77777777" w:rsidR="00590220" w:rsidRDefault="00590220" w:rsidP="00736861">
      <w:pPr>
        <w:pStyle w:val="ListParagraph"/>
        <w:numPr>
          <w:ilvl w:val="0"/>
          <w:numId w:val="9"/>
        </w:numPr>
        <w:spacing w:after="0"/>
        <w:ind w:left="1021" w:hanging="1021"/>
      </w:pPr>
      <w:r>
        <w:t xml:space="preserve">Select Group states that the PSP is too prescriptive in “particular reference to the provision of top-up groceries as referenced on pages 26 of the </w:t>
      </w:r>
      <w:proofErr w:type="spellStart"/>
      <w:r>
        <w:t>Kororoit</w:t>
      </w:r>
      <w:proofErr w:type="spellEnd"/>
      <w:r>
        <w:t xml:space="preserve"> PSP and page 32 of the </w:t>
      </w:r>
      <w:proofErr w:type="spellStart"/>
      <w:r>
        <w:t>Plumpton</w:t>
      </w:r>
      <w:proofErr w:type="spellEnd"/>
      <w:r>
        <w:t xml:space="preserve"> PSP”. The VPA has agreed to delete ‘Table 4 – Town centre hierarchy’ from each PSP, which is where the reference to ‘top-up groceries’ is included. </w:t>
      </w:r>
    </w:p>
    <w:p w14:paraId="3B24EE52" w14:textId="77777777" w:rsidR="00590220" w:rsidRDefault="00590220" w:rsidP="00590220">
      <w:pPr>
        <w:pStyle w:val="Heading3"/>
      </w:pPr>
    </w:p>
    <w:p w14:paraId="12D7A5EB" w14:textId="77777777" w:rsidR="00590220" w:rsidRDefault="00590220" w:rsidP="00590220">
      <w:pPr>
        <w:pStyle w:val="Heading3"/>
      </w:pPr>
      <w:bookmarkStart w:id="65" w:name="_Toc469573700"/>
      <w:r>
        <w:t>Sequential test</w:t>
      </w:r>
      <w:bookmarkEnd w:id="65"/>
    </w:p>
    <w:p w14:paraId="7604F1F3" w14:textId="77777777" w:rsidR="00590220" w:rsidRDefault="00590220" w:rsidP="00736861">
      <w:pPr>
        <w:pStyle w:val="ListParagraph"/>
        <w:numPr>
          <w:ilvl w:val="0"/>
          <w:numId w:val="9"/>
        </w:numPr>
        <w:spacing w:after="0"/>
        <w:ind w:left="1021" w:hanging="1021"/>
      </w:pPr>
      <w:r>
        <w:t>The VPA does not consider it necessary to include wording in the PSP to reference the sequential test considerations where permit triggers apply, as the VPA considers that the decision guidelines of the relevant Planning Scheme provisions are adequate in determining the merits of a planning application to use land for a supermarket.</w:t>
      </w:r>
    </w:p>
    <w:p w14:paraId="505DEB9A" w14:textId="77777777" w:rsidR="007704AF" w:rsidRDefault="007704AF" w:rsidP="00AF505E">
      <w:pPr>
        <w:spacing w:after="0"/>
      </w:pPr>
    </w:p>
    <w:p w14:paraId="3E2449F0" w14:textId="2769669A" w:rsidR="00023016" w:rsidRPr="00446CB1" w:rsidRDefault="00F23680" w:rsidP="00AF505E">
      <w:pPr>
        <w:pStyle w:val="Heading2"/>
        <w:rPr>
          <w:b/>
        </w:rPr>
      </w:pPr>
      <w:bookmarkStart w:id="66" w:name="_Toc469573701"/>
      <w:r>
        <w:rPr>
          <w:spacing w:val="-1"/>
        </w:rPr>
        <w:t xml:space="preserve">5.4 </w:t>
      </w:r>
      <w:r w:rsidR="00023016" w:rsidRPr="0021131D">
        <w:rPr>
          <w:spacing w:val="-1"/>
        </w:rPr>
        <w:t>Submission 27</w:t>
      </w:r>
      <w:r w:rsidR="001B0FBE">
        <w:rPr>
          <w:spacing w:val="-1"/>
        </w:rPr>
        <w:t xml:space="preserve"> (</w:t>
      </w:r>
      <w:proofErr w:type="spellStart"/>
      <w:r w:rsidR="001B0FBE">
        <w:rPr>
          <w:spacing w:val="-1"/>
        </w:rPr>
        <w:t>Plumpton</w:t>
      </w:r>
      <w:proofErr w:type="spellEnd"/>
      <w:r w:rsidR="001B0FBE">
        <w:rPr>
          <w:spacing w:val="-1"/>
        </w:rPr>
        <w:t>)</w:t>
      </w:r>
      <w:r w:rsidR="00023016" w:rsidRPr="0021131D">
        <w:rPr>
          <w:spacing w:val="-2"/>
        </w:rPr>
        <w:t xml:space="preserve"> </w:t>
      </w:r>
      <w:r w:rsidR="00023016" w:rsidRPr="0021131D">
        <w:t>–</w:t>
      </w:r>
      <w:r w:rsidR="00023016" w:rsidRPr="0021131D">
        <w:rPr>
          <w:spacing w:val="-2"/>
        </w:rPr>
        <w:t xml:space="preserve"> </w:t>
      </w:r>
      <w:r w:rsidR="00023016" w:rsidRPr="0021131D">
        <w:t xml:space="preserve">Zoran </w:t>
      </w:r>
      <w:proofErr w:type="spellStart"/>
      <w:r w:rsidR="00023016" w:rsidRPr="0021131D">
        <w:t>Trimcevski</w:t>
      </w:r>
      <w:proofErr w:type="spellEnd"/>
      <w:r w:rsidR="00023016" w:rsidRPr="0021131D">
        <w:t xml:space="preserve"> </w:t>
      </w:r>
      <w:r w:rsidR="00F56957">
        <w:t xml:space="preserve">(on behalf of </w:t>
      </w:r>
      <w:r w:rsidR="00023016" w:rsidRPr="0021131D">
        <w:t xml:space="preserve">Mirjana </w:t>
      </w:r>
      <w:proofErr w:type="spellStart"/>
      <w:r w:rsidR="00023016" w:rsidRPr="0021131D">
        <w:t>Mihaljevic</w:t>
      </w:r>
      <w:proofErr w:type="spellEnd"/>
      <w:r w:rsidR="00F56957">
        <w:t>)</w:t>
      </w:r>
      <w:bookmarkEnd w:id="66"/>
    </w:p>
    <w:p w14:paraId="1135519C" w14:textId="77777777" w:rsidR="00023016" w:rsidRDefault="00023016" w:rsidP="00AF505E">
      <w:pPr>
        <w:pStyle w:val="BodyText"/>
        <w:spacing w:line="276" w:lineRule="auto"/>
        <w:rPr>
          <w:rFonts w:asciiTheme="minorHAnsi" w:hAnsiTheme="minorHAnsi"/>
          <w:spacing w:val="-1"/>
        </w:rPr>
      </w:pPr>
      <w:r w:rsidRPr="003F5261">
        <w:rPr>
          <w:rFonts w:asciiTheme="minorHAnsi" w:hAnsiTheme="minorHAnsi"/>
          <w:b/>
          <w:bCs/>
          <w:spacing w:val="-1"/>
        </w:rPr>
        <w:t>Address:</w:t>
      </w:r>
      <w:r w:rsidRPr="003F5261">
        <w:rPr>
          <w:rFonts w:asciiTheme="minorHAnsi" w:hAnsiTheme="minorHAnsi"/>
          <w:b/>
          <w:bCs/>
          <w:spacing w:val="-3"/>
        </w:rPr>
        <w:t xml:space="preserve"> </w:t>
      </w:r>
      <w:r w:rsidRPr="003F5261">
        <w:rPr>
          <w:rFonts w:asciiTheme="minorHAnsi" w:hAnsiTheme="minorHAnsi"/>
          <w:spacing w:val="-1"/>
        </w:rPr>
        <w:t>39-</w:t>
      </w:r>
      <w:r w:rsidRPr="003F5261">
        <w:rPr>
          <w:rFonts w:asciiTheme="minorHAnsi" w:hAnsiTheme="minorHAnsi"/>
          <w:spacing w:val="-3"/>
        </w:rPr>
        <w:t xml:space="preserve">51 </w:t>
      </w:r>
      <w:proofErr w:type="spellStart"/>
      <w:r w:rsidRPr="003F5261">
        <w:rPr>
          <w:rFonts w:asciiTheme="minorHAnsi" w:hAnsiTheme="minorHAnsi"/>
          <w:spacing w:val="-3"/>
        </w:rPr>
        <w:t>Saric</w:t>
      </w:r>
      <w:proofErr w:type="spellEnd"/>
      <w:r w:rsidRPr="003F5261">
        <w:rPr>
          <w:rFonts w:asciiTheme="minorHAnsi" w:hAnsiTheme="minorHAnsi"/>
          <w:spacing w:val="-3"/>
        </w:rPr>
        <w:t xml:space="preserve"> Court </w:t>
      </w:r>
      <w:r w:rsidRPr="003F5261">
        <w:rPr>
          <w:rFonts w:asciiTheme="minorHAnsi" w:hAnsiTheme="minorHAnsi"/>
        </w:rPr>
        <w:t>/</w:t>
      </w:r>
      <w:r w:rsidRPr="003F5261">
        <w:rPr>
          <w:rFonts w:asciiTheme="minorHAnsi" w:hAnsiTheme="minorHAnsi"/>
          <w:spacing w:val="-1"/>
        </w:rPr>
        <w:t xml:space="preserve"> #54</w:t>
      </w:r>
    </w:p>
    <w:p w14:paraId="458883D8" w14:textId="77777777" w:rsidR="007704AF" w:rsidRPr="003F5261" w:rsidRDefault="007704AF" w:rsidP="00AF505E">
      <w:pPr>
        <w:pStyle w:val="BodyText"/>
        <w:spacing w:line="276" w:lineRule="auto"/>
        <w:rPr>
          <w:rFonts w:asciiTheme="minorHAnsi" w:hAnsiTheme="minorHAnsi"/>
          <w:spacing w:val="-1"/>
        </w:rPr>
      </w:pPr>
    </w:p>
    <w:p w14:paraId="43714AC4" w14:textId="4E29042C" w:rsidR="00F23680" w:rsidRDefault="007704AF" w:rsidP="00736861">
      <w:pPr>
        <w:pStyle w:val="ListParagraph"/>
        <w:numPr>
          <w:ilvl w:val="0"/>
          <w:numId w:val="9"/>
        </w:numPr>
        <w:spacing w:after="0"/>
        <w:ind w:left="1021" w:hanging="1021"/>
      </w:pPr>
      <w:r w:rsidRPr="00F23680">
        <w:t>Noted that this submitter withdrew from appearing at Panel and confirmed this in writing by email to Panel.</w:t>
      </w:r>
    </w:p>
    <w:p w14:paraId="569DE529" w14:textId="77777777" w:rsidR="001B0FBE" w:rsidRPr="001B0FBE" w:rsidRDefault="001B0FBE" w:rsidP="001B0FBE">
      <w:pPr>
        <w:pStyle w:val="ListParagraph"/>
        <w:spacing w:after="0"/>
        <w:ind w:left="1021"/>
      </w:pPr>
    </w:p>
    <w:p w14:paraId="17C8D5D2" w14:textId="1191F51E" w:rsidR="00F7305B" w:rsidRDefault="00F23680" w:rsidP="00AF505E">
      <w:pPr>
        <w:pStyle w:val="Heading2"/>
        <w:rPr>
          <w:noProof/>
          <w:u w:val="single"/>
        </w:rPr>
      </w:pPr>
      <w:bookmarkStart w:id="67" w:name="_Toc469573702"/>
      <w:r>
        <w:rPr>
          <w:noProof/>
        </w:rPr>
        <w:t xml:space="preserve">5.5 </w:t>
      </w:r>
      <w:r w:rsidR="00FB5286" w:rsidRPr="00A73A34">
        <w:rPr>
          <w:noProof/>
        </w:rPr>
        <w:t xml:space="preserve">Submission 14 </w:t>
      </w:r>
      <w:r w:rsidR="001B0FBE">
        <w:rPr>
          <w:noProof/>
        </w:rPr>
        <w:t xml:space="preserve">(Kororoit) </w:t>
      </w:r>
      <w:r w:rsidR="00FB5286" w:rsidRPr="00A73A34">
        <w:rPr>
          <w:noProof/>
        </w:rPr>
        <w:t>– Tract (on behalf of Sekhon</w:t>
      </w:r>
      <w:r w:rsidR="007B1985">
        <w:rPr>
          <w:noProof/>
        </w:rPr>
        <w:t>)</w:t>
      </w:r>
      <w:bookmarkEnd w:id="67"/>
    </w:p>
    <w:p w14:paraId="0EBF8A85" w14:textId="77777777" w:rsidR="00F7305B" w:rsidRDefault="00FB5286" w:rsidP="00AF505E">
      <w:pPr>
        <w:spacing w:after="0" w:line="276" w:lineRule="auto"/>
        <w:rPr>
          <w:rFonts w:cs="Arial"/>
          <w:noProof/>
        </w:rPr>
      </w:pPr>
      <w:r w:rsidRPr="0061415D">
        <w:rPr>
          <w:rFonts w:cs="Arial"/>
          <w:b/>
          <w:noProof/>
        </w:rPr>
        <w:t xml:space="preserve">Address: </w:t>
      </w:r>
      <w:r w:rsidRPr="0061415D">
        <w:rPr>
          <w:rFonts w:cs="Arial"/>
          <w:noProof/>
        </w:rPr>
        <w:t>68-88 Sinclairs Rd / #24</w:t>
      </w:r>
    </w:p>
    <w:p w14:paraId="6531D0C1" w14:textId="77777777" w:rsidR="00F7305B" w:rsidRDefault="00F7305B" w:rsidP="00AF505E">
      <w:pPr>
        <w:spacing w:after="0" w:line="276" w:lineRule="auto"/>
        <w:rPr>
          <w:rFonts w:cs="Arial"/>
          <w:b/>
          <w:noProof/>
          <w:u w:val="single"/>
        </w:rPr>
      </w:pPr>
    </w:p>
    <w:p w14:paraId="187EB559" w14:textId="0CC4B213" w:rsidR="00F56957" w:rsidRDefault="007B1985" w:rsidP="00736861">
      <w:pPr>
        <w:pStyle w:val="ListParagraph"/>
        <w:numPr>
          <w:ilvl w:val="0"/>
          <w:numId w:val="9"/>
        </w:numPr>
        <w:spacing w:after="0"/>
        <w:ind w:left="1021" w:hanging="1021"/>
      </w:pPr>
      <w:r w:rsidRPr="00F23680">
        <w:t>Noted that this submitter withdrew from appearing at Panel and confirmed this in writing.</w:t>
      </w:r>
    </w:p>
    <w:p w14:paraId="70F0424A" w14:textId="77777777" w:rsidR="001B0FBE" w:rsidRPr="001B0FBE" w:rsidRDefault="001B0FBE" w:rsidP="001B0FBE">
      <w:pPr>
        <w:pStyle w:val="ListParagraph"/>
        <w:spacing w:after="0"/>
        <w:ind w:left="1021"/>
      </w:pPr>
    </w:p>
    <w:p w14:paraId="4FFFD9A5" w14:textId="27754B34" w:rsidR="000F3BA8" w:rsidRDefault="00F23680" w:rsidP="00AF505E">
      <w:pPr>
        <w:pStyle w:val="Heading2"/>
        <w:rPr>
          <w:noProof/>
        </w:rPr>
      </w:pPr>
      <w:bookmarkStart w:id="68" w:name="_Toc469573703"/>
      <w:r>
        <w:rPr>
          <w:noProof/>
        </w:rPr>
        <w:t xml:space="preserve">5.6 </w:t>
      </w:r>
      <w:r w:rsidR="00FB5286" w:rsidRPr="00A73A34">
        <w:rPr>
          <w:noProof/>
        </w:rPr>
        <w:t>Submission 16</w:t>
      </w:r>
      <w:r w:rsidR="001B0FBE">
        <w:rPr>
          <w:noProof/>
        </w:rPr>
        <w:t xml:space="preserve"> (Kororoit)</w:t>
      </w:r>
      <w:r w:rsidR="00FB5286" w:rsidRPr="00A73A34">
        <w:rPr>
          <w:noProof/>
        </w:rPr>
        <w:t xml:space="preserve"> – Breese Pitt Dixon</w:t>
      </w:r>
      <w:r w:rsidR="000F3BA8" w:rsidRPr="00A73A34">
        <w:rPr>
          <w:noProof/>
        </w:rPr>
        <w:t xml:space="preserve"> (BPD)</w:t>
      </w:r>
      <w:r w:rsidR="00FB5286" w:rsidRPr="00A73A34">
        <w:rPr>
          <w:noProof/>
        </w:rPr>
        <w:t xml:space="preserve"> (on behalf of landowner)</w:t>
      </w:r>
      <w:bookmarkEnd w:id="68"/>
    </w:p>
    <w:p w14:paraId="254D5F44" w14:textId="77777777" w:rsidR="000F3BA8" w:rsidRDefault="00FB5286" w:rsidP="00AF505E">
      <w:pPr>
        <w:spacing w:after="0" w:line="276" w:lineRule="auto"/>
        <w:rPr>
          <w:rFonts w:cs="Arial"/>
          <w:b/>
          <w:noProof/>
          <w:sz w:val="32"/>
          <w:szCs w:val="32"/>
        </w:rPr>
      </w:pPr>
      <w:r w:rsidRPr="0061415D">
        <w:rPr>
          <w:rFonts w:cs="Arial"/>
          <w:b/>
          <w:noProof/>
        </w:rPr>
        <w:t xml:space="preserve">Address: </w:t>
      </w:r>
      <w:r w:rsidRPr="0061415D">
        <w:rPr>
          <w:rFonts w:cs="Arial"/>
          <w:noProof/>
        </w:rPr>
        <w:t xml:space="preserve">1053 Taylors Road / #63 </w:t>
      </w:r>
    </w:p>
    <w:p w14:paraId="244C82C1" w14:textId="77777777" w:rsidR="007B1985" w:rsidRDefault="007B1985" w:rsidP="00AF505E">
      <w:pPr>
        <w:pStyle w:val="BodyText"/>
        <w:spacing w:line="276" w:lineRule="auto"/>
        <w:rPr>
          <w:rFonts w:asciiTheme="minorHAnsi" w:hAnsiTheme="minorHAnsi"/>
          <w:spacing w:val="-1"/>
        </w:rPr>
      </w:pPr>
    </w:p>
    <w:p w14:paraId="4E693ED9" w14:textId="68D2279B" w:rsidR="00564DDF" w:rsidRPr="00F23680" w:rsidRDefault="007B1985" w:rsidP="00736861">
      <w:pPr>
        <w:pStyle w:val="ListParagraph"/>
        <w:numPr>
          <w:ilvl w:val="0"/>
          <w:numId w:val="9"/>
        </w:numPr>
        <w:spacing w:after="0"/>
        <w:ind w:left="1021" w:hanging="1021"/>
      </w:pPr>
      <w:r w:rsidRPr="00F23680">
        <w:t>Noted that this submitter did not present any further submission to Panel.</w:t>
      </w:r>
    </w:p>
    <w:sectPr w:rsidR="00564DDF" w:rsidRPr="00F236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6DDA" w14:textId="77777777" w:rsidR="00D07DDD" w:rsidRDefault="00D07DDD" w:rsidP="00CC6B52">
      <w:pPr>
        <w:spacing w:after="0" w:line="240" w:lineRule="auto"/>
      </w:pPr>
      <w:r>
        <w:separator/>
      </w:r>
    </w:p>
  </w:endnote>
  <w:endnote w:type="continuationSeparator" w:id="0">
    <w:p w14:paraId="48649BCE" w14:textId="77777777" w:rsidR="00D07DDD" w:rsidRDefault="00D07DDD" w:rsidP="00CC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umnst777 BT">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579524"/>
      <w:docPartObj>
        <w:docPartGallery w:val="Page Numbers (Bottom of Page)"/>
        <w:docPartUnique/>
      </w:docPartObj>
    </w:sdtPr>
    <w:sdtEndPr>
      <w:rPr>
        <w:noProof/>
        <w:sz w:val="18"/>
        <w:szCs w:val="18"/>
      </w:rPr>
    </w:sdtEndPr>
    <w:sdtContent>
      <w:p w14:paraId="6829EBDB" w14:textId="25ED4F23" w:rsidR="00D07DDD" w:rsidRPr="008532A2" w:rsidRDefault="00D07DDD" w:rsidP="008532A2">
        <w:pPr>
          <w:pStyle w:val="Footer"/>
          <w:jc w:val="right"/>
          <w:rPr>
            <w:sz w:val="18"/>
            <w:szCs w:val="18"/>
          </w:rPr>
        </w:pPr>
        <w:r w:rsidRPr="008532A2">
          <w:rPr>
            <w:sz w:val="18"/>
            <w:szCs w:val="18"/>
          </w:rPr>
          <w:t xml:space="preserve">Page </w:t>
        </w:r>
        <w:r w:rsidRPr="008532A2">
          <w:rPr>
            <w:sz w:val="18"/>
            <w:szCs w:val="18"/>
          </w:rPr>
          <w:fldChar w:fldCharType="begin"/>
        </w:r>
        <w:r w:rsidRPr="008532A2">
          <w:rPr>
            <w:sz w:val="18"/>
            <w:szCs w:val="18"/>
          </w:rPr>
          <w:instrText xml:space="preserve"> PAGE   \* MERGEFORMAT </w:instrText>
        </w:r>
        <w:r w:rsidRPr="008532A2">
          <w:rPr>
            <w:sz w:val="18"/>
            <w:szCs w:val="18"/>
          </w:rPr>
          <w:fldChar w:fldCharType="separate"/>
        </w:r>
        <w:r w:rsidR="008448BA">
          <w:rPr>
            <w:noProof/>
            <w:sz w:val="18"/>
            <w:szCs w:val="18"/>
          </w:rPr>
          <w:t>2</w:t>
        </w:r>
        <w:r w:rsidRPr="008532A2">
          <w:rPr>
            <w:noProof/>
            <w:sz w:val="18"/>
            <w:szCs w:val="18"/>
          </w:rPr>
          <w:fldChar w:fldCharType="end"/>
        </w:r>
      </w:p>
    </w:sdtContent>
  </w:sdt>
  <w:p w14:paraId="2B4A2A18" w14:textId="77777777" w:rsidR="00D07DDD" w:rsidRDefault="00D07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774FB" w14:textId="77777777" w:rsidR="00D07DDD" w:rsidRDefault="00D07DDD" w:rsidP="00CC6B52">
      <w:pPr>
        <w:spacing w:after="0" w:line="240" w:lineRule="auto"/>
      </w:pPr>
      <w:r>
        <w:separator/>
      </w:r>
    </w:p>
  </w:footnote>
  <w:footnote w:type="continuationSeparator" w:id="0">
    <w:p w14:paraId="49B609F5" w14:textId="77777777" w:rsidR="00D07DDD" w:rsidRDefault="00D07DDD" w:rsidP="00CC6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6468" w14:textId="36ADFAE2" w:rsidR="00D07DDD" w:rsidRPr="00FA3F60" w:rsidRDefault="00D07DDD" w:rsidP="00FA3F60">
    <w:pPr>
      <w:pStyle w:val="Header"/>
      <w:pBdr>
        <w:bottom w:val="single" w:sz="4" w:space="1" w:color="auto"/>
      </w:pBdr>
      <w:rPr>
        <w:sz w:val="18"/>
        <w:szCs w:val="18"/>
      </w:rPr>
    </w:pPr>
    <w:r w:rsidRPr="00FA3F60">
      <w:rPr>
        <w:sz w:val="18"/>
        <w:szCs w:val="18"/>
      </w:rPr>
      <w:t xml:space="preserve">VPA </w:t>
    </w:r>
    <w:r>
      <w:rPr>
        <w:sz w:val="18"/>
        <w:szCs w:val="18"/>
      </w:rPr>
      <w:t>Closing</w:t>
    </w:r>
    <w:r w:rsidRPr="00FA3F60">
      <w:rPr>
        <w:sz w:val="18"/>
        <w:szCs w:val="18"/>
      </w:rPr>
      <w:t xml:space="preserve"> Submission – Melton C146</w:t>
    </w:r>
    <w:r>
      <w:rPr>
        <w:sz w:val="18"/>
        <w:szCs w:val="18"/>
      </w:rPr>
      <w:t xml:space="preserve"> (</w:t>
    </w:r>
    <w:proofErr w:type="spellStart"/>
    <w:r>
      <w:rPr>
        <w:sz w:val="18"/>
        <w:szCs w:val="18"/>
      </w:rPr>
      <w:t>Plumpton</w:t>
    </w:r>
    <w:proofErr w:type="spellEnd"/>
    <w:r>
      <w:rPr>
        <w:sz w:val="18"/>
        <w:szCs w:val="18"/>
      </w:rPr>
      <w:t xml:space="preserve"> PSP)</w:t>
    </w:r>
    <w:r w:rsidRPr="00FA3F60">
      <w:rPr>
        <w:sz w:val="18"/>
        <w:szCs w:val="18"/>
      </w:rPr>
      <w:t xml:space="preserve"> &amp; C147</w:t>
    </w:r>
    <w:r>
      <w:rPr>
        <w:sz w:val="18"/>
        <w:szCs w:val="18"/>
      </w:rPr>
      <w:t xml:space="preserve"> (</w:t>
    </w:r>
    <w:proofErr w:type="spellStart"/>
    <w:r>
      <w:rPr>
        <w:sz w:val="18"/>
        <w:szCs w:val="18"/>
      </w:rPr>
      <w:t>Kororoit</w:t>
    </w:r>
    <w:proofErr w:type="spellEnd"/>
    <w:r>
      <w:rPr>
        <w:sz w:val="18"/>
        <w:szCs w:val="18"/>
      </w:rPr>
      <w:t xml:space="preserve"> PSP)</w:t>
    </w:r>
  </w:p>
  <w:p w14:paraId="312CAD98" w14:textId="77777777" w:rsidR="00D07DDD" w:rsidRDefault="00D07DDD" w:rsidP="00614C05">
    <w:pPr>
      <w:pStyle w:val="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721"/>
    <w:multiLevelType w:val="hybridMultilevel"/>
    <w:tmpl w:val="DDF6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99D"/>
    <w:multiLevelType w:val="hybridMultilevel"/>
    <w:tmpl w:val="595A4BD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 w15:restartNumberingAfterBreak="0">
    <w:nsid w:val="0D006A44"/>
    <w:multiLevelType w:val="hybridMultilevel"/>
    <w:tmpl w:val="2014FD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446D78"/>
    <w:multiLevelType w:val="hybridMultilevel"/>
    <w:tmpl w:val="65620118"/>
    <w:lvl w:ilvl="0" w:tplc="2158B2BC">
      <w:start w:val="1"/>
      <w:numFmt w:val="bullet"/>
      <w:lvlText w:val="-"/>
      <w:lvlJc w:val="left"/>
      <w:pPr>
        <w:ind w:left="1381" w:hanging="360"/>
      </w:pPr>
      <w:rPr>
        <w:rFonts w:ascii="Calibri" w:eastAsiaTheme="minorHAnsi" w:hAnsi="Calibri" w:cstheme="minorBidi" w:hint="default"/>
      </w:rPr>
    </w:lvl>
    <w:lvl w:ilvl="1" w:tplc="04090003" w:tentative="1">
      <w:start w:val="1"/>
      <w:numFmt w:val="bullet"/>
      <w:lvlText w:val="o"/>
      <w:lvlJc w:val="left"/>
      <w:pPr>
        <w:ind w:left="2101" w:hanging="360"/>
      </w:pPr>
      <w:rPr>
        <w:rFonts w:ascii="Courier New" w:hAnsi="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4" w15:restartNumberingAfterBreak="0">
    <w:nsid w:val="1CE36646"/>
    <w:multiLevelType w:val="hybridMultilevel"/>
    <w:tmpl w:val="9954A250"/>
    <w:lvl w:ilvl="0" w:tplc="557A7DA4">
      <w:start w:val="1"/>
      <w:numFmt w:val="decimal"/>
      <w:lvlText w:val="%1."/>
      <w:lvlJc w:val="left"/>
      <w:pPr>
        <w:ind w:left="360" w:hanging="360"/>
      </w:pPr>
      <w:rPr>
        <w:i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8679DF"/>
    <w:multiLevelType w:val="hybridMultilevel"/>
    <w:tmpl w:val="569E707E"/>
    <w:lvl w:ilvl="0" w:tplc="6B74AB18">
      <w:start w:val="9"/>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845E18"/>
    <w:multiLevelType w:val="hybridMultilevel"/>
    <w:tmpl w:val="31E695FE"/>
    <w:lvl w:ilvl="0" w:tplc="0C090001">
      <w:start w:val="1"/>
      <w:numFmt w:val="bullet"/>
      <w:lvlText w:val=""/>
      <w:lvlJc w:val="left"/>
      <w:pPr>
        <w:ind w:left="1741" w:hanging="360"/>
      </w:pPr>
      <w:rPr>
        <w:rFonts w:ascii="Symbol" w:hAnsi="Symbol"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7" w15:restartNumberingAfterBreak="0">
    <w:nsid w:val="35110942"/>
    <w:multiLevelType w:val="hybridMultilevel"/>
    <w:tmpl w:val="12907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5A52"/>
    <w:multiLevelType w:val="hybridMultilevel"/>
    <w:tmpl w:val="4058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D333A"/>
    <w:multiLevelType w:val="multilevel"/>
    <w:tmpl w:val="0AD624D8"/>
    <w:lvl w:ilvl="0">
      <w:start w:val="5"/>
      <w:numFmt w:val="decimal"/>
      <w:lvlText w:val="%1"/>
      <w:lvlJc w:val="left"/>
      <w:pPr>
        <w:ind w:left="405" w:hanging="405"/>
      </w:pPr>
      <w:rPr>
        <w:rFonts w:hint="default"/>
        <w:b w:val="0"/>
      </w:rPr>
    </w:lvl>
    <w:lvl w:ilvl="1">
      <w:start w:val="3"/>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40373625"/>
    <w:multiLevelType w:val="hybridMultilevel"/>
    <w:tmpl w:val="F3F6E966"/>
    <w:lvl w:ilvl="0" w:tplc="0C090001">
      <w:start w:val="1"/>
      <w:numFmt w:val="bullet"/>
      <w:lvlText w:val=""/>
      <w:lvlJc w:val="left"/>
      <w:pPr>
        <w:ind w:left="1741" w:hanging="360"/>
      </w:pPr>
      <w:rPr>
        <w:rFonts w:ascii="Symbol" w:hAnsi="Symbol"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1" w15:restartNumberingAfterBreak="0">
    <w:nsid w:val="45285654"/>
    <w:multiLevelType w:val="hybridMultilevel"/>
    <w:tmpl w:val="BB2AC918"/>
    <w:lvl w:ilvl="0" w:tplc="FF88C5B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4B0918"/>
    <w:multiLevelType w:val="hybridMultilevel"/>
    <w:tmpl w:val="104A5B3E"/>
    <w:lvl w:ilvl="0" w:tplc="FCA27D64">
      <w:start w:val="1"/>
      <w:numFmt w:val="bulle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539A76CE"/>
    <w:multiLevelType w:val="hybridMultilevel"/>
    <w:tmpl w:val="3F8C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B0ADD"/>
    <w:multiLevelType w:val="hybridMultilevel"/>
    <w:tmpl w:val="C058637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5" w15:restartNumberingAfterBreak="0">
    <w:nsid w:val="6FF022A4"/>
    <w:multiLevelType w:val="hybridMultilevel"/>
    <w:tmpl w:val="6B5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477E9"/>
    <w:multiLevelType w:val="hybridMultilevel"/>
    <w:tmpl w:val="CFDA5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9449D"/>
    <w:multiLevelType w:val="hybridMultilevel"/>
    <w:tmpl w:val="E7BE1114"/>
    <w:lvl w:ilvl="0" w:tplc="0C090001">
      <w:start w:val="1"/>
      <w:numFmt w:val="bullet"/>
      <w:lvlText w:val=""/>
      <w:lvlJc w:val="left"/>
      <w:pPr>
        <w:ind w:left="1741" w:hanging="360"/>
      </w:pPr>
      <w:rPr>
        <w:rFonts w:ascii="Symbol" w:hAnsi="Symbol"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num w:numId="1">
    <w:abstractNumId w:val="2"/>
  </w:num>
  <w:num w:numId="2">
    <w:abstractNumId w:val="13"/>
  </w:num>
  <w:num w:numId="3">
    <w:abstractNumId w:val="15"/>
  </w:num>
  <w:num w:numId="4">
    <w:abstractNumId w:val="0"/>
  </w:num>
  <w:num w:numId="5">
    <w:abstractNumId w:val="16"/>
  </w:num>
  <w:num w:numId="6">
    <w:abstractNumId w:val="3"/>
  </w:num>
  <w:num w:numId="7">
    <w:abstractNumId w:val="7"/>
  </w:num>
  <w:num w:numId="8">
    <w:abstractNumId w:val="8"/>
  </w:num>
  <w:num w:numId="9">
    <w:abstractNumId w:val="4"/>
  </w:num>
  <w:num w:numId="10">
    <w:abstractNumId w:val="9"/>
  </w:num>
  <w:num w:numId="11">
    <w:abstractNumId w:val="14"/>
  </w:num>
  <w:num w:numId="12">
    <w:abstractNumId w:val="1"/>
  </w:num>
  <w:num w:numId="13">
    <w:abstractNumId w:val="6"/>
  </w:num>
  <w:num w:numId="14">
    <w:abstractNumId w:val="12"/>
  </w:num>
  <w:num w:numId="15">
    <w:abstractNumId w:val="10"/>
  </w:num>
  <w:num w:numId="16">
    <w:abstractNumId w:val="17"/>
  </w:num>
  <w:num w:numId="17">
    <w:abstractNumId w:val="11"/>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readOnly" w:enforcement="1" w:cryptProviderType="rsaAES" w:cryptAlgorithmClass="hash" w:cryptAlgorithmType="typeAny" w:cryptAlgorithmSid="14" w:cryptSpinCount="100000" w:hash="75dfFiXPA6rdB7jZM1sIhH48c2sj+jwtqvEd7ZAYNXeryxEKNaQHCeZd30Awn5/VRx3RuY5iCW5jZpLHhWm0pQ==" w:salt="V+L8NJ/pumVPUc35O/hO4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84"/>
    <w:rsid w:val="0000098E"/>
    <w:rsid w:val="00002FC2"/>
    <w:rsid w:val="000120E6"/>
    <w:rsid w:val="00013635"/>
    <w:rsid w:val="000164CC"/>
    <w:rsid w:val="00016C47"/>
    <w:rsid w:val="00021E06"/>
    <w:rsid w:val="00023016"/>
    <w:rsid w:val="00023019"/>
    <w:rsid w:val="00023ED7"/>
    <w:rsid w:val="00025CD8"/>
    <w:rsid w:val="0002747F"/>
    <w:rsid w:val="00030A5F"/>
    <w:rsid w:val="00031105"/>
    <w:rsid w:val="0003246E"/>
    <w:rsid w:val="000339B7"/>
    <w:rsid w:val="0003503A"/>
    <w:rsid w:val="000353CB"/>
    <w:rsid w:val="00042F21"/>
    <w:rsid w:val="000479CB"/>
    <w:rsid w:val="00052D4C"/>
    <w:rsid w:val="00054A0F"/>
    <w:rsid w:val="00054B0D"/>
    <w:rsid w:val="00057B4B"/>
    <w:rsid w:val="00061051"/>
    <w:rsid w:val="000616DA"/>
    <w:rsid w:val="000662BE"/>
    <w:rsid w:val="00066C56"/>
    <w:rsid w:val="00066EDC"/>
    <w:rsid w:val="000720D6"/>
    <w:rsid w:val="00072962"/>
    <w:rsid w:val="00073347"/>
    <w:rsid w:val="00075169"/>
    <w:rsid w:val="000759F9"/>
    <w:rsid w:val="000766CF"/>
    <w:rsid w:val="000816EE"/>
    <w:rsid w:val="00082D7B"/>
    <w:rsid w:val="00087B9B"/>
    <w:rsid w:val="000A21E9"/>
    <w:rsid w:val="000A486B"/>
    <w:rsid w:val="000A7BE3"/>
    <w:rsid w:val="000B4ABC"/>
    <w:rsid w:val="000B6716"/>
    <w:rsid w:val="000B6945"/>
    <w:rsid w:val="000C3D7F"/>
    <w:rsid w:val="000C4AE6"/>
    <w:rsid w:val="000C60B5"/>
    <w:rsid w:val="000D0096"/>
    <w:rsid w:val="000D0B6D"/>
    <w:rsid w:val="000E0D90"/>
    <w:rsid w:val="000E193F"/>
    <w:rsid w:val="000E58FC"/>
    <w:rsid w:val="000E6898"/>
    <w:rsid w:val="000F02A3"/>
    <w:rsid w:val="000F030B"/>
    <w:rsid w:val="000F3BA8"/>
    <w:rsid w:val="000F4A3E"/>
    <w:rsid w:val="000F698A"/>
    <w:rsid w:val="000F716B"/>
    <w:rsid w:val="000F77EA"/>
    <w:rsid w:val="0010334E"/>
    <w:rsid w:val="001046BA"/>
    <w:rsid w:val="00105414"/>
    <w:rsid w:val="0010640B"/>
    <w:rsid w:val="00113E6A"/>
    <w:rsid w:val="00121058"/>
    <w:rsid w:val="00122099"/>
    <w:rsid w:val="00122F45"/>
    <w:rsid w:val="00126A15"/>
    <w:rsid w:val="00130282"/>
    <w:rsid w:val="001308CD"/>
    <w:rsid w:val="00136A4F"/>
    <w:rsid w:val="00150224"/>
    <w:rsid w:val="00156028"/>
    <w:rsid w:val="00156F69"/>
    <w:rsid w:val="001574D9"/>
    <w:rsid w:val="00164377"/>
    <w:rsid w:val="00167E23"/>
    <w:rsid w:val="001708DC"/>
    <w:rsid w:val="00171284"/>
    <w:rsid w:val="001736D8"/>
    <w:rsid w:val="001745FA"/>
    <w:rsid w:val="00184A17"/>
    <w:rsid w:val="00186C8A"/>
    <w:rsid w:val="00192272"/>
    <w:rsid w:val="001930AF"/>
    <w:rsid w:val="001932D5"/>
    <w:rsid w:val="00193B94"/>
    <w:rsid w:val="001945DB"/>
    <w:rsid w:val="0019709B"/>
    <w:rsid w:val="001A2425"/>
    <w:rsid w:val="001B0FBE"/>
    <w:rsid w:val="001B4891"/>
    <w:rsid w:val="001C21C9"/>
    <w:rsid w:val="001C51CA"/>
    <w:rsid w:val="001E0A05"/>
    <w:rsid w:val="001E0A1F"/>
    <w:rsid w:val="001E1DC9"/>
    <w:rsid w:val="002005EF"/>
    <w:rsid w:val="0020235B"/>
    <w:rsid w:val="00202A74"/>
    <w:rsid w:val="00202DBA"/>
    <w:rsid w:val="002035A2"/>
    <w:rsid w:val="00206001"/>
    <w:rsid w:val="0020626D"/>
    <w:rsid w:val="0021131D"/>
    <w:rsid w:val="00213BDD"/>
    <w:rsid w:val="00214DC3"/>
    <w:rsid w:val="002154E5"/>
    <w:rsid w:val="00217444"/>
    <w:rsid w:val="0022246F"/>
    <w:rsid w:val="00222F80"/>
    <w:rsid w:val="00225926"/>
    <w:rsid w:val="00225E45"/>
    <w:rsid w:val="00231FD1"/>
    <w:rsid w:val="00232A9C"/>
    <w:rsid w:val="002338C9"/>
    <w:rsid w:val="002400BD"/>
    <w:rsid w:val="002430EA"/>
    <w:rsid w:val="0024686D"/>
    <w:rsid w:val="002478BC"/>
    <w:rsid w:val="00252AAE"/>
    <w:rsid w:val="00255D7D"/>
    <w:rsid w:val="0025650D"/>
    <w:rsid w:val="00257093"/>
    <w:rsid w:val="00260CB0"/>
    <w:rsid w:val="00261F20"/>
    <w:rsid w:val="00266586"/>
    <w:rsid w:val="002673B0"/>
    <w:rsid w:val="00271F51"/>
    <w:rsid w:val="0027494D"/>
    <w:rsid w:val="002761AC"/>
    <w:rsid w:val="00277681"/>
    <w:rsid w:val="00280F88"/>
    <w:rsid w:val="00282BC1"/>
    <w:rsid w:val="00290F93"/>
    <w:rsid w:val="002916DE"/>
    <w:rsid w:val="002919DC"/>
    <w:rsid w:val="00291D62"/>
    <w:rsid w:val="00291F62"/>
    <w:rsid w:val="00292038"/>
    <w:rsid w:val="002939C6"/>
    <w:rsid w:val="00294095"/>
    <w:rsid w:val="00294DE9"/>
    <w:rsid w:val="002967E6"/>
    <w:rsid w:val="002A39BC"/>
    <w:rsid w:val="002B1668"/>
    <w:rsid w:val="002B1CA6"/>
    <w:rsid w:val="002B2D06"/>
    <w:rsid w:val="002B701F"/>
    <w:rsid w:val="002B7C34"/>
    <w:rsid w:val="002C3EAB"/>
    <w:rsid w:val="002C59C2"/>
    <w:rsid w:val="002D0040"/>
    <w:rsid w:val="002D4886"/>
    <w:rsid w:val="002D4DAF"/>
    <w:rsid w:val="002D55E3"/>
    <w:rsid w:val="002E057A"/>
    <w:rsid w:val="002E0C37"/>
    <w:rsid w:val="002E1AE7"/>
    <w:rsid w:val="002E2976"/>
    <w:rsid w:val="002E6982"/>
    <w:rsid w:val="002E6D18"/>
    <w:rsid w:val="002E6FD6"/>
    <w:rsid w:val="002E771C"/>
    <w:rsid w:val="002E7F77"/>
    <w:rsid w:val="002F0940"/>
    <w:rsid w:val="002F222F"/>
    <w:rsid w:val="002F67C1"/>
    <w:rsid w:val="00300F2F"/>
    <w:rsid w:val="00301FB5"/>
    <w:rsid w:val="00302501"/>
    <w:rsid w:val="00306209"/>
    <w:rsid w:val="0031096F"/>
    <w:rsid w:val="00310DAA"/>
    <w:rsid w:val="003157B0"/>
    <w:rsid w:val="00323C8A"/>
    <w:rsid w:val="00332E9F"/>
    <w:rsid w:val="0033355B"/>
    <w:rsid w:val="003353B5"/>
    <w:rsid w:val="003356C9"/>
    <w:rsid w:val="00336FC4"/>
    <w:rsid w:val="00340789"/>
    <w:rsid w:val="0034220B"/>
    <w:rsid w:val="003436E7"/>
    <w:rsid w:val="00346ADC"/>
    <w:rsid w:val="00346E32"/>
    <w:rsid w:val="0034706A"/>
    <w:rsid w:val="00347BF5"/>
    <w:rsid w:val="003510E2"/>
    <w:rsid w:val="00357907"/>
    <w:rsid w:val="00360384"/>
    <w:rsid w:val="00361E5C"/>
    <w:rsid w:val="00364F12"/>
    <w:rsid w:val="003676D3"/>
    <w:rsid w:val="00374697"/>
    <w:rsid w:val="00376FDF"/>
    <w:rsid w:val="0038028A"/>
    <w:rsid w:val="00380BC2"/>
    <w:rsid w:val="00385A5C"/>
    <w:rsid w:val="003940CB"/>
    <w:rsid w:val="00395014"/>
    <w:rsid w:val="00395DD0"/>
    <w:rsid w:val="003A3071"/>
    <w:rsid w:val="003A30A9"/>
    <w:rsid w:val="003A34B2"/>
    <w:rsid w:val="003A6BD0"/>
    <w:rsid w:val="003B19EE"/>
    <w:rsid w:val="003B20BA"/>
    <w:rsid w:val="003B24BA"/>
    <w:rsid w:val="003B2D27"/>
    <w:rsid w:val="003B2F6E"/>
    <w:rsid w:val="003B4EEE"/>
    <w:rsid w:val="003B58D3"/>
    <w:rsid w:val="003B6086"/>
    <w:rsid w:val="003C01BF"/>
    <w:rsid w:val="003C2F5E"/>
    <w:rsid w:val="003C485B"/>
    <w:rsid w:val="003C53DF"/>
    <w:rsid w:val="003C6AFB"/>
    <w:rsid w:val="003C7B47"/>
    <w:rsid w:val="003C7E24"/>
    <w:rsid w:val="003D11C0"/>
    <w:rsid w:val="003D1F04"/>
    <w:rsid w:val="003D56AB"/>
    <w:rsid w:val="003E34BF"/>
    <w:rsid w:val="003E540C"/>
    <w:rsid w:val="003F335D"/>
    <w:rsid w:val="003F3BE3"/>
    <w:rsid w:val="003F5261"/>
    <w:rsid w:val="003F6E86"/>
    <w:rsid w:val="004008BB"/>
    <w:rsid w:val="004009FA"/>
    <w:rsid w:val="00401025"/>
    <w:rsid w:val="004021F0"/>
    <w:rsid w:val="0040434D"/>
    <w:rsid w:val="004066DE"/>
    <w:rsid w:val="00406825"/>
    <w:rsid w:val="004138A0"/>
    <w:rsid w:val="00415C3E"/>
    <w:rsid w:val="00422E15"/>
    <w:rsid w:val="00424266"/>
    <w:rsid w:val="00425303"/>
    <w:rsid w:val="00430711"/>
    <w:rsid w:val="004314EC"/>
    <w:rsid w:val="004317C2"/>
    <w:rsid w:val="00434CF1"/>
    <w:rsid w:val="00436A17"/>
    <w:rsid w:val="00437BBD"/>
    <w:rsid w:val="00446804"/>
    <w:rsid w:val="00446CB1"/>
    <w:rsid w:val="00446F86"/>
    <w:rsid w:val="0045044D"/>
    <w:rsid w:val="0045397E"/>
    <w:rsid w:val="00455AE2"/>
    <w:rsid w:val="004575E2"/>
    <w:rsid w:val="00463552"/>
    <w:rsid w:val="00467192"/>
    <w:rsid w:val="00470969"/>
    <w:rsid w:val="004725D1"/>
    <w:rsid w:val="00473208"/>
    <w:rsid w:val="00477446"/>
    <w:rsid w:val="00492C78"/>
    <w:rsid w:val="00497D1A"/>
    <w:rsid w:val="004A15EF"/>
    <w:rsid w:val="004A3BF5"/>
    <w:rsid w:val="004A7967"/>
    <w:rsid w:val="004B3CF1"/>
    <w:rsid w:val="004B49E7"/>
    <w:rsid w:val="004B7B04"/>
    <w:rsid w:val="004C0612"/>
    <w:rsid w:val="004C1FEF"/>
    <w:rsid w:val="004C2747"/>
    <w:rsid w:val="004C3411"/>
    <w:rsid w:val="004C66B6"/>
    <w:rsid w:val="004D075A"/>
    <w:rsid w:val="004D2F8E"/>
    <w:rsid w:val="004D5C10"/>
    <w:rsid w:val="004D5F23"/>
    <w:rsid w:val="004E074A"/>
    <w:rsid w:val="004E075F"/>
    <w:rsid w:val="004E343A"/>
    <w:rsid w:val="004E3902"/>
    <w:rsid w:val="004E7B21"/>
    <w:rsid w:val="004E7C29"/>
    <w:rsid w:val="004F4B60"/>
    <w:rsid w:val="004F6D4E"/>
    <w:rsid w:val="00500256"/>
    <w:rsid w:val="005200BD"/>
    <w:rsid w:val="00524299"/>
    <w:rsid w:val="0052445C"/>
    <w:rsid w:val="005247BB"/>
    <w:rsid w:val="00530393"/>
    <w:rsid w:val="00531D18"/>
    <w:rsid w:val="00536A9A"/>
    <w:rsid w:val="00541786"/>
    <w:rsid w:val="00551537"/>
    <w:rsid w:val="0055198F"/>
    <w:rsid w:val="005523E3"/>
    <w:rsid w:val="005524C9"/>
    <w:rsid w:val="005534DB"/>
    <w:rsid w:val="0055483E"/>
    <w:rsid w:val="00557219"/>
    <w:rsid w:val="0056282A"/>
    <w:rsid w:val="00562A6B"/>
    <w:rsid w:val="0056342A"/>
    <w:rsid w:val="00563C71"/>
    <w:rsid w:val="00563E9F"/>
    <w:rsid w:val="00564DDF"/>
    <w:rsid w:val="00573E8F"/>
    <w:rsid w:val="00575DFF"/>
    <w:rsid w:val="0057625F"/>
    <w:rsid w:val="00576DFB"/>
    <w:rsid w:val="005828C6"/>
    <w:rsid w:val="00590220"/>
    <w:rsid w:val="00591D9A"/>
    <w:rsid w:val="00591FC1"/>
    <w:rsid w:val="00593917"/>
    <w:rsid w:val="005939BD"/>
    <w:rsid w:val="0059481F"/>
    <w:rsid w:val="00597177"/>
    <w:rsid w:val="0059728F"/>
    <w:rsid w:val="005A3D0B"/>
    <w:rsid w:val="005A3D4F"/>
    <w:rsid w:val="005A5888"/>
    <w:rsid w:val="005B1E06"/>
    <w:rsid w:val="005D0827"/>
    <w:rsid w:val="005D3D4C"/>
    <w:rsid w:val="005D4941"/>
    <w:rsid w:val="005D5F23"/>
    <w:rsid w:val="005E0B00"/>
    <w:rsid w:val="005E17C0"/>
    <w:rsid w:val="005E4FFE"/>
    <w:rsid w:val="005E7266"/>
    <w:rsid w:val="005E7E1A"/>
    <w:rsid w:val="005F0A4D"/>
    <w:rsid w:val="005F43E7"/>
    <w:rsid w:val="005F454B"/>
    <w:rsid w:val="005F5F4A"/>
    <w:rsid w:val="005F6688"/>
    <w:rsid w:val="005F6A44"/>
    <w:rsid w:val="005F6D9C"/>
    <w:rsid w:val="00602F7F"/>
    <w:rsid w:val="00603690"/>
    <w:rsid w:val="006117AB"/>
    <w:rsid w:val="00613132"/>
    <w:rsid w:val="00613147"/>
    <w:rsid w:val="00613F7E"/>
    <w:rsid w:val="0061415D"/>
    <w:rsid w:val="00614C05"/>
    <w:rsid w:val="006159F9"/>
    <w:rsid w:val="00616D03"/>
    <w:rsid w:val="00617209"/>
    <w:rsid w:val="00625739"/>
    <w:rsid w:val="0063069B"/>
    <w:rsid w:val="00634A3B"/>
    <w:rsid w:val="00636A0B"/>
    <w:rsid w:val="0064162A"/>
    <w:rsid w:val="006440D4"/>
    <w:rsid w:val="006455FF"/>
    <w:rsid w:val="006476EF"/>
    <w:rsid w:val="00665E8C"/>
    <w:rsid w:val="00670025"/>
    <w:rsid w:val="00674738"/>
    <w:rsid w:val="006773E1"/>
    <w:rsid w:val="00677BBA"/>
    <w:rsid w:val="00677D17"/>
    <w:rsid w:val="006802B3"/>
    <w:rsid w:val="006821DD"/>
    <w:rsid w:val="006829AD"/>
    <w:rsid w:val="0069278A"/>
    <w:rsid w:val="00693BC3"/>
    <w:rsid w:val="00694BC1"/>
    <w:rsid w:val="00695B48"/>
    <w:rsid w:val="006A3CCE"/>
    <w:rsid w:val="006A5D82"/>
    <w:rsid w:val="006A5DEB"/>
    <w:rsid w:val="006B23C3"/>
    <w:rsid w:val="006B54D8"/>
    <w:rsid w:val="006C1AF2"/>
    <w:rsid w:val="006C513C"/>
    <w:rsid w:val="006C54C5"/>
    <w:rsid w:val="006C65B4"/>
    <w:rsid w:val="006C6928"/>
    <w:rsid w:val="006C7037"/>
    <w:rsid w:val="006D070A"/>
    <w:rsid w:val="006D1456"/>
    <w:rsid w:val="006D47C3"/>
    <w:rsid w:val="006D52B2"/>
    <w:rsid w:val="006D7003"/>
    <w:rsid w:val="006E0155"/>
    <w:rsid w:val="006E277E"/>
    <w:rsid w:val="006E3065"/>
    <w:rsid w:val="006E3974"/>
    <w:rsid w:val="006E5ADE"/>
    <w:rsid w:val="006E7156"/>
    <w:rsid w:val="006F29E6"/>
    <w:rsid w:val="006F2E1A"/>
    <w:rsid w:val="006F557C"/>
    <w:rsid w:val="00700206"/>
    <w:rsid w:val="00700591"/>
    <w:rsid w:val="00705796"/>
    <w:rsid w:val="0070712E"/>
    <w:rsid w:val="00722E2B"/>
    <w:rsid w:val="00726E80"/>
    <w:rsid w:val="00730363"/>
    <w:rsid w:val="007317EC"/>
    <w:rsid w:val="0073197B"/>
    <w:rsid w:val="00736861"/>
    <w:rsid w:val="0074147C"/>
    <w:rsid w:val="00741ADA"/>
    <w:rsid w:val="007437CD"/>
    <w:rsid w:val="00743C96"/>
    <w:rsid w:val="00744929"/>
    <w:rsid w:val="007453B5"/>
    <w:rsid w:val="007471B2"/>
    <w:rsid w:val="00750911"/>
    <w:rsid w:val="00756ED8"/>
    <w:rsid w:val="00760104"/>
    <w:rsid w:val="007606A2"/>
    <w:rsid w:val="00764EE6"/>
    <w:rsid w:val="007704AF"/>
    <w:rsid w:val="00773BB7"/>
    <w:rsid w:val="00776EAB"/>
    <w:rsid w:val="0077791E"/>
    <w:rsid w:val="00777E1B"/>
    <w:rsid w:val="0078172B"/>
    <w:rsid w:val="00783E60"/>
    <w:rsid w:val="00784A1F"/>
    <w:rsid w:val="007A0F6E"/>
    <w:rsid w:val="007A3A80"/>
    <w:rsid w:val="007A61AC"/>
    <w:rsid w:val="007A6899"/>
    <w:rsid w:val="007B1985"/>
    <w:rsid w:val="007B490B"/>
    <w:rsid w:val="007B58D7"/>
    <w:rsid w:val="007B5D8E"/>
    <w:rsid w:val="007B7CE2"/>
    <w:rsid w:val="007C0020"/>
    <w:rsid w:val="007C1CDB"/>
    <w:rsid w:val="007C494D"/>
    <w:rsid w:val="007D4CF9"/>
    <w:rsid w:val="007D5178"/>
    <w:rsid w:val="007D70FC"/>
    <w:rsid w:val="007D7F4E"/>
    <w:rsid w:val="007E0D41"/>
    <w:rsid w:val="007F1A43"/>
    <w:rsid w:val="007F3165"/>
    <w:rsid w:val="007F3F8B"/>
    <w:rsid w:val="0080090F"/>
    <w:rsid w:val="00802D18"/>
    <w:rsid w:val="00803F22"/>
    <w:rsid w:val="00805525"/>
    <w:rsid w:val="008057E0"/>
    <w:rsid w:val="00806344"/>
    <w:rsid w:val="00806B74"/>
    <w:rsid w:val="00812C4D"/>
    <w:rsid w:val="008178B4"/>
    <w:rsid w:val="008229FA"/>
    <w:rsid w:val="0083011F"/>
    <w:rsid w:val="00832609"/>
    <w:rsid w:val="00834DFE"/>
    <w:rsid w:val="008376EF"/>
    <w:rsid w:val="008408F3"/>
    <w:rsid w:val="008434B0"/>
    <w:rsid w:val="0084355A"/>
    <w:rsid w:val="008448BA"/>
    <w:rsid w:val="00846DFF"/>
    <w:rsid w:val="008532A2"/>
    <w:rsid w:val="008534B0"/>
    <w:rsid w:val="00855679"/>
    <w:rsid w:val="00855FD8"/>
    <w:rsid w:val="00861D73"/>
    <w:rsid w:val="00861F9B"/>
    <w:rsid w:val="00862E36"/>
    <w:rsid w:val="008642F7"/>
    <w:rsid w:val="0087026F"/>
    <w:rsid w:val="0087161A"/>
    <w:rsid w:val="008738A0"/>
    <w:rsid w:val="008751E1"/>
    <w:rsid w:val="00877CDB"/>
    <w:rsid w:val="00883EA4"/>
    <w:rsid w:val="008925C0"/>
    <w:rsid w:val="008954D2"/>
    <w:rsid w:val="008A0744"/>
    <w:rsid w:val="008A2A81"/>
    <w:rsid w:val="008A7163"/>
    <w:rsid w:val="008B0458"/>
    <w:rsid w:val="008B6626"/>
    <w:rsid w:val="008C0D3E"/>
    <w:rsid w:val="008C5EBF"/>
    <w:rsid w:val="008C6AD8"/>
    <w:rsid w:val="008C6C51"/>
    <w:rsid w:val="008D0084"/>
    <w:rsid w:val="008D2CFF"/>
    <w:rsid w:val="008D3362"/>
    <w:rsid w:val="008D453C"/>
    <w:rsid w:val="008D4F49"/>
    <w:rsid w:val="008D68C0"/>
    <w:rsid w:val="008E13EA"/>
    <w:rsid w:val="008E266F"/>
    <w:rsid w:val="008E374F"/>
    <w:rsid w:val="008E4FAB"/>
    <w:rsid w:val="008E5AC8"/>
    <w:rsid w:val="008E60D7"/>
    <w:rsid w:val="008E6E8C"/>
    <w:rsid w:val="008F27D1"/>
    <w:rsid w:val="009012E0"/>
    <w:rsid w:val="00903D55"/>
    <w:rsid w:val="0090688C"/>
    <w:rsid w:val="00914106"/>
    <w:rsid w:val="00917BEF"/>
    <w:rsid w:val="00923D85"/>
    <w:rsid w:val="00926AEC"/>
    <w:rsid w:val="0093005A"/>
    <w:rsid w:val="00930416"/>
    <w:rsid w:val="009325E8"/>
    <w:rsid w:val="009371B4"/>
    <w:rsid w:val="009416F4"/>
    <w:rsid w:val="00941B57"/>
    <w:rsid w:val="00941C11"/>
    <w:rsid w:val="00945438"/>
    <w:rsid w:val="009474EB"/>
    <w:rsid w:val="009526B7"/>
    <w:rsid w:val="00952A08"/>
    <w:rsid w:val="00962ECF"/>
    <w:rsid w:val="0097184F"/>
    <w:rsid w:val="00973C3B"/>
    <w:rsid w:val="00974F77"/>
    <w:rsid w:val="00980B3C"/>
    <w:rsid w:val="00980B3E"/>
    <w:rsid w:val="00985048"/>
    <w:rsid w:val="009906B2"/>
    <w:rsid w:val="0099177E"/>
    <w:rsid w:val="0099493E"/>
    <w:rsid w:val="00997B4F"/>
    <w:rsid w:val="009A3F76"/>
    <w:rsid w:val="009A6F6F"/>
    <w:rsid w:val="009A7B03"/>
    <w:rsid w:val="009B2C48"/>
    <w:rsid w:val="009B2CE7"/>
    <w:rsid w:val="009B4BD8"/>
    <w:rsid w:val="009B6190"/>
    <w:rsid w:val="009B7BC5"/>
    <w:rsid w:val="009C066C"/>
    <w:rsid w:val="009C174F"/>
    <w:rsid w:val="009C1788"/>
    <w:rsid w:val="009C2D8D"/>
    <w:rsid w:val="009C311E"/>
    <w:rsid w:val="009D1607"/>
    <w:rsid w:val="009D22A6"/>
    <w:rsid w:val="009D372F"/>
    <w:rsid w:val="009D3C5D"/>
    <w:rsid w:val="009D6A5F"/>
    <w:rsid w:val="009D6AED"/>
    <w:rsid w:val="009D7684"/>
    <w:rsid w:val="009E1C04"/>
    <w:rsid w:val="009E27B0"/>
    <w:rsid w:val="009E4A9B"/>
    <w:rsid w:val="009E6769"/>
    <w:rsid w:val="009E6DC3"/>
    <w:rsid w:val="009F6945"/>
    <w:rsid w:val="009F6D91"/>
    <w:rsid w:val="00A001F2"/>
    <w:rsid w:val="00A02B32"/>
    <w:rsid w:val="00A05107"/>
    <w:rsid w:val="00A1230F"/>
    <w:rsid w:val="00A16820"/>
    <w:rsid w:val="00A237BC"/>
    <w:rsid w:val="00A23943"/>
    <w:rsid w:val="00A23BB3"/>
    <w:rsid w:val="00A2418B"/>
    <w:rsid w:val="00A24720"/>
    <w:rsid w:val="00A25549"/>
    <w:rsid w:val="00A25E1A"/>
    <w:rsid w:val="00A2708E"/>
    <w:rsid w:val="00A31CA1"/>
    <w:rsid w:val="00A35619"/>
    <w:rsid w:val="00A356EF"/>
    <w:rsid w:val="00A36ED5"/>
    <w:rsid w:val="00A37B91"/>
    <w:rsid w:val="00A411E9"/>
    <w:rsid w:val="00A418BC"/>
    <w:rsid w:val="00A43984"/>
    <w:rsid w:val="00A4485F"/>
    <w:rsid w:val="00A44CA9"/>
    <w:rsid w:val="00A4578B"/>
    <w:rsid w:val="00A45801"/>
    <w:rsid w:val="00A51A92"/>
    <w:rsid w:val="00A51C17"/>
    <w:rsid w:val="00A5400F"/>
    <w:rsid w:val="00A628A7"/>
    <w:rsid w:val="00A67F68"/>
    <w:rsid w:val="00A719F7"/>
    <w:rsid w:val="00A71F8E"/>
    <w:rsid w:val="00A73931"/>
    <w:rsid w:val="00A73A34"/>
    <w:rsid w:val="00A73BBD"/>
    <w:rsid w:val="00A73EB2"/>
    <w:rsid w:val="00A74CB7"/>
    <w:rsid w:val="00A76258"/>
    <w:rsid w:val="00A7769C"/>
    <w:rsid w:val="00A778B6"/>
    <w:rsid w:val="00A827C5"/>
    <w:rsid w:val="00A82E46"/>
    <w:rsid w:val="00A84007"/>
    <w:rsid w:val="00A872E5"/>
    <w:rsid w:val="00A876E9"/>
    <w:rsid w:val="00A87E7C"/>
    <w:rsid w:val="00A9012C"/>
    <w:rsid w:val="00A90E0F"/>
    <w:rsid w:val="00A93388"/>
    <w:rsid w:val="00A93609"/>
    <w:rsid w:val="00A9406A"/>
    <w:rsid w:val="00A95986"/>
    <w:rsid w:val="00A96556"/>
    <w:rsid w:val="00AA21D1"/>
    <w:rsid w:val="00AA76DA"/>
    <w:rsid w:val="00AB535B"/>
    <w:rsid w:val="00AB7B5B"/>
    <w:rsid w:val="00AB7B5D"/>
    <w:rsid w:val="00AC07C6"/>
    <w:rsid w:val="00AC3AC8"/>
    <w:rsid w:val="00AC43DD"/>
    <w:rsid w:val="00AC528D"/>
    <w:rsid w:val="00AD420F"/>
    <w:rsid w:val="00AD5123"/>
    <w:rsid w:val="00AD66CD"/>
    <w:rsid w:val="00AE280E"/>
    <w:rsid w:val="00AE44EF"/>
    <w:rsid w:val="00AE541C"/>
    <w:rsid w:val="00AE68A9"/>
    <w:rsid w:val="00AF505E"/>
    <w:rsid w:val="00AF7065"/>
    <w:rsid w:val="00AF7350"/>
    <w:rsid w:val="00B0227B"/>
    <w:rsid w:val="00B030E0"/>
    <w:rsid w:val="00B0379B"/>
    <w:rsid w:val="00B1194D"/>
    <w:rsid w:val="00B13B68"/>
    <w:rsid w:val="00B17273"/>
    <w:rsid w:val="00B21F55"/>
    <w:rsid w:val="00B2215E"/>
    <w:rsid w:val="00B22D29"/>
    <w:rsid w:val="00B23B43"/>
    <w:rsid w:val="00B31337"/>
    <w:rsid w:val="00B31E00"/>
    <w:rsid w:val="00B32F05"/>
    <w:rsid w:val="00B4276B"/>
    <w:rsid w:val="00B5149D"/>
    <w:rsid w:val="00B5246C"/>
    <w:rsid w:val="00B56F61"/>
    <w:rsid w:val="00B57B60"/>
    <w:rsid w:val="00B61E5E"/>
    <w:rsid w:val="00B6313C"/>
    <w:rsid w:val="00B635C2"/>
    <w:rsid w:val="00B66774"/>
    <w:rsid w:val="00B67963"/>
    <w:rsid w:val="00B721A2"/>
    <w:rsid w:val="00B7331A"/>
    <w:rsid w:val="00B775F9"/>
    <w:rsid w:val="00B77635"/>
    <w:rsid w:val="00B8082B"/>
    <w:rsid w:val="00B8104B"/>
    <w:rsid w:val="00B85A27"/>
    <w:rsid w:val="00B8728E"/>
    <w:rsid w:val="00B87420"/>
    <w:rsid w:val="00B9107D"/>
    <w:rsid w:val="00B92DFF"/>
    <w:rsid w:val="00B93A6E"/>
    <w:rsid w:val="00BA3E8E"/>
    <w:rsid w:val="00BA4B7B"/>
    <w:rsid w:val="00BB1567"/>
    <w:rsid w:val="00BB4B0F"/>
    <w:rsid w:val="00BC0A57"/>
    <w:rsid w:val="00BC6367"/>
    <w:rsid w:val="00BC6C77"/>
    <w:rsid w:val="00BD2929"/>
    <w:rsid w:val="00BE05BA"/>
    <w:rsid w:val="00BE447E"/>
    <w:rsid w:val="00BE5F3F"/>
    <w:rsid w:val="00BE6B69"/>
    <w:rsid w:val="00BE7296"/>
    <w:rsid w:val="00BE7F9C"/>
    <w:rsid w:val="00BF00F9"/>
    <w:rsid w:val="00BF0801"/>
    <w:rsid w:val="00BF10EA"/>
    <w:rsid w:val="00BF171D"/>
    <w:rsid w:val="00C02420"/>
    <w:rsid w:val="00C02AD8"/>
    <w:rsid w:val="00C047F3"/>
    <w:rsid w:val="00C07DF9"/>
    <w:rsid w:val="00C156B6"/>
    <w:rsid w:val="00C2017A"/>
    <w:rsid w:val="00C21638"/>
    <w:rsid w:val="00C27347"/>
    <w:rsid w:val="00C27D7B"/>
    <w:rsid w:val="00C31377"/>
    <w:rsid w:val="00C32459"/>
    <w:rsid w:val="00C34628"/>
    <w:rsid w:val="00C41A91"/>
    <w:rsid w:val="00C46339"/>
    <w:rsid w:val="00C47EDA"/>
    <w:rsid w:val="00C533A6"/>
    <w:rsid w:val="00C612CA"/>
    <w:rsid w:val="00C63DBA"/>
    <w:rsid w:val="00C64D57"/>
    <w:rsid w:val="00C672F8"/>
    <w:rsid w:val="00C74B7F"/>
    <w:rsid w:val="00C7533A"/>
    <w:rsid w:val="00C75BEA"/>
    <w:rsid w:val="00C84F73"/>
    <w:rsid w:val="00C85294"/>
    <w:rsid w:val="00C85AF3"/>
    <w:rsid w:val="00C864EB"/>
    <w:rsid w:val="00C871E8"/>
    <w:rsid w:val="00C910F7"/>
    <w:rsid w:val="00C91929"/>
    <w:rsid w:val="00C91BB5"/>
    <w:rsid w:val="00CA51C6"/>
    <w:rsid w:val="00CA557C"/>
    <w:rsid w:val="00CA7763"/>
    <w:rsid w:val="00CB2241"/>
    <w:rsid w:val="00CB3755"/>
    <w:rsid w:val="00CB6D97"/>
    <w:rsid w:val="00CC2958"/>
    <w:rsid w:val="00CC3091"/>
    <w:rsid w:val="00CC3D11"/>
    <w:rsid w:val="00CC498E"/>
    <w:rsid w:val="00CC4F03"/>
    <w:rsid w:val="00CC6B52"/>
    <w:rsid w:val="00CD01B0"/>
    <w:rsid w:val="00CD099B"/>
    <w:rsid w:val="00CD59C6"/>
    <w:rsid w:val="00CD5A52"/>
    <w:rsid w:val="00CD6780"/>
    <w:rsid w:val="00CE4D91"/>
    <w:rsid w:val="00CE7FAE"/>
    <w:rsid w:val="00CF054F"/>
    <w:rsid w:val="00CF33C4"/>
    <w:rsid w:val="00D0113B"/>
    <w:rsid w:val="00D031A3"/>
    <w:rsid w:val="00D04CA5"/>
    <w:rsid w:val="00D06534"/>
    <w:rsid w:val="00D0750D"/>
    <w:rsid w:val="00D07DA9"/>
    <w:rsid w:val="00D07DDD"/>
    <w:rsid w:val="00D1768D"/>
    <w:rsid w:val="00D177C8"/>
    <w:rsid w:val="00D20334"/>
    <w:rsid w:val="00D20EFB"/>
    <w:rsid w:val="00D22369"/>
    <w:rsid w:val="00D22637"/>
    <w:rsid w:val="00D25851"/>
    <w:rsid w:val="00D26FE7"/>
    <w:rsid w:val="00D27C2B"/>
    <w:rsid w:val="00D30394"/>
    <w:rsid w:val="00D312C7"/>
    <w:rsid w:val="00D3249E"/>
    <w:rsid w:val="00D33B0F"/>
    <w:rsid w:val="00D417C5"/>
    <w:rsid w:val="00D424E4"/>
    <w:rsid w:val="00D4306B"/>
    <w:rsid w:val="00D4537B"/>
    <w:rsid w:val="00D463A8"/>
    <w:rsid w:val="00D4673A"/>
    <w:rsid w:val="00D5071C"/>
    <w:rsid w:val="00D51323"/>
    <w:rsid w:val="00D5182A"/>
    <w:rsid w:val="00D52026"/>
    <w:rsid w:val="00D52FE5"/>
    <w:rsid w:val="00D61E94"/>
    <w:rsid w:val="00D62318"/>
    <w:rsid w:val="00D67A16"/>
    <w:rsid w:val="00D82553"/>
    <w:rsid w:val="00D861EA"/>
    <w:rsid w:val="00D9093E"/>
    <w:rsid w:val="00D9661B"/>
    <w:rsid w:val="00D977C0"/>
    <w:rsid w:val="00DA1725"/>
    <w:rsid w:val="00DA285E"/>
    <w:rsid w:val="00DA368D"/>
    <w:rsid w:val="00DA70B0"/>
    <w:rsid w:val="00DA71BD"/>
    <w:rsid w:val="00DB104A"/>
    <w:rsid w:val="00DB3390"/>
    <w:rsid w:val="00DB498E"/>
    <w:rsid w:val="00DB529E"/>
    <w:rsid w:val="00DB6BE7"/>
    <w:rsid w:val="00DB77BF"/>
    <w:rsid w:val="00DC074C"/>
    <w:rsid w:val="00DC5E5A"/>
    <w:rsid w:val="00DC63B9"/>
    <w:rsid w:val="00DC712A"/>
    <w:rsid w:val="00DD01A8"/>
    <w:rsid w:val="00DD54A9"/>
    <w:rsid w:val="00DE131F"/>
    <w:rsid w:val="00DE1D4E"/>
    <w:rsid w:val="00DF3961"/>
    <w:rsid w:val="00DF51CA"/>
    <w:rsid w:val="00DF5B2D"/>
    <w:rsid w:val="00E01A47"/>
    <w:rsid w:val="00E01D8D"/>
    <w:rsid w:val="00E03608"/>
    <w:rsid w:val="00E04112"/>
    <w:rsid w:val="00E0484F"/>
    <w:rsid w:val="00E1150D"/>
    <w:rsid w:val="00E14458"/>
    <w:rsid w:val="00E14A87"/>
    <w:rsid w:val="00E15162"/>
    <w:rsid w:val="00E16132"/>
    <w:rsid w:val="00E173B9"/>
    <w:rsid w:val="00E2274F"/>
    <w:rsid w:val="00E25524"/>
    <w:rsid w:val="00E2586F"/>
    <w:rsid w:val="00E279D6"/>
    <w:rsid w:val="00E32968"/>
    <w:rsid w:val="00E33868"/>
    <w:rsid w:val="00E36144"/>
    <w:rsid w:val="00E4326D"/>
    <w:rsid w:val="00E43DF6"/>
    <w:rsid w:val="00E46A35"/>
    <w:rsid w:val="00E50C0A"/>
    <w:rsid w:val="00E532A9"/>
    <w:rsid w:val="00E541BB"/>
    <w:rsid w:val="00E54526"/>
    <w:rsid w:val="00E7264F"/>
    <w:rsid w:val="00E74E5B"/>
    <w:rsid w:val="00E75E6A"/>
    <w:rsid w:val="00E81A39"/>
    <w:rsid w:val="00E8403A"/>
    <w:rsid w:val="00E85A0F"/>
    <w:rsid w:val="00E90CA9"/>
    <w:rsid w:val="00E91677"/>
    <w:rsid w:val="00E922FD"/>
    <w:rsid w:val="00E96A54"/>
    <w:rsid w:val="00EA3A9D"/>
    <w:rsid w:val="00EA758E"/>
    <w:rsid w:val="00EB3248"/>
    <w:rsid w:val="00EB36B6"/>
    <w:rsid w:val="00EB4FFF"/>
    <w:rsid w:val="00EB5F78"/>
    <w:rsid w:val="00EC1360"/>
    <w:rsid w:val="00EC4C63"/>
    <w:rsid w:val="00ED6478"/>
    <w:rsid w:val="00EE0178"/>
    <w:rsid w:val="00EE35FD"/>
    <w:rsid w:val="00EE36F6"/>
    <w:rsid w:val="00EF165F"/>
    <w:rsid w:val="00EF4696"/>
    <w:rsid w:val="00F02CBA"/>
    <w:rsid w:val="00F07107"/>
    <w:rsid w:val="00F075F7"/>
    <w:rsid w:val="00F174E7"/>
    <w:rsid w:val="00F21972"/>
    <w:rsid w:val="00F22599"/>
    <w:rsid w:val="00F23680"/>
    <w:rsid w:val="00F24FAA"/>
    <w:rsid w:val="00F25F18"/>
    <w:rsid w:val="00F2721D"/>
    <w:rsid w:val="00F30727"/>
    <w:rsid w:val="00F331C6"/>
    <w:rsid w:val="00F34756"/>
    <w:rsid w:val="00F40EE2"/>
    <w:rsid w:val="00F452A1"/>
    <w:rsid w:val="00F45DAC"/>
    <w:rsid w:val="00F47CA8"/>
    <w:rsid w:val="00F51B6A"/>
    <w:rsid w:val="00F53AA0"/>
    <w:rsid w:val="00F550E4"/>
    <w:rsid w:val="00F566B5"/>
    <w:rsid w:val="00F56957"/>
    <w:rsid w:val="00F5766B"/>
    <w:rsid w:val="00F600A0"/>
    <w:rsid w:val="00F615A4"/>
    <w:rsid w:val="00F62856"/>
    <w:rsid w:val="00F7265F"/>
    <w:rsid w:val="00F7305B"/>
    <w:rsid w:val="00F7351C"/>
    <w:rsid w:val="00F750F1"/>
    <w:rsid w:val="00F756CC"/>
    <w:rsid w:val="00F75D84"/>
    <w:rsid w:val="00F8602B"/>
    <w:rsid w:val="00F8694D"/>
    <w:rsid w:val="00F92AB7"/>
    <w:rsid w:val="00FA3F60"/>
    <w:rsid w:val="00FA42C9"/>
    <w:rsid w:val="00FB06C5"/>
    <w:rsid w:val="00FB1710"/>
    <w:rsid w:val="00FB17DE"/>
    <w:rsid w:val="00FB5286"/>
    <w:rsid w:val="00FB633D"/>
    <w:rsid w:val="00FB74D9"/>
    <w:rsid w:val="00FB7563"/>
    <w:rsid w:val="00FB7884"/>
    <w:rsid w:val="00FC1A77"/>
    <w:rsid w:val="00FC4568"/>
    <w:rsid w:val="00FC7FF2"/>
    <w:rsid w:val="00FD29FB"/>
    <w:rsid w:val="00FD2EB6"/>
    <w:rsid w:val="00FD4738"/>
    <w:rsid w:val="00FD73ED"/>
    <w:rsid w:val="00FD7E9A"/>
    <w:rsid w:val="00FF3980"/>
    <w:rsid w:val="00FF40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579B322"/>
  <w15:docId w15:val="{2F57C6C6-95A3-472F-9478-6531623A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1"/>
    <w:qFormat/>
    <w:rsid w:val="0020235B"/>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756CC"/>
    <w:pPr>
      <w:keepNext/>
      <w:keepLines/>
      <w:spacing w:before="40" w:after="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9718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279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B52"/>
    <w:rPr>
      <w:lang w:val="en-GB"/>
    </w:rPr>
  </w:style>
  <w:style w:type="paragraph" w:styleId="Footer">
    <w:name w:val="footer"/>
    <w:basedOn w:val="Normal"/>
    <w:link w:val="FooterChar"/>
    <w:uiPriority w:val="99"/>
    <w:unhideWhenUsed/>
    <w:rsid w:val="00CC6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B52"/>
    <w:rPr>
      <w:lang w:val="en-GB"/>
    </w:rPr>
  </w:style>
  <w:style w:type="paragraph" w:styleId="ListParagraph">
    <w:name w:val="List Paragraph"/>
    <w:aliases w:val="Bullets 1,Bullet List"/>
    <w:basedOn w:val="Normal"/>
    <w:link w:val="ListParagraphChar"/>
    <w:uiPriority w:val="34"/>
    <w:qFormat/>
    <w:rsid w:val="00CC6B52"/>
    <w:pPr>
      <w:ind w:left="720"/>
      <w:contextualSpacing/>
    </w:pPr>
  </w:style>
  <w:style w:type="character" w:customStyle="1" w:styleId="ListParagraphChar">
    <w:name w:val="List Paragraph Char"/>
    <w:aliases w:val="Bullets 1 Char,Bullet List Char"/>
    <w:link w:val="ListParagraph"/>
    <w:uiPriority w:val="34"/>
    <w:rsid w:val="005A5888"/>
    <w:rPr>
      <w:lang w:val="en-GB"/>
    </w:rPr>
  </w:style>
  <w:style w:type="character" w:styleId="CommentReference">
    <w:name w:val="annotation reference"/>
    <w:basedOn w:val="DefaultParagraphFont"/>
    <w:uiPriority w:val="99"/>
    <w:semiHidden/>
    <w:unhideWhenUsed/>
    <w:rsid w:val="00F8694D"/>
    <w:rPr>
      <w:sz w:val="16"/>
      <w:szCs w:val="16"/>
    </w:rPr>
  </w:style>
  <w:style w:type="paragraph" w:styleId="CommentText">
    <w:name w:val="annotation text"/>
    <w:basedOn w:val="Normal"/>
    <w:link w:val="CommentTextChar"/>
    <w:uiPriority w:val="99"/>
    <w:unhideWhenUsed/>
    <w:rsid w:val="00F8694D"/>
    <w:pPr>
      <w:spacing w:line="240" w:lineRule="auto"/>
    </w:pPr>
    <w:rPr>
      <w:sz w:val="20"/>
      <w:szCs w:val="20"/>
    </w:rPr>
  </w:style>
  <w:style w:type="character" w:customStyle="1" w:styleId="CommentTextChar">
    <w:name w:val="Comment Text Char"/>
    <w:basedOn w:val="DefaultParagraphFont"/>
    <w:link w:val="CommentText"/>
    <w:uiPriority w:val="99"/>
    <w:rsid w:val="00F8694D"/>
    <w:rPr>
      <w:sz w:val="20"/>
      <w:szCs w:val="20"/>
      <w:lang w:val="en-GB"/>
    </w:rPr>
  </w:style>
  <w:style w:type="paragraph" w:styleId="CommentSubject">
    <w:name w:val="annotation subject"/>
    <w:basedOn w:val="CommentText"/>
    <w:next w:val="CommentText"/>
    <w:link w:val="CommentSubjectChar"/>
    <w:uiPriority w:val="99"/>
    <w:semiHidden/>
    <w:unhideWhenUsed/>
    <w:rsid w:val="00F8694D"/>
    <w:rPr>
      <w:b/>
      <w:bCs/>
    </w:rPr>
  </w:style>
  <w:style w:type="character" w:customStyle="1" w:styleId="CommentSubjectChar">
    <w:name w:val="Comment Subject Char"/>
    <w:basedOn w:val="CommentTextChar"/>
    <w:link w:val="CommentSubject"/>
    <w:uiPriority w:val="99"/>
    <w:semiHidden/>
    <w:rsid w:val="00F8694D"/>
    <w:rPr>
      <w:b/>
      <w:bCs/>
      <w:sz w:val="20"/>
      <w:szCs w:val="20"/>
      <w:lang w:val="en-GB"/>
    </w:rPr>
  </w:style>
  <w:style w:type="paragraph" w:styleId="BalloonText">
    <w:name w:val="Balloon Text"/>
    <w:basedOn w:val="Normal"/>
    <w:link w:val="BalloonTextChar"/>
    <w:uiPriority w:val="99"/>
    <w:semiHidden/>
    <w:unhideWhenUsed/>
    <w:rsid w:val="00F86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D"/>
    <w:rPr>
      <w:rFonts w:ascii="Segoe UI" w:hAnsi="Segoe UI" w:cs="Segoe UI"/>
      <w:sz w:val="18"/>
      <w:szCs w:val="18"/>
      <w:lang w:val="en-GB"/>
    </w:rPr>
  </w:style>
  <w:style w:type="paragraph" w:customStyle="1" w:styleId="Default">
    <w:name w:val="Default"/>
    <w:rsid w:val="00302501"/>
    <w:pPr>
      <w:autoSpaceDE w:val="0"/>
      <w:autoSpaceDN w:val="0"/>
      <w:adjustRightInd w:val="0"/>
      <w:spacing w:after="0" w:line="240" w:lineRule="auto"/>
    </w:pPr>
    <w:rPr>
      <w:rFonts w:ascii="Verdana" w:hAnsi="Verdana" w:cs="Verdana"/>
      <w:color w:val="000000"/>
      <w:sz w:val="24"/>
      <w:szCs w:val="24"/>
    </w:rPr>
  </w:style>
  <w:style w:type="paragraph" w:customStyle="1" w:styleId="BodyContent">
    <w:name w:val="Body (Content)"/>
    <w:basedOn w:val="Normal"/>
    <w:uiPriority w:val="99"/>
    <w:rsid w:val="008954D2"/>
    <w:pPr>
      <w:suppressAutoHyphens/>
      <w:autoSpaceDE w:val="0"/>
      <w:autoSpaceDN w:val="0"/>
      <w:adjustRightInd w:val="0"/>
      <w:spacing w:before="113" w:after="57" w:line="216" w:lineRule="atLeast"/>
      <w:ind w:left="560"/>
      <w:jc w:val="both"/>
      <w:textAlignment w:val="center"/>
    </w:pPr>
    <w:rPr>
      <w:rFonts w:ascii="Humnst777 BT" w:hAnsi="Humnst777 BT" w:cs="Humnst777 BT"/>
      <w:color w:val="000000"/>
      <w:sz w:val="18"/>
      <w:szCs w:val="18"/>
      <w:lang w:val="en-US"/>
    </w:rPr>
  </w:style>
  <w:style w:type="paragraph" w:customStyle="1" w:styleId="Body">
    <w:name w:val="Body"/>
    <w:basedOn w:val="ListParagraph"/>
    <w:link w:val="BodyChar"/>
    <w:qFormat/>
    <w:rsid w:val="00A73EB2"/>
    <w:pPr>
      <w:spacing w:after="200" w:line="276" w:lineRule="auto"/>
      <w:ind w:left="1559" w:right="119"/>
    </w:pPr>
    <w:rPr>
      <w:rFonts w:ascii="Trebuchet MS" w:hAnsi="Trebuchet MS"/>
      <w:color w:val="0D0D0D" w:themeColor="text1" w:themeTint="F2"/>
      <w:sz w:val="18"/>
      <w:lang w:val="en-AU"/>
    </w:rPr>
  </w:style>
  <w:style w:type="character" w:customStyle="1" w:styleId="BodyChar">
    <w:name w:val="Body Char"/>
    <w:basedOn w:val="DefaultParagraphFont"/>
    <w:link w:val="Body"/>
    <w:rsid w:val="00A73EB2"/>
    <w:rPr>
      <w:rFonts w:ascii="Trebuchet MS" w:hAnsi="Trebuchet MS"/>
      <w:color w:val="0D0D0D" w:themeColor="text1" w:themeTint="F2"/>
      <w:sz w:val="18"/>
    </w:rPr>
  </w:style>
  <w:style w:type="paragraph" w:styleId="Title">
    <w:name w:val="Title"/>
    <w:basedOn w:val="Normal"/>
    <w:next w:val="Normal"/>
    <w:link w:val="TitleChar"/>
    <w:uiPriority w:val="10"/>
    <w:qFormat/>
    <w:rsid w:val="009D3C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C5D"/>
    <w:rPr>
      <w:rFonts w:asciiTheme="majorHAnsi" w:eastAsiaTheme="majorEastAsia" w:hAnsiTheme="majorHAnsi" w:cstheme="majorBidi"/>
      <w:spacing w:val="-10"/>
      <w:kern w:val="28"/>
      <w:sz w:val="56"/>
      <w:szCs w:val="56"/>
      <w:lang w:val="en-GB"/>
    </w:rPr>
  </w:style>
  <w:style w:type="paragraph" w:styleId="NoSpacing">
    <w:name w:val="No Spacing"/>
    <w:uiPriority w:val="1"/>
    <w:qFormat/>
    <w:rsid w:val="009D3C5D"/>
    <w:pPr>
      <w:spacing w:after="0" w:line="240" w:lineRule="auto"/>
    </w:pPr>
    <w:rPr>
      <w:lang w:val="en-GB"/>
    </w:rPr>
  </w:style>
  <w:style w:type="character" w:customStyle="1" w:styleId="Heading2Char">
    <w:name w:val="Heading 2 Char"/>
    <w:basedOn w:val="DefaultParagraphFont"/>
    <w:link w:val="Heading2"/>
    <w:uiPriority w:val="9"/>
    <w:rsid w:val="00F756CC"/>
    <w:rPr>
      <w:rFonts w:asciiTheme="majorHAnsi" w:eastAsiaTheme="majorEastAsia" w:hAnsiTheme="majorHAnsi" w:cstheme="majorBidi"/>
      <w:color w:val="2E74B5" w:themeColor="accent1" w:themeShade="BF"/>
      <w:sz w:val="32"/>
      <w:szCs w:val="26"/>
      <w:lang w:val="en-GB"/>
    </w:rPr>
  </w:style>
  <w:style w:type="paragraph" w:styleId="NormalWeb">
    <w:name w:val="Normal (Web)"/>
    <w:basedOn w:val="Normal"/>
    <w:uiPriority w:val="99"/>
    <w:semiHidden/>
    <w:unhideWhenUsed/>
    <w:rsid w:val="00E46A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1"/>
    <w:qFormat/>
    <w:rsid w:val="00395DD0"/>
    <w:pPr>
      <w:widowControl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95DD0"/>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20235B"/>
    <w:rPr>
      <w:rFonts w:eastAsiaTheme="majorEastAsia" w:cstheme="majorBidi"/>
      <w:sz w:val="32"/>
      <w:szCs w:val="32"/>
      <w:lang w:val="en-GB"/>
    </w:rPr>
  </w:style>
  <w:style w:type="paragraph" w:customStyle="1" w:styleId="MediumGrid1-Accent21">
    <w:name w:val="Medium Grid 1 - Accent 21"/>
    <w:basedOn w:val="Normal"/>
    <w:link w:val="MediumGrid1-Accent2Char"/>
    <w:autoRedefine/>
    <w:uiPriority w:val="34"/>
    <w:qFormat/>
    <w:rsid w:val="00832609"/>
    <w:pPr>
      <w:tabs>
        <w:tab w:val="left" w:pos="2410"/>
      </w:tabs>
      <w:autoSpaceDE w:val="0"/>
      <w:autoSpaceDN w:val="0"/>
      <w:adjustRightInd w:val="0"/>
      <w:spacing w:after="0" w:line="360" w:lineRule="auto"/>
      <w:jc w:val="both"/>
    </w:pPr>
    <w:rPr>
      <w:rFonts w:ascii="Calibri" w:eastAsia="Times New Roman" w:hAnsi="Calibri" w:cs="Times New Roman"/>
      <w:lang w:val="en-US" w:eastAsia="en-AU"/>
    </w:rPr>
  </w:style>
  <w:style w:type="character" w:customStyle="1" w:styleId="MediumGrid1-Accent2Char">
    <w:name w:val="Medium Grid 1 - Accent 2 Char"/>
    <w:link w:val="MediumGrid1-Accent21"/>
    <w:uiPriority w:val="34"/>
    <w:rsid w:val="00832609"/>
    <w:rPr>
      <w:rFonts w:ascii="Calibri" w:eastAsia="Times New Roman" w:hAnsi="Calibri" w:cs="Times New Roman"/>
      <w:lang w:val="en-US" w:eastAsia="en-AU"/>
    </w:rPr>
  </w:style>
  <w:style w:type="character" w:customStyle="1" w:styleId="Heading3Char">
    <w:name w:val="Heading 3 Char"/>
    <w:basedOn w:val="DefaultParagraphFont"/>
    <w:link w:val="Heading3"/>
    <w:uiPriority w:val="9"/>
    <w:rsid w:val="0097184F"/>
    <w:rPr>
      <w:rFonts w:asciiTheme="majorHAnsi" w:eastAsiaTheme="majorEastAsia" w:hAnsiTheme="majorHAnsi" w:cstheme="majorBidi"/>
      <w:color w:val="1F4D78" w:themeColor="accent1" w:themeShade="7F"/>
      <w:sz w:val="24"/>
      <w:szCs w:val="24"/>
      <w:lang w:val="en-GB"/>
    </w:rPr>
  </w:style>
  <w:style w:type="paragraph" w:styleId="Caption">
    <w:name w:val="caption"/>
    <w:basedOn w:val="Normal"/>
    <w:next w:val="Normal"/>
    <w:uiPriority w:val="35"/>
    <w:unhideWhenUsed/>
    <w:qFormat/>
    <w:rsid w:val="0039501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95014"/>
    <w:pPr>
      <w:outlineLvl w:val="9"/>
    </w:pPr>
    <w:rPr>
      <w:lang w:val="en-US"/>
    </w:rPr>
  </w:style>
  <w:style w:type="paragraph" w:styleId="TOC1">
    <w:name w:val="toc 1"/>
    <w:basedOn w:val="Normal"/>
    <w:next w:val="Normal"/>
    <w:autoRedefine/>
    <w:uiPriority w:val="39"/>
    <w:unhideWhenUsed/>
    <w:rsid w:val="00395014"/>
    <w:pPr>
      <w:spacing w:after="100"/>
    </w:pPr>
  </w:style>
  <w:style w:type="paragraph" w:styleId="TOC2">
    <w:name w:val="toc 2"/>
    <w:basedOn w:val="Normal"/>
    <w:next w:val="Normal"/>
    <w:autoRedefine/>
    <w:uiPriority w:val="39"/>
    <w:unhideWhenUsed/>
    <w:rsid w:val="00617209"/>
    <w:pPr>
      <w:tabs>
        <w:tab w:val="right" w:leader="dot" w:pos="9016"/>
      </w:tabs>
      <w:spacing w:after="100"/>
    </w:pPr>
  </w:style>
  <w:style w:type="paragraph" w:styleId="TOC3">
    <w:name w:val="toc 3"/>
    <w:basedOn w:val="Normal"/>
    <w:next w:val="Normal"/>
    <w:autoRedefine/>
    <w:uiPriority w:val="39"/>
    <w:unhideWhenUsed/>
    <w:rsid w:val="00395014"/>
    <w:pPr>
      <w:spacing w:after="100"/>
      <w:ind w:left="440"/>
    </w:pPr>
  </w:style>
  <w:style w:type="character" w:styleId="Hyperlink">
    <w:name w:val="Hyperlink"/>
    <w:basedOn w:val="DefaultParagraphFont"/>
    <w:uiPriority w:val="99"/>
    <w:unhideWhenUsed/>
    <w:rsid w:val="00395014"/>
    <w:rPr>
      <w:color w:val="0563C1" w:themeColor="hyperlink"/>
      <w:u w:val="single"/>
    </w:rPr>
  </w:style>
  <w:style w:type="table" w:styleId="TableGrid">
    <w:name w:val="Table Grid"/>
    <w:basedOn w:val="TableNormal"/>
    <w:uiPriority w:val="39"/>
    <w:rsid w:val="0003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31105"/>
    <w:pPr>
      <w:spacing w:before="120" w:after="0" w:line="240" w:lineRule="auto"/>
    </w:pPr>
    <w:rPr>
      <w:sz w:val="20"/>
      <w:szCs w:val="20"/>
    </w:rPr>
  </w:style>
  <w:style w:type="character" w:customStyle="1" w:styleId="FootnoteTextChar">
    <w:name w:val="Footnote Text Char"/>
    <w:basedOn w:val="DefaultParagraphFont"/>
    <w:link w:val="FootnoteText"/>
    <w:semiHidden/>
    <w:rsid w:val="00031105"/>
    <w:rPr>
      <w:sz w:val="20"/>
      <w:szCs w:val="20"/>
      <w:lang w:val="en-GB"/>
    </w:rPr>
  </w:style>
  <w:style w:type="character" w:styleId="FootnoteReference">
    <w:name w:val="footnote reference"/>
    <w:basedOn w:val="DefaultParagraphFont"/>
    <w:semiHidden/>
    <w:unhideWhenUsed/>
    <w:rsid w:val="00031105"/>
    <w:rPr>
      <w:vertAlign w:val="superscript"/>
    </w:rPr>
  </w:style>
  <w:style w:type="paragraph" w:customStyle="1" w:styleId="Itallics1">
    <w:name w:val="Itallics 1"/>
    <w:basedOn w:val="Normal"/>
    <w:link w:val="Itallics1Char"/>
    <w:qFormat/>
    <w:rsid w:val="00031105"/>
    <w:pPr>
      <w:suppressAutoHyphens/>
      <w:spacing w:before="120" w:after="120" w:line="240" w:lineRule="auto"/>
      <w:ind w:left="284"/>
      <w:jc w:val="both"/>
    </w:pPr>
    <w:rPr>
      <w:rFonts w:ascii="Calibri" w:eastAsia="Times" w:hAnsi="Calibri" w:cs="Times New Roman"/>
      <w:i/>
      <w:color w:val="5B9BD5" w:themeColor="accent1"/>
      <w:lang w:val="en-AU" w:eastAsia="en-AU"/>
    </w:rPr>
  </w:style>
  <w:style w:type="character" w:customStyle="1" w:styleId="Itallics1Char">
    <w:name w:val="Itallics 1 Char"/>
    <w:basedOn w:val="DefaultParagraphFont"/>
    <w:link w:val="Itallics1"/>
    <w:rsid w:val="00031105"/>
    <w:rPr>
      <w:rFonts w:ascii="Calibri" w:eastAsia="Times" w:hAnsi="Calibri" w:cs="Times New Roman"/>
      <w:i/>
      <w:color w:val="5B9BD5" w:themeColor="accent1"/>
      <w:lang w:eastAsia="en-AU"/>
    </w:rPr>
  </w:style>
  <w:style w:type="paragraph" w:customStyle="1" w:styleId="BodyText1">
    <w:name w:val="Body Text1"/>
    <w:basedOn w:val="Normal"/>
    <w:link w:val="BodytextChar0"/>
    <w:qFormat/>
    <w:rsid w:val="00D61E94"/>
    <w:pPr>
      <w:spacing w:before="60" w:after="80" w:line="240" w:lineRule="auto"/>
      <w:ind w:left="1134"/>
      <w:jc w:val="both"/>
    </w:pPr>
    <w:rPr>
      <w:rFonts w:ascii="Times New Roman" w:eastAsia="Times New Roman" w:hAnsi="Times New Roman" w:cs="Times New Roman"/>
      <w:sz w:val="20"/>
      <w:szCs w:val="20"/>
      <w:lang w:val="en-AU" w:eastAsia="en-AU"/>
    </w:rPr>
  </w:style>
  <w:style w:type="character" w:customStyle="1" w:styleId="BodytextChar0">
    <w:name w:val="Body text Char"/>
    <w:link w:val="BodyText1"/>
    <w:rsid w:val="00D61E94"/>
    <w:rPr>
      <w:rFonts w:ascii="Times New Roman" w:eastAsia="Times New Roman" w:hAnsi="Times New Roman" w:cs="Times New Roman"/>
      <w:sz w:val="20"/>
      <w:szCs w:val="20"/>
      <w:lang w:eastAsia="en-AU"/>
    </w:rPr>
  </w:style>
  <w:style w:type="character" w:customStyle="1" w:styleId="PPVLetterAlphaListChar">
    <w:name w:val="PPV Letter Alpha List Char"/>
    <w:basedOn w:val="DefaultParagraphFont"/>
    <w:link w:val="PPVLetterAlphaList"/>
    <w:locked/>
    <w:rsid w:val="00A2418B"/>
    <w:rPr>
      <w:lang w:eastAsia="en-AU"/>
    </w:rPr>
  </w:style>
  <w:style w:type="paragraph" w:customStyle="1" w:styleId="PPVLetterAlphaList">
    <w:name w:val="PPV Letter Alpha List"/>
    <w:basedOn w:val="ListParagraph"/>
    <w:link w:val="PPVLetterAlphaListChar"/>
    <w:qFormat/>
    <w:rsid w:val="00A2418B"/>
    <w:pPr>
      <w:spacing w:before="60" w:after="0" w:line="240" w:lineRule="auto"/>
      <w:ind w:left="1440" w:hanging="360"/>
      <w:contextualSpacing w:val="0"/>
      <w:jc w:val="both"/>
    </w:pPr>
    <w:rPr>
      <w:lang w:val="en-AU" w:eastAsia="en-AU"/>
    </w:rPr>
  </w:style>
  <w:style w:type="paragraph" w:customStyle="1" w:styleId="VPP-bodytext">
    <w:name w:val="VPP - body text"/>
    <w:basedOn w:val="BodyText1"/>
    <w:link w:val="VPP-bodytextChar"/>
    <w:qFormat/>
    <w:rsid w:val="00551537"/>
    <w:rPr>
      <w:noProof/>
      <w:lang w:val="en-US"/>
    </w:rPr>
  </w:style>
  <w:style w:type="character" w:customStyle="1" w:styleId="VPP-bodytextChar">
    <w:name w:val="VPP - body text Char"/>
    <w:basedOn w:val="BodyTextChar"/>
    <w:link w:val="VPP-bodytext"/>
    <w:rsid w:val="00551537"/>
    <w:rPr>
      <w:rFonts w:ascii="Times New Roman" w:eastAsia="Times New Roman" w:hAnsi="Times New Roman" w:cs="Times New Roman"/>
      <w:noProof/>
      <w:sz w:val="20"/>
      <w:szCs w:val="20"/>
      <w:lang w:val="en-US" w:eastAsia="en-AU"/>
    </w:rPr>
  </w:style>
  <w:style w:type="paragraph" w:styleId="TOC4">
    <w:name w:val="toc 4"/>
    <w:basedOn w:val="Normal"/>
    <w:next w:val="Normal"/>
    <w:autoRedefine/>
    <w:uiPriority w:val="39"/>
    <w:unhideWhenUsed/>
    <w:rsid w:val="00617209"/>
    <w:pPr>
      <w:spacing w:after="100"/>
      <w:ind w:left="660"/>
    </w:pPr>
    <w:rPr>
      <w:rFonts w:eastAsiaTheme="minorEastAsia"/>
      <w:lang w:val="en-AU" w:eastAsia="en-AU"/>
    </w:rPr>
  </w:style>
  <w:style w:type="paragraph" w:styleId="TOC5">
    <w:name w:val="toc 5"/>
    <w:basedOn w:val="Normal"/>
    <w:next w:val="Normal"/>
    <w:autoRedefine/>
    <w:uiPriority w:val="39"/>
    <w:unhideWhenUsed/>
    <w:rsid w:val="00617209"/>
    <w:pPr>
      <w:spacing w:after="100"/>
      <w:ind w:left="880"/>
    </w:pPr>
    <w:rPr>
      <w:rFonts w:eastAsiaTheme="minorEastAsia"/>
      <w:lang w:val="en-AU" w:eastAsia="en-AU"/>
    </w:rPr>
  </w:style>
  <w:style w:type="paragraph" w:styleId="TOC6">
    <w:name w:val="toc 6"/>
    <w:basedOn w:val="Normal"/>
    <w:next w:val="Normal"/>
    <w:autoRedefine/>
    <w:uiPriority w:val="39"/>
    <w:unhideWhenUsed/>
    <w:rsid w:val="00617209"/>
    <w:pPr>
      <w:spacing w:after="100"/>
      <w:ind w:left="1100"/>
    </w:pPr>
    <w:rPr>
      <w:rFonts w:eastAsiaTheme="minorEastAsia"/>
      <w:lang w:val="en-AU" w:eastAsia="en-AU"/>
    </w:rPr>
  </w:style>
  <w:style w:type="paragraph" w:styleId="TOC7">
    <w:name w:val="toc 7"/>
    <w:basedOn w:val="Normal"/>
    <w:next w:val="Normal"/>
    <w:autoRedefine/>
    <w:uiPriority w:val="39"/>
    <w:unhideWhenUsed/>
    <w:rsid w:val="00617209"/>
    <w:pPr>
      <w:spacing w:after="100"/>
      <w:ind w:left="1320"/>
    </w:pPr>
    <w:rPr>
      <w:rFonts w:eastAsiaTheme="minorEastAsia"/>
      <w:lang w:val="en-AU" w:eastAsia="en-AU"/>
    </w:rPr>
  </w:style>
  <w:style w:type="paragraph" w:styleId="TOC8">
    <w:name w:val="toc 8"/>
    <w:basedOn w:val="Normal"/>
    <w:next w:val="Normal"/>
    <w:autoRedefine/>
    <w:uiPriority w:val="39"/>
    <w:unhideWhenUsed/>
    <w:rsid w:val="00617209"/>
    <w:pPr>
      <w:spacing w:after="100"/>
      <w:ind w:left="1540"/>
    </w:pPr>
    <w:rPr>
      <w:rFonts w:eastAsiaTheme="minorEastAsia"/>
      <w:lang w:val="en-AU" w:eastAsia="en-AU"/>
    </w:rPr>
  </w:style>
  <w:style w:type="paragraph" w:styleId="TOC9">
    <w:name w:val="toc 9"/>
    <w:basedOn w:val="Normal"/>
    <w:next w:val="Normal"/>
    <w:autoRedefine/>
    <w:uiPriority w:val="39"/>
    <w:unhideWhenUsed/>
    <w:rsid w:val="00617209"/>
    <w:pPr>
      <w:spacing w:after="100"/>
      <w:ind w:left="1760"/>
    </w:pPr>
    <w:rPr>
      <w:rFonts w:eastAsiaTheme="minorEastAsia"/>
      <w:lang w:val="en-AU" w:eastAsia="en-AU"/>
    </w:rPr>
  </w:style>
  <w:style w:type="paragraph" w:styleId="Revision">
    <w:name w:val="Revision"/>
    <w:hidden/>
    <w:uiPriority w:val="99"/>
    <w:semiHidden/>
    <w:rsid w:val="00FB1710"/>
    <w:pPr>
      <w:spacing w:after="0" w:line="240" w:lineRule="auto"/>
    </w:pPr>
    <w:rPr>
      <w:lang w:val="en-GB"/>
    </w:rPr>
  </w:style>
  <w:style w:type="paragraph" w:customStyle="1" w:styleId="BULLETSContent">
    <w:name w:val="BULLETS (Content)"/>
    <w:basedOn w:val="Normal"/>
    <w:uiPriority w:val="99"/>
    <w:rsid w:val="009D6AED"/>
    <w:pPr>
      <w:tabs>
        <w:tab w:val="left" w:leader="dot" w:pos="283"/>
      </w:tabs>
      <w:suppressAutoHyphens/>
      <w:autoSpaceDE w:val="0"/>
      <w:autoSpaceDN w:val="0"/>
      <w:adjustRightInd w:val="0"/>
      <w:spacing w:before="57" w:after="57" w:line="216" w:lineRule="atLeast"/>
      <w:ind w:left="850" w:hanging="283"/>
      <w:jc w:val="both"/>
      <w:textAlignment w:val="center"/>
    </w:pPr>
    <w:rPr>
      <w:rFonts w:ascii="Humnst777 BT" w:hAnsi="Humnst777 BT" w:cs="Humnst777 BT"/>
      <w:color w:val="000000"/>
      <w:sz w:val="18"/>
      <w:szCs w:val="18"/>
      <w:lang w:val="en-US"/>
    </w:rPr>
  </w:style>
  <w:style w:type="paragraph" w:customStyle="1" w:styleId="TOCLevel2TableofContents">
    <w:name w:val="TOC Level 2 (Table of Contents)"/>
    <w:basedOn w:val="Normal"/>
    <w:uiPriority w:val="99"/>
    <w:rsid w:val="00677BBA"/>
    <w:pPr>
      <w:tabs>
        <w:tab w:val="right" w:pos="9071"/>
      </w:tabs>
      <w:autoSpaceDE w:val="0"/>
      <w:autoSpaceDN w:val="0"/>
      <w:adjustRightInd w:val="0"/>
      <w:spacing w:before="14" w:after="28" w:line="288" w:lineRule="auto"/>
      <w:ind w:left="964" w:hanging="397"/>
      <w:textAlignment w:val="center"/>
    </w:pPr>
    <w:rPr>
      <w:rFonts w:ascii="Myriad Pro" w:hAnsi="Myriad Pro" w:cs="Myriad Pro"/>
      <w:color w:val="000000"/>
      <w:spacing w:val="-2"/>
      <w:sz w:val="24"/>
      <w:szCs w:val="24"/>
    </w:rPr>
  </w:style>
  <w:style w:type="paragraph" w:customStyle="1" w:styleId="TableBodyTables">
    <w:name w:val="Table Body (Tables)"/>
    <w:basedOn w:val="Normal"/>
    <w:uiPriority w:val="99"/>
    <w:rsid w:val="00677BBA"/>
    <w:pPr>
      <w:suppressAutoHyphens/>
      <w:autoSpaceDE w:val="0"/>
      <w:autoSpaceDN w:val="0"/>
      <w:adjustRightInd w:val="0"/>
      <w:spacing w:before="28" w:after="28" w:line="216" w:lineRule="atLeast"/>
      <w:textAlignment w:val="center"/>
    </w:pPr>
    <w:rPr>
      <w:rFonts w:ascii="Humnst777 BT" w:hAnsi="Humnst777 BT" w:cs="Humnst777 BT"/>
      <w:color w:val="000000"/>
      <w:sz w:val="18"/>
      <w:szCs w:val="18"/>
      <w:lang w:val="en-US"/>
    </w:rPr>
  </w:style>
  <w:style w:type="paragraph" w:customStyle="1" w:styleId="TablebulletsTables">
    <w:name w:val="Table bullets (Tables)"/>
    <w:basedOn w:val="BodyContent"/>
    <w:uiPriority w:val="99"/>
    <w:rsid w:val="00677BBA"/>
    <w:pPr>
      <w:tabs>
        <w:tab w:val="left" w:leader="dot" w:pos="283"/>
      </w:tabs>
      <w:spacing w:before="14" w:after="14"/>
      <w:ind w:left="283" w:hanging="283"/>
    </w:pPr>
  </w:style>
  <w:style w:type="character" w:customStyle="1" w:styleId="apple-converted-space">
    <w:name w:val="apple-converted-space"/>
    <w:basedOn w:val="DefaultParagraphFont"/>
    <w:rsid w:val="00FB5286"/>
  </w:style>
  <w:style w:type="character" w:customStyle="1" w:styleId="Heading4Char">
    <w:name w:val="Heading 4 Char"/>
    <w:basedOn w:val="DefaultParagraphFont"/>
    <w:link w:val="Heading4"/>
    <w:uiPriority w:val="9"/>
    <w:rsid w:val="00E279D6"/>
    <w:rPr>
      <w:rFonts w:asciiTheme="majorHAnsi" w:eastAsiaTheme="majorEastAsia" w:hAnsiTheme="majorHAnsi" w:cstheme="majorBidi"/>
      <w:i/>
      <w:iCs/>
      <w:color w:val="2E74B5" w:themeColor="accent1" w:themeShade="BF"/>
      <w:lang w:val="en-GB"/>
    </w:rPr>
  </w:style>
  <w:style w:type="paragraph" w:customStyle="1" w:styleId="HeadA">
    <w:name w:val="Head A"/>
    <w:basedOn w:val="Normal"/>
    <w:rsid w:val="00CE4D91"/>
    <w:pPr>
      <w:spacing w:before="240" w:after="240" w:line="240" w:lineRule="auto"/>
      <w:ind w:left="1134" w:hanging="1134"/>
    </w:pPr>
    <w:rPr>
      <w:rFonts w:ascii="Arial" w:hAnsi="Arial" w:cs="Arial"/>
      <w:b/>
      <w:bCs/>
      <w:caps/>
      <w:sz w:val="20"/>
      <w:szCs w:val="20"/>
      <w:lang w:val="en-AU" w:eastAsia="en-AU"/>
    </w:rPr>
  </w:style>
  <w:style w:type="character" w:styleId="Strong">
    <w:name w:val="Strong"/>
    <w:basedOn w:val="DefaultParagraphFont"/>
    <w:uiPriority w:val="22"/>
    <w:qFormat/>
    <w:rsid w:val="00864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133">
      <w:bodyDiv w:val="1"/>
      <w:marLeft w:val="0"/>
      <w:marRight w:val="0"/>
      <w:marTop w:val="0"/>
      <w:marBottom w:val="0"/>
      <w:divBdr>
        <w:top w:val="none" w:sz="0" w:space="0" w:color="auto"/>
        <w:left w:val="none" w:sz="0" w:space="0" w:color="auto"/>
        <w:bottom w:val="none" w:sz="0" w:space="0" w:color="auto"/>
        <w:right w:val="none" w:sz="0" w:space="0" w:color="auto"/>
      </w:divBdr>
    </w:div>
    <w:div w:id="20519620">
      <w:bodyDiv w:val="1"/>
      <w:marLeft w:val="0"/>
      <w:marRight w:val="0"/>
      <w:marTop w:val="0"/>
      <w:marBottom w:val="0"/>
      <w:divBdr>
        <w:top w:val="none" w:sz="0" w:space="0" w:color="auto"/>
        <w:left w:val="none" w:sz="0" w:space="0" w:color="auto"/>
        <w:bottom w:val="none" w:sz="0" w:space="0" w:color="auto"/>
        <w:right w:val="none" w:sz="0" w:space="0" w:color="auto"/>
      </w:divBdr>
    </w:div>
    <w:div w:id="41177089">
      <w:bodyDiv w:val="1"/>
      <w:marLeft w:val="0"/>
      <w:marRight w:val="0"/>
      <w:marTop w:val="0"/>
      <w:marBottom w:val="0"/>
      <w:divBdr>
        <w:top w:val="none" w:sz="0" w:space="0" w:color="auto"/>
        <w:left w:val="none" w:sz="0" w:space="0" w:color="auto"/>
        <w:bottom w:val="none" w:sz="0" w:space="0" w:color="auto"/>
        <w:right w:val="none" w:sz="0" w:space="0" w:color="auto"/>
      </w:divBdr>
    </w:div>
    <w:div w:id="64106173">
      <w:bodyDiv w:val="1"/>
      <w:marLeft w:val="0"/>
      <w:marRight w:val="0"/>
      <w:marTop w:val="0"/>
      <w:marBottom w:val="0"/>
      <w:divBdr>
        <w:top w:val="none" w:sz="0" w:space="0" w:color="auto"/>
        <w:left w:val="none" w:sz="0" w:space="0" w:color="auto"/>
        <w:bottom w:val="none" w:sz="0" w:space="0" w:color="auto"/>
        <w:right w:val="none" w:sz="0" w:space="0" w:color="auto"/>
      </w:divBdr>
    </w:div>
    <w:div w:id="73401241">
      <w:bodyDiv w:val="1"/>
      <w:marLeft w:val="0"/>
      <w:marRight w:val="0"/>
      <w:marTop w:val="0"/>
      <w:marBottom w:val="0"/>
      <w:divBdr>
        <w:top w:val="none" w:sz="0" w:space="0" w:color="auto"/>
        <w:left w:val="none" w:sz="0" w:space="0" w:color="auto"/>
        <w:bottom w:val="none" w:sz="0" w:space="0" w:color="auto"/>
        <w:right w:val="none" w:sz="0" w:space="0" w:color="auto"/>
      </w:divBdr>
    </w:div>
    <w:div w:id="153575636">
      <w:bodyDiv w:val="1"/>
      <w:marLeft w:val="0"/>
      <w:marRight w:val="0"/>
      <w:marTop w:val="0"/>
      <w:marBottom w:val="0"/>
      <w:divBdr>
        <w:top w:val="none" w:sz="0" w:space="0" w:color="auto"/>
        <w:left w:val="none" w:sz="0" w:space="0" w:color="auto"/>
        <w:bottom w:val="none" w:sz="0" w:space="0" w:color="auto"/>
        <w:right w:val="none" w:sz="0" w:space="0" w:color="auto"/>
      </w:divBdr>
    </w:div>
    <w:div w:id="238902262">
      <w:bodyDiv w:val="1"/>
      <w:marLeft w:val="0"/>
      <w:marRight w:val="0"/>
      <w:marTop w:val="0"/>
      <w:marBottom w:val="0"/>
      <w:divBdr>
        <w:top w:val="none" w:sz="0" w:space="0" w:color="auto"/>
        <w:left w:val="none" w:sz="0" w:space="0" w:color="auto"/>
        <w:bottom w:val="none" w:sz="0" w:space="0" w:color="auto"/>
        <w:right w:val="none" w:sz="0" w:space="0" w:color="auto"/>
      </w:divBdr>
    </w:div>
    <w:div w:id="462964439">
      <w:bodyDiv w:val="1"/>
      <w:marLeft w:val="0"/>
      <w:marRight w:val="0"/>
      <w:marTop w:val="0"/>
      <w:marBottom w:val="0"/>
      <w:divBdr>
        <w:top w:val="none" w:sz="0" w:space="0" w:color="auto"/>
        <w:left w:val="none" w:sz="0" w:space="0" w:color="auto"/>
        <w:bottom w:val="none" w:sz="0" w:space="0" w:color="auto"/>
        <w:right w:val="none" w:sz="0" w:space="0" w:color="auto"/>
      </w:divBdr>
    </w:div>
    <w:div w:id="528572814">
      <w:bodyDiv w:val="1"/>
      <w:marLeft w:val="0"/>
      <w:marRight w:val="0"/>
      <w:marTop w:val="0"/>
      <w:marBottom w:val="0"/>
      <w:divBdr>
        <w:top w:val="none" w:sz="0" w:space="0" w:color="auto"/>
        <w:left w:val="none" w:sz="0" w:space="0" w:color="auto"/>
        <w:bottom w:val="none" w:sz="0" w:space="0" w:color="auto"/>
        <w:right w:val="none" w:sz="0" w:space="0" w:color="auto"/>
      </w:divBdr>
    </w:div>
    <w:div w:id="571162521">
      <w:bodyDiv w:val="1"/>
      <w:marLeft w:val="0"/>
      <w:marRight w:val="0"/>
      <w:marTop w:val="0"/>
      <w:marBottom w:val="0"/>
      <w:divBdr>
        <w:top w:val="none" w:sz="0" w:space="0" w:color="auto"/>
        <w:left w:val="none" w:sz="0" w:space="0" w:color="auto"/>
        <w:bottom w:val="none" w:sz="0" w:space="0" w:color="auto"/>
        <w:right w:val="none" w:sz="0" w:space="0" w:color="auto"/>
      </w:divBdr>
    </w:div>
    <w:div w:id="771440831">
      <w:bodyDiv w:val="1"/>
      <w:marLeft w:val="0"/>
      <w:marRight w:val="0"/>
      <w:marTop w:val="0"/>
      <w:marBottom w:val="0"/>
      <w:divBdr>
        <w:top w:val="none" w:sz="0" w:space="0" w:color="auto"/>
        <w:left w:val="none" w:sz="0" w:space="0" w:color="auto"/>
        <w:bottom w:val="none" w:sz="0" w:space="0" w:color="auto"/>
        <w:right w:val="none" w:sz="0" w:space="0" w:color="auto"/>
      </w:divBdr>
    </w:div>
    <w:div w:id="808937658">
      <w:bodyDiv w:val="1"/>
      <w:marLeft w:val="0"/>
      <w:marRight w:val="0"/>
      <w:marTop w:val="0"/>
      <w:marBottom w:val="0"/>
      <w:divBdr>
        <w:top w:val="none" w:sz="0" w:space="0" w:color="auto"/>
        <w:left w:val="none" w:sz="0" w:space="0" w:color="auto"/>
        <w:bottom w:val="none" w:sz="0" w:space="0" w:color="auto"/>
        <w:right w:val="none" w:sz="0" w:space="0" w:color="auto"/>
      </w:divBdr>
    </w:div>
    <w:div w:id="831458037">
      <w:bodyDiv w:val="1"/>
      <w:marLeft w:val="0"/>
      <w:marRight w:val="0"/>
      <w:marTop w:val="0"/>
      <w:marBottom w:val="0"/>
      <w:divBdr>
        <w:top w:val="none" w:sz="0" w:space="0" w:color="auto"/>
        <w:left w:val="none" w:sz="0" w:space="0" w:color="auto"/>
        <w:bottom w:val="none" w:sz="0" w:space="0" w:color="auto"/>
        <w:right w:val="none" w:sz="0" w:space="0" w:color="auto"/>
      </w:divBdr>
    </w:div>
    <w:div w:id="836774666">
      <w:bodyDiv w:val="1"/>
      <w:marLeft w:val="0"/>
      <w:marRight w:val="0"/>
      <w:marTop w:val="0"/>
      <w:marBottom w:val="0"/>
      <w:divBdr>
        <w:top w:val="none" w:sz="0" w:space="0" w:color="auto"/>
        <w:left w:val="none" w:sz="0" w:space="0" w:color="auto"/>
        <w:bottom w:val="none" w:sz="0" w:space="0" w:color="auto"/>
        <w:right w:val="none" w:sz="0" w:space="0" w:color="auto"/>
      </w:divBdr>
    </w:div>
    <w:div w:id="886335505">
      <w:bodyDiv w:val="1"/>
      <w:marLeft w:val="0"/>
      <w:marRight w:val="0"/>
      <w:marTop w:val="0"/>
      <w:marBottom w:val="0"/>
      <w:divBdr>
        <w:top w:val="none" w:sz="0" w:space="0" w:color="auto"/>
        <w:left w:val="none" w:sz="0" w:space="0" w:color="auto"/>
        <w:bottom w:val="none" w:sz="0" w:space="0" w:color="auto"/>
        <w:right w:val="none" w:sz="0" w:space="0" w:color="auto"/>
      </w:divBdr>
    </w:div>
    <w:div w:id="940336625">
      <w:bodyDiv w:val="1"/>
      <w:marLeft w:val="0"/>
      <w:marRight w:val="0"/>
      <w:marTop w:val="0"/>
      <w:marBottom w:val="0"/>
      <w:divBdr>
        <w:top w:val="none" w:sz="0" w:space="0" w:color="auto"/>
        <w:left w:val="none" w:sz="0" w:space="0" w:color="auto"/>
        <w:bottom w:val="none" w:sz="0" w:space="0" w:color="auto"/>
        <w:right w:val="none" w:sz="0" w:space="0" w:color="auto"/>
      </w:divBdr>
    </w:div>
    <w:div w:id="1019892980">
      <w:bodyDiv w:val="1"/>
      <w:marLeft w:val="0"/>
      <w:marRight w:val="0"/>
      <w:marTop w:val="0"/>
      <w:marBottom w:val="0"/>
      <w:divBdr>
        <w:top w:val="none" w:sz="0" w:space="0" w:color="auto"/>
        <w:left w:val="none" w:sz="0" w:space="0" w:color="auto"/>
        <w:bottom w:val="none" w:sz="0" w:space="0" w:color="auto"/>
        <w:right w:val="none" w:sz="0" w:space="0" w:color="auto"/>
      </w:divBdr>
    </w:div>
    <w:div w:id="1043943504">
      <w:bodyDiv w:val="1"/>
      <w:marLeft w:val="0"/>
      <w:marRight w:val="0"/>
      <w:marTop w:val="0"/>
      <w:marBottom w:val="0"/>
      <w:divBdr>
        <w:top w:val="none" w:sz="0" w:space="0" w:color="auto"/>
        <w:left w:val="none" w:sz="0" w:space="0" w:color="auto"/>
        <w:bottom w:val="none" w:sz="0" w:space="0" w:color="auto"/>
        <w:right w:val="none" w:sz="0" w:space="0" w:color="auto"/>
      </w:divBdr>
    </w:div>
    <w:div w:id="1208908898">
      <w:bodyDiv w:val="1"/>
      <w:marLeft w:val="0"/>
      <w:marRight w:val="0"/>
      <w:marTop w:val="0"/>
      <w:marBottom w:val="0"/>
      <w:divBdr>
        <w:top w:val="none" w:sz="0" w:space="0" w:color="auto"/>
        <w:left w:val="none" w:sz="0" w:space="0" w:color="auto"/>
        <w:bottom w:val="none" w:sz="0" w:space="0" w:color="auto"/>
        <w:right w:val="none" w:sz="0" w:space="0" w:color="auto"/>
      </w:divBdr>
    </w:div>
    <w:div w:id="1496604000">
      <w:bodyDiv w:val="1"/>
      <w:marLeft w:val="0"/>
      <w:marRight w:val="0"/>
      <w:marTop w:val="0"/>
      <w:marBottom w:val="0"/>
      <w:divBdr>
        <w:top w:val="none" w:sz="0" w:space="0" w:color="auto"/>
        <w:left w:val="none" w:sz="0" w:space="0" w:color="auto"/>
        <w:bottom w:val="none" w:sz="0" w:space="0" w:color="auto"/>
        <w:right w:val="none" w:sz="0" w:space="0" w:color="auto"/>
      </w:divBdr>
    </w:div>
    <w:div w:id="1539662085">
      <w:bodyDiv w:val="1"/>
      <w:marLeft w:val="0"/>
      <w:marRight w:val="0"/>
      <w:marTop w:val="0"/>
      <w:marBottom w:val="0"/>
      <w:divBdr>
        <w:top w:val="none" w:sz="0" w:space="0" w:color="auto"/>
        <w:left w:val="none" w:sz="0" w:space="0" w:color="auto"/>
        <w:bottom w:val="none" w:sz="0" w:space="0" w:color="auto"/>
        <w:right w:val="none" w:sz="0" w:space="0" w:color="auto"/>
      </w:divBdr>
    </w:div>
    <w:div w:id="1623069814">
      <w:bodyDiv w:val="1"/>
      <w:marLeft w:val="0"/>
      <w:marRight w:val="0"/>
      <w:marTop w:val="0"/>
      <w:marBottom w:val="0"/>
      <w:divBdr>
        <w:top w:val="none" w:sz="0" w:space="0" w:color="auto"/>
        <w:left w:val="none" w:sz="0" w:space="0" w:color="auto"/>
        <w:bottom w:val="none" w:sz="0" w:space="0" w:color="auto"/>
        <w:right w:val="none" w:sz="0" w:space="0" w:color="auto"/>
      </w:divBdr>
    </w:div>
    <w:div w:id="1718813855">
      <w:bodyDiv w:val="1"/>
      <w:marLeft w:val="0"/>
      <w:marRight w:val="0"/>
      <w:marTop w:val="0"/>
      <w:marBottom w:val="0"/>
      <w:divBdr>
        <w:top w:val="none" w:sz="0" w:space="0" w:color="auto"/>
        <w:left w:val="none" w:sz="0" w:space="0" w:color="auto"/>
        <w:bottom w:val="none" w:sz="0" w:space="0" w:color="auto"/>
        <w:right w:val="none" w:sz="0" w:space="0" w:color="auto"/>
      </w:divBdr>
    </w:div>
    <w:div w:id="1973946195">
      <w:bodyDiv w:val="1"/>
      <w:marLeft w:val="0"/>
      <w:marRight w:val="0"/>
      <w:marTop w:val="0"/>
      <w:marBottom w:val="0"/>
      <w:divBdr>
        <w:top w:val="none" w:sz="0" w:space="0" w:color="auto"/>
        <w:left w:val="none" w:sz="0" w:space="0" w:color="auto"/>
        <w:bottom w:val="none" w:sz="0" w:space="0" w:color="auto"/>
        <w:right w:val="none" w:sz="0" w:space="0" w:color="auto"/>
      </w:divBdr>
    </w:div>
    <w:div w:id="201333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BDA8-7EBD-4DD9-8F81-5E609DFB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35</Pages>
  <Words>13209</Words>
  <Characters>75296</Characters>
  <Application>Microsoft Office Word</Application>
  <DocSecurity>8</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88329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Sari</dc:creator>
  <cp:keywords/>
  <dc:description/>
  <cp:lastModifiedBy>Rachel Wilton</cp:lastModifiedBy>
  <cp:revision>90</cp:revision>
  <cp:lastPrinted>2016-12-15T01:25:00Z</cp:lastPrinted>
  <dcterms:created xsi:type="dcterms:W3CDTF">2016-12-13T11:07:00Z</dcterms:created>
  <dcterms:modified xsi:type="dcterms:W3CDTF">2017-03-15T23:36:00Z</dcterms:modified>
</cp:coreProperties>
</file>