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7364" w:rsidRPr="00507B1A" w:rsidRDefault="00C04134" w:rsidP="00937364">
      <w:pPr>
        <w:pBdr>
          <w:bottom w:val="single" w:sz="4" w:space="1" w:color="005EA1" w:themeColor="accent1"/>
        </w:pBdr>
        <w:spacing w:before="6000"/>
        <w:jc w:val="right"/>
        <w:rPr>
          <w:rFonts w:ascii="VIC" w:hAnsi="VIC"/>
          <w:color w:val="9CA0A3" w:themeColor="accent4"/>
          <w:sz w:val="52"/>
          <w:szCs w:val="76"/>
        </w:rPr>
      </w:pPr>
      <w:bookmarkStart w:id="0" w:name="_GoBack"/>
      <w:bookmarkEnd w:id="0"/>
      <w:r>
        <w:rPr>
          <w:rFonts w:ascii="VIC" w:hAnsi="VIC"/>
          <w:color w:val="9CA0A3" w:themeColor="accent4"/>
          <w:sz w:val="52"/>
          <w:szCs w:val="76"/>
        </w:rPr>
        <w:t>Monash National Employment and Innovation Cluster</w:t>
      </w:r>
    </w:p>
    <w:p w:rsidR="00937364" w:rsidRDefault="00937364" w:rsidP="00937364">
      <w:pPr>
        <w:jc w:val="right"/>
        <w:rPr>
          <w:color w:val="008BD2" w:themeColor="accent2"/>
          <w:sz w:val="40"/>
          <w:szCs w:val="40"/>
        </w:rPr>
      </w:pPr>
      <w:r>
        <w:rPr>
          <w:rFonts w:ascii="Trebuchet MS" w:hAnsi="Trebuchet MS"/>
          <w:noProof/>
          <w:color w:val="9CA0A3" w:themeColor="accent4"/>
          <w:sz w:val="28"/>
          <w:szCs w:val="28"/>
        </w:rPr>
        <w:drawing>
          <wp:inline distT="0" distB="0" distL="0" distR="0" wp14:anchorId="16549678" wp14:editId="461D474B">
            <wp:extent cx="1629187" cy="666301"/>
            <wp:effectExtent l="0" t="0" r="0" b="635"/>
            <wp:docPr id="60" name="Picture 60" descr="Logo" title="Victorian Plann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rsidR="00937364" w:rsidRPr="00DA0297" w:rsidRDefault="00C04134" w:rsidP="00937364">
      <w:pPr>
        <w:jc w:val="right"/>
        <w:rPr>
          <w:rFonts w:ascii="VIC SemiBold" w:hAnsi="VIC SemiBold"/>
          <w:sz w:val="32"/>
          <w:szCs w:val="32"/>
        </w:rPr>
      </w:pPr>
      <w:r w:rsidRPr="00DA0297">
        <w:rPr>
          <w:rFonts w:ascii="VIC SemiBold" w:hAnsi="VIC SemiBold"/>
          <w:sz w:val="32"/>
          <w:szCs w:val="32"/>
        </w:rPr>
        <w:t>Draft Framework</w:t>
      </w:r>
      <w:r w:rsidR="00937364" w:rsidRPr="00DA0297">
        <w:rPr>
          <w:rFonts w:ascii="VIC SemiBold" w:hAnsi="VIC SemiBold"/>
          <w:sz w:val="32"/>
          <w:szCs w:val="32"/>
        </w:rPr>
        <w:t xml:space="preserve"> Plan</w:t>
      </w:r>
    </w:p>
    <w:p w:rsidR="00937364" w:rsidRPr="009A0103" w:rsidRDefault="00C04134" w:rsidP="00937364">
      <w:pPr>
        <w:jc w:val="right"/>
        <w:rPr>
          <w:color w:val="9CA0A3" w:themeColor="accent4"/>
        </w:rPr>
      </w:pPr>
      <w:r>
        <w:rPr>
          <w:rFonts w:ascii="VIC" w:hAnsi="VIC"/>
          <w:color w:val="9CA0A3" w:themeColor="accent4"/>
          <w:sz w:val="28"/>
          <w:szCs w:val="28"/>
        </w:rPr>
        <w:t>March 2017</w:t>
      </w:r>
    </w:p>
    <w:p w:rsidR="00937364" w:rsidRDefault="00937364" w:rsidP="00937364"/>
    <w:p w:rsidR="00937364" w:rsidRDefault="00937364" w:rsidP="00937364">
      <w:pPr>
        <w:sectPr w:rsidR="00937364" w:rsidSect="00060341">
          <w:pgSz w:w="11901" w:h="16846" w:code="9"/>
          <w:pgMar w:top="1701" w:right="1134" w:bottom="851" w:left="1985" w:header="283" w:footer="0" w:gutter="0"/>
          <w:cols w:space="720"/>
          <w:titlePg/>
          <w:docGrid w:linePitch="299"/>
        </w:sectPr>
      </w:pPr>
    </w:p>
    <w:p w:rsidR="00937364" w:rsidRPr="0072297C" w:rsidRDefault="00937364" w:rsidP="00937364">
      <w:pPr>
        <w:rPr>
          <w:vanish/>
          <w:color w:val="9CA0A3" w:themeColor="accent4"/>
        </w:rPr>
      </w:pPr>
      <w:r w:rsidRPr="0072297C">
        <w:rPr>
          <w:vanish/>
          <w:color w:val="9CA0A3" w:themeColor="accent4"/>
        </w:rPr>
        <w:lastRenderedPageBreak/>
        <w:t xml:space="preserve">Keep page blank </w:t>
      </w:r>
    </w:p>
    <w:p w:rsidR="00937364" w:rsidRDefault="00937364" w:rsidP="00937364"/>
    <w:p w:rsidR="00937364" w:rsidRDefault="00937364" w:rsidP="00937364">
      <w:pPr>
        <w:sectPr w:rsidR="00937364" w:rsidSect="00060341">
          <w:pgSz w:w="11901" w:h="16846" w:code="9"/>
          <w:pgMar w:top="1701" w:right="1134" w:bottom="851" w:left="1985" w:header="283" w:footer="0" w:gutter="0"/>
          <w:cols w:space="720"/>
          <w:titlePg/>
          <w:docGrid w:linePitch="299"/>
        </w:sectPr>
      </w:pPr>
    </w:p>
    <w:p w:rsidR="00937364" w:rsidRPr="001A465C" w:rsidRDefault="00937364" w:rsidP="00937364">
      <w:pPr>
        <w:pStyle w:val="HeadingContents"/>
      </w:pPr>
      <w:r w:rsidRPr="001A465C">
        <w:lastRenderedPageBreak/>
        <w:t>CONTENTS</w:t>
      </w:r>
    </w:p>
    <w:p w:rsidR="00EB5383" w:rsidRDefault="00937364">
      <w:pPr>
        <w:pStyle w:val="TOC1"/>
        <w:tabs>
          <w:tab w:val="right" w:leader="dot" w:pos="8488"/>
        </w:tabs>
        <w:rPr>
          <w:rFonts w:asciiTheme="minorHAnsi" w:eastAsiaTheme="minorEastAsia" w:hAnsiTheme="minorHAnsi" w:cstheme="minorBidi"/>
          <w:noProof/>
          <w:sz w:val="22"/>
          <w:szCs w:val="22"/>
        </w:rPr>
      </w:pPr>
      <w:r>
        <w:rPr>
          <w:rFonts w:ascii="Calibri" w:hAnsi="Calibri"/>
          <w:sz w:val="22"/>
          <w:lang w:val="en-US"/>
        </w:rPr>
        <w:fldChar w:fldCharType="begin"/>
      </w:r>
      <w:r>
        <w:rPr>
          <w:rFonts w:ascii="Calibri" w:hAnsi="Calibri"/>
          <w:sz w:val="22"/>
          <w:lang w:val="en-US"/>
        </w:rPr>
        <w:instrText xml:space="preserve"> TOC \o "1-2" \h \z </w:instrText>
      </w:r>
      <w:r>
        <w:rPr>
          <w:rFonts w:ascii="Calibri" w:hAnsi="Calibri"/>
          <w:sz w:val="22"/>
          <w:lang w:val="en-US"/>
        </w:rPr>
        <w:fldChar w:fldCharType="separate"/>
      </w:r>
      <w:hyperlink w:anchor="_Toc477870448" w:history="1">
        <w:r w:rsidR="00EB5383" w:rsidRPr="00BA47F4">
          <w:rPr>
            <w:rStyle w:val="Hyperlink"/>
            <w:noProof/>
          </w:rPr>
          <w:t>Executive Summary</w:t>
        </w:r>
        <w:r w:rsidR="00EB5383">
          <w:rPr>
            <w:noProof/>
            <w:webHidden/>
          </w:rPr>
          <w:tab/>
        </w:r>
        <w:r w:rsidR="00EB5383">
          <w:rPr>
            <w:noProof/>
            <w:webHidden/>
          </w:rPr>
          <w:fldChar w:fldCharType="begin"/>
        </w:r>
        <w:r w:rsidR="00EB5383">
          <w:rPr>
            <w:noProof/>
            <w:webHidden/>
          </w:rPr>
          <w:instrText xml:space="preserve"> PAGEREF _Toc477870448 \h </w:instrText>
        </w:r>
        <w:r w:rsidR="00EB5383">
          <w:rPr>
            <w:noProof/>
            <w:webHidden/>
          </w:rPr>
        </w:r>
        <w:r w:rsidR="00EB5383">
          <w:rPr>
            <w:noProof/>
            <w:webHidden/>
          </w:rPr>
          <w:fldChar w:fldCharType="separate"/>
        </w:r>
        <w:r w:rsidR="00EB5383">
          <w:rPr>
            <w:noProof/>
            <w:webHidden/>
          </w:rPr>
          <w:t>5</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49" w:history="1">
        <w:r w:rsidR="00EB5383" w:rsidRPr="00BA47F4">
          <w:rPr>
            <w:rStyle w:val="Hyperlink"/>
            <w:noProof/>
            <w:spacing w:val="3"/>
            <w:w w:val="105"/>
          </w:rPr>
          <w:t>Context</w:t>
        </w:r>
        <w:r w:rsidR="00EB5383">
          <w:rPr>
            <w:noProof/>
            <w:webHidden/>
          </w:rPr>
          <w:tab/>
        </w:r>
        <w:r w:rsidR="00EB5383">
          <w:rPr>
            <w:noProof/>
            <w:webHidden/>
          </w:rPr>
          <w:fldChar w:fldCharType="begin"/>
        </w:r>
        <w:r w:rsidR="00EB5383">
          <w:rPr>
            <w:noProof/>
            <w:webHidden/>
          </w:rPr>
          <w:instrText xml:space="preserve"> PAGEREF _Toc477870449 \h </w:instrText>
        </w:r>
        <w:r w:rsidR="00EB5383">
          <w:rPr>
            <w:noProof/>
            <w:webHidden/>
          </w:rPr>
        </w:r>
        <w:r w:rsidR="00EB5383">
          <w:rPr>
            <w:noProof/>
            <w:webHidden/>
          </w:rPr>
          <w:fldChar w:fldCharType="separate"/>
        </w:r>
        <w:r w:rsidR="00EB5383">
          <w:rPr>
            <w:noProof/>
            <w:webHidden/>
          </w:rPr>
          <w:t>1</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0" w:history="1">
        <w:r w:rsidR="00EB5383" w:rsidRPr="00BA47F4">
          <w:rPr>
            <w:rStyle w:val="Hyperlink"/>
            <w:noProof/>
            <w:spacing w:val="3"/>
            <w:w w:val="105"/>
          </w:rPr>
          <w:t>Vision</w:t>
        </w:r>
        <w:r w:rsidR="00EB5383">
          <w:rPr>
            <w:noProof/>
            <w:webHidden/>
          </w:rPr>
          <w:tab/>
        </w:r>
        <w:r w:rsidR="00EB5383">
          <w:rPr>
            <w:noProof/>
            <w:webHidden/>
          </w:rPr>
          <w:fldChar w:fldCharType="begin"/>
        </w:r>
        <w:r w:rsidR="00EB5383">
          <w:rPr>
            <w:noProof/>
            <w:webHidden/>
          </w:rPr>
          <w:instrText xml:space="preserve"> PAGEREF _Toc477870450 \h </w:instrText>
        </w:r>
        <w:r w:rsidR="00EB5383">
          <w:rPr>
            <w:noProof/>
            <w:webHidden/>
          </w:rPr>
        </w:r>
        <w:r w:rsidR="00EB5383">
          <w:rPr>
            <w:noProof/>
            <w:webHidden/>
          </w:rPr>
          <w:fldChar w:fldCharType="separate"/>
        </w:r>
        <w:r w:rsidR="00EB5383">
          <w:rPr>
            <w:noProof/>
            <w:webHidden/>
          </w:rPr>
          <w:t>2</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1" w:history="1">
        <w:r w:rsidR="00EB5383" w:rsidRPr="00BA47F4">
          <w:rPr>
            <w:rStyle w:val="Hyperlink"/>
            <w:noProof/>
            <w:spacing w:val="3"/>
            <w:w w:val="105"/>
          </w:rPr>
          <w:t>Principles</w:t>
        </w:r>
        <w:r w:rsidR="00EB5383">
          <w:rPr>
            <w:noProof/>
            <w:webHidden/>
          </w:rPr>
          <w:tab/>
        </w:r>
        <w:r w:rsidR="00EB5383">
          <w:rPr>
            <w:noProof/>
            <w:webHidden/>
          </w:rPr>
          <w:fldChar w:fldCharType="begin"/>
        </w:r>
        <w:r w:rsidR="00EB5383">
          <w:rPr>
            <w:noProof/>
            <w:webHidden/>
          </w:rPr>
          <w:instrText xml:space="preserve"> PAGEREF _Toc477870451 \h </w:instrText>
        </w:r>
        <w:r w:rsidR="00EB5383">
          <w:rPr>
            <w:noProof/>
            <w:webHidden/>
          </w:rPr>
        </w:r>
        <w:r w:rsidR="00EB5383">
          <w:rPr>
            <w:noProof/>
            <w:webHidden/>
          </w:rPr>
          <w:fldChar w:fldCharType="separate"/>
        </w:r>
        <w:r w:rsidR="00EB5383">
          <w:rPr>
            <w:noProof/>
            <w:webHidden/>
          </w:rPr>
          <w:t>4</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2" w:history="1">
        <w:r w:rsidR="00EB5383" w:rsidRPr="00BA47F4">
          <w:rPr>
            <w:rStyle w:val="Hyperlink"/>
            <w:noProof/>
            <w:spacing w:val="3"/>
            <w:w w:val="105"/>
          </w:rPr>
          <w:t>Strategic Outcomes</w:t>
        </w:r>
        <w:r w:rsidR="00EB5383">
          <w:rPr>
            <w:noProof/>
            <w:webHidden/>
          </w:rPr>
          <w:tab/>
        </w:r>
        <w:r w:rsidR="00EB5383">
          <w:rPr>
            <w:noProof/>
            <w:webHidden/>
          </w:rPr>
          <w:fldChar w:fldCharType="begin"/>
        </w:r>
        <w:r w:rsidR="00EB5383">
          <w:rPr>
            <w:noProof/>
            <w:webHidden/>
          </w:rPr>
          <w:instrText xml:space="preserve"> PAGEREF _Toc477870452 \h </w:instrText>
        </w:r>
        <w:r w:rsidR="00EB5383">
          <w:rPr>
            <w:noProof/>
            <w:webHidden/>
          </w:rPr>
        </w:r>
        <w:r w:rsidR="00EB5383">
          <w:rPr>
            <w:noProof/>
            <w:webHidden/>
          </w:rPr>
          <w:fldChar w:fldCharType="separate"/>
        </w:r>
        <w:r w:rsidR="00EB5383">
          <w:rPr>
            <w:noProof/>
            <w:webHidden/>
          </w:rPr>
          <w:t>5</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3" w:history="1">
        <w:r w:rsidR="00EB5383" w:rsidRPr="00BA47F4">
          <w:rPr>
            <w:rStyle w:val="Hyperlink"/>
            <w:noProof/>
            <w:spacing w:val="3"/>
            <w:w w:val="105"/>
          </w:rPr>
          <w:t>Strategic Outcome 1: Grow employment and innovation in the health, education and research precinct</w:t>
        </w:r>
        <w:r w:rsidR="00EB5383">
          <w:rPr>
            <w:noProof/>
            <w:webHidden/>
          </w:rPr>
          <w:tab/>
        </w:r>
        <w:r w:rsidR="00EB5383">
          <w:rPr>
            <w:noProof/>
            <w:webHidden/>
          </w:rPr>
          <w:fldChar w:fldCharType="begin"/>
        </w:r>
        <w:r w:rsidR="00EB5383">
          <w:rPr>
            <w:noProof/>
            <w:webHidden/>
          </w:rPr>
          <w:instrText xml:space="preserve"> PAGEREF _Toc477870453 \h </w:instrText>
        </w:r>
        <w:r w:rsidR="00EB5383">
          <w:rPr>
            <w:noProof/>
            <w:webHidden/>
          </w:rPr>
        </w:r>
        <w:r w:rsidR="00EB5383">
          <w:rPr>
            <w:noProof/>
            <w:webHidden/>
          </w:rPr>
          <w:fldChar w:fldCharType="separate"/>
        </w:r>
        <w:r w:rsidR="00EB5383">
          <w:rPr>
            <w:noProof/>
            <w:webHidden/>
          </w:rPr>
          <w:t>6</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4" w:history="1">
        <w:r w:rsidR="00EB5383" w:rsidRPr="00BA47F4">
          <w:rPr>
            <w:rStyle w:val="Hyperlink"/>
            <w:noProof/>
          </w:rPr>
          <w:t>Strategic Outcome 2: Boost jobs growth and develop attractive employment areas with business town centres</w:t>
        </w:r>
        <w:r w:rsidR="00EB5383">
          <w:rPr>
            <w:noProof/>
            <w:webHidden/>
          </w:rPr>
          <w:tab/>
        </w:r>
        <w:r w:rsidR="00EB5383">
          <w:rPr>
            <w:noProof/>
            <w:webHidden/>
          </w:rPr>
          <w:fldChar w:fldCharType="begin"/>
        </w:r>
        <w:r w:rsidR="00EB5383">
          <w:rPr>
            <w:noProof/>
            <w:webHidden/>
          </w:rPr>
          <w:instrText xml:space="preserve"> PAGEREF _Toc477870454 \h </w:instrText>
        </w:r>
        <w:r w:rsidR="00EB5383">
          <w:rPr>
            <w:noProof/>
            <w:webHidden/>
          </w:rPr>
        </w:r>
        <w:r w:rsidR="00EB5383">
          <w:rPr>
            <w:noProof/>
            <w:webHidden/>
          </w:rPr>
          <w:fldChar w:fldCharType="separate"/>
        </w:r>
        <w:r w:rsidR="00EB5383">
          <w:rPr>
            <w:noProof/>
            <w:webHidden/>
          </w:rPr>
          <w:t>8</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5" w:history="1">
        <w:r w:rsidR="00EB5383" w:rsidRPr="00BA47F4">
          <w:rPr>
            <w:rStyle w:val="Hyperlink"/>
            <w:noProof/>
            <w:spacing w:val="3"/>
            <w:w w:val="105"/>
          </w:rPr>
          <w:t>Strategic Outcome 3: transform the transport network to support economic growth of the cluster</w:t>
        </w:r>
        <w:r w:rsidR="00EB5383">
          <w:rPr>
            <w:noProof/>
            <w:webHidden/>
          </w:rPr>
          <w:tab/>
        </w:r>
        <w:r w:rsidR="00EB5383">
          <w:rPr>
            <w:noProof/>
            <w:webHidden/>
          </w:rPr>
          <w:fldChar w:fldCharType="begin"/>
        </w:r>
        <w:r w:rsidR="00EB5383">
          <w:rPr>
            <w:noProof/>
            <w:webHidden/>
          </w:rPr>
          <w:instrText xml:space="preserve"> PAGEREF _Toc477870455 \h </w:instrText>
        </w:r>
        <w:r w:rsidR="00EB5383">
          <w:rPr>
            <w:noProof/>
            <w:webHidden/>
          </w:rPr>
        </w:r>
        <w:r w:rsidR="00EB5383">
          <w:rPr>
            <w:noProof/>
            <w:webHidden/>
          </w:rPr>
          <w:fldChar w:fldCharType="separate"/>
        </w:r>
        <w:r w:rsidR="00EB5383">
          <w:rPr>
            <w:noProof/>
            <w:webHidden/>
          </w:rPr>
          <w:t>11</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6" w:history="1">
        <w:r w:rsidR="00EB5383" w:rsidRPr="00BA47F4">
          <w:rPr>
            <w:rStyle w:val="Hyperlink"/>
            <w:noProof/>
            <w:spacing w:val="3"/>
            <w:w w:val="105"/>
          </w:rPr>
          <w:t>Strategic Outcome 4: develop open space and community infrastructure</w:t>
        </w:r>
        <w:r w:rsidR="00EB5383">
          <w:rPr>
            <w:noProof/>
            <w:webHidden/>
          </w:rPr>
          <w:tab/>
        </w:r>
        <w:r w:rsidR="00EB5383">
          <w:rPr>
            <w:noProof/>
            <w:webHidden/>
          </w:rPr>
          <w:fldChar w:fldCharType="begin"/>
        </w:r>
        <w:r w:rsidR="00EB5383">
          <w:rPr>
            <w:noProof/>
            <w:webHidden/>
          </w:rPr>
          <w:instrText xml:space="preserve"> PAGEREF _Toc477870456 \h </w:instrText>
        </w:r>
        <w:r w:rsidR="00EB5383">
          <w:rPr>
            <w:noProof/>
            <w:webHidden/>
          </w:rPr>
        </w:r>
        <w:r w:rsidR="00EB5383">
          <w:rPr>
            <w:noProof/>
            <w:webHidden/>
          </w:rPr>
          <w:fldChar w:fldCharType="separate"/>
        </w:r>
        <w:r w:rsidR="00EB5383">
          <w:rPr>
            <w:noProof/>
            <w:webHidden/>
          </w:rPr>
          <w:t>14</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7" w:history="1">
        <w:r w:rsidR="00EB5383" w:rsidRPr="00BA47F4">
          <w:rPr>
            <w:rStyle w:val="Hyperlink"/>
            <w:noProof/>
            <w:spacing w:val="3"/>
            <w:w w:val="105"/>
          </w:rPr>
          <w:t>Strategic Outcome 5: Plan and deliver urban renewal projects and strategic sites</w:t>
        </w:r>
        <w:r w:rsidR="00EB5383">
          <w:rPr>
            <w:noProof/>
            <w:webHidden/>
          </w:rPr>
          <w:tab/>
        </w:r>
        <w:r w:rsidR="00EB5383">
          <w:rPr>
            <w:noProof/>
            <w:webHidden/>
          </w:rPr>
          <w:fldChar w:fldCharType="begin"/>
        </w:r>
        <w:r w:rsidR="00EB5383">
          <w:rPr>
            <w:noProof/>
            <w:webHidden/>
          </w:rPr>
          <w:instrText xml:space="preserve"> PAGEREF _Toc477870457 \h </w:instrText>
        </w:r>
        <w:r w:rsidR="00EB5383">
          <w:rPr>
            <w:noProof/>
            <w:webHidden/>
          </w:rPr>
        </w:r>
        <w:r w:rsidR="00EB5383">
          <w:rPr>
            <w:noProof/>
            <w:webHidden/>
          </w:rPr>
          <w:fldChar w:fldCharType="separate"/>
        </w:r>
        <w:r w:rsidR="00EB5383">
          <w:rPr>
            <w:noProof/>
            <w:webHidden/>
          </w:rPr>
          <w:t>16</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8" w:history="1">
        <w:r w:rsidR="00EB5383">
          <w:rPr>
            <w:rStyle w:val="Hyperlink"/>
            <w:noProof/>
            <w:spacing w:val="3"/>
            <w:w w:val="105"/>
          </w:rPr>
          <w:t>5.1 – H</w:t>
        </w:r>
        <w:r w:rsidR="00EB5383" w:rsidRPr="00BA47F4">
          <w:rPr>
            <w:rStyle w:val="Hyperlink"/>
            <w:noProof/>
            <w:spacing w:val="3"/>
            <w:w w:val="105"/>
          </w:rPr>
          <w:t>untingdale activity centre</w:t>
        </w:r>
        <w:r w:rsidR="00EB5383">
          <w:rPr>
            <w:noProof/>
            <w:webHidden/>
          </w:rPr>
          <w:tab/>
        </w:r>
        <w:r w:rsidR="00EB5383">
          <w:rPr>
            <w:noProof/>
            <w:webHidden/>
          </w:rPr>
          <w:fldChar w:fldCharType="begin"/>
        </w:r>
        <w:r w:rsidR="00EB5383">
          <w:rPr>
            <w:noProof/>
            <w:webHidden/>
          </w:rPr>
          <w:instrText xml:space="preserve"> PAGEREF _Toc477870458 \h </w:instrText>
        </w:r>
        <w:r w:rsidR="00EB5383">
          <w:rPr>
            <w:noProof/>
            <w:webHidden/>
          </w:rPr>
        </w:r>
        <w:r w:rsidR="00EB5383">
          <w:rPr>
            <w:noProof/>
            <w:webHidden/>
          </w:rPr>
          <w:fldChar w:fldCharType="separate"/>
        </w:r>
        <w:r w:rsidR="00EB5383">
          <w:rPr>
            <w:noProof/>
            <w:webHidden/>
          </w:rPr>
          <w:t>18</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59" w:history="1">
        <w:r w:rsidR="00EB5383" w:rsidRPr="00BA47F4">
          <w:rPr>
            <w:rStyle w:val="Hyperlink"/>
            <w:noProof/>
            <w:spacing w:val="3"/>
            <w:w w:val="105"/>
          </w:rPr>
          <w:t>5.2 – Clayton activity centre</w:t>
        </w:r>
        <w:r w:rsidR="00EB5383">
          <w:rPr>
            <w:noProof/>
            <w:webHidden/>
          </w:rPr>
          <w:tab/>
        </w:r>
        <w:r w:rsidR="00EB5383">
          <w:rPr>
            <w:noProof/>
            <w:webHidden/>
          </w:rPr>
          <w:fldChar w:fldCharType="begin"/>
        </w:r>
        <w:r w:rsidR="00EB5383">
          <w:rPr>
            <w:noProof/>
            <w:webHidden/>
          </w:rPr>
          <w:instrText xml:space="preserve"> PAGEREF _Toc477870459 \h </w:instrText>
        </w:r>
        <w:r w:rsidR="00EB5383">
          <w:rPr>
            <w:noProof/>
            <w:webHidden/>
          </w:rPr>
        </w:r>
        <w:r w:rsidR="00EB5383">
          <w:rPr>
            <w:noProof/>
            <w:webHidden/>
          </w:rPr>
          <w:fldChar w:fldCharType="separate"/>
        </w:r>
        <w:r w:rsidR="00EB5383">
          <w:rPr>
            <w:noProof/>
            <w:webHidden/>
          </w:rPr>
          <w:t>20</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0" w:history="1">
        <w:r w:rsidR="00EB5383" w:rsidRPr="00BA47F4">
          <w:rPr>
            <w:rStyle w:val="Hyperlink"/>
            <w:noProof/>
            <w:spacing w:val="3"/>
            <w:w w:val="105"/>
          </w:rPr>
          <w:t xml:space="preserve">5.3 – </w:t>
        </w:r>
        <w:r w:rsidR="00EB5383">
          <w:rPr>
            <w:rStyle w:val="Hyperlink"/>
            <w:noProof/>
            <w:spacing w:val="3"/>
            <w:w w:val="105"/>
          </w:rPr>
          <w:t>S</w:t>
        </w:r>
        <w:r w:rsidR="00EB5383" w:rsidRPr="00BA47F4">
          <w:rPr>
            <w:rStyle w:val="Hyperlink"/>
            <w:noProof/>
            <w:spacing w:val="3"/>
            <w:w w:val="105"/>
          </w:rPr>
          <w:t>pringvale activity centre</w:t>
        </w:r>
        <w:r w:rsidR="00EB5383">
          <w:rPr>
            <w:noProof/>
            <w:webHidden/>
          </w:rPr>
          <w:tab/>
        </w:r>
        <w:r w:rsidR="00EB5383">
          <w:rPr>
            <w:noProof/>
            <w:webHidden/>
          </w:rPr>
          <w:fldChar w:fldCharType="begin"/>
        </w:r>
        <w:r w:rsidR="00EB5383">
          <w:rPr>
            <w:noProof/>
            <w:webHidden/>
          </w:rPr>
          <w:instrText xml:space="preserve"> PAGEREF _Toc477870460 \h </w:instrText>
        </w:r>
        <w:r w:rsidR="00EB5383">
          <w:rPr>
            <w:noProof/>
            <w:webHidden/>
          </w:rPr>
        </w:r>
        <w:r w:rsidR="00EB5383">
          <w:rPr>
            <w:noProof/>
            <w:webHidden/>
          </w:rPr>
          <w:fldChar w:fldCharType="separate"/>
        </w:r>
        <w:r w:rsidR="00EB5383">
          <w:rPr>
            <w:noProof/>
            <w:webHidden/>
          </w:rPr>
          <w:t>22</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1" w:history="1">
        <w:r w:rsidR="00EB5383" w:rsidRPr="00BA47F4">
          <w:rPr>
            <w:rStyle w:val="Hyperlink"/>
            <w:noProof/>
            <w:spacing w:val="3"/>
            <w:w w:val="105"/>
          </w:rPr>
          <w:t>5.4 – PMP printing / centre road precinct</w:t>
        </w:r>
        <w:r w:rsidR="00EB5383">
          <w:rPr>
            <w:noProof/>
            <w:webHidden/>
          </w:rPr>
          <w:tab/>
        </w:r>
        <w:r w:rsidR="00EB5383">
          <w:rPr>
            <w:noProof/>
            <w:webHidden/>
          </w:rPr>
          <w:fldChar w:fldCharType="begin"/>
        </w:r>
        <w:r w:rsidR="00EB5383">
          <w:rPr>
            <w:noProof/>
            <w:webHidden/>
          </w:rPr>
          <w:instrText xml:space="preserve"> PAGEREF _Toc477870461 \h </w:instrText>
        </w:r>
        <w:r w:rsidR="00EB5383">
          <w:rPr>
            <w:noProof/>
            <w:webHidden/>
          </w:rPr>
        </w:r>
        <w:r w:rsidR="00EB5383">
          <w:rPr>
            <w:noProof/>
            <w:webHidden/>
          </w:rPr>
          <w:fldChar w:fldCharType="separate"/>
        </w:r>
        <w:r w:rsidR="00EB5383">
          <w:rPr>
            <w:noProof/>
            <w:webHidden/>
          </w:rPr>
          <w:t>24</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2" w:history="1">
        <w:r w:rsidR="00EB5383">
          <w:rPr>
            <w:rStyle w:val="Hyperlink"/>
            <w:noProof/>
            <w:spacing w:val="3"/>
            <w:w w:val="105"/>
          </w:rPr>
          <w:t>5.5 – C</w:t>
        </w:r>
        <w:r w:rsidR="00EB5383" w:rsidRPr="00BA47F4">
          <w:rPr>
            <w:rStyle w:val="Hyperlink"/>
            <w:noProof/>
            <w:spacing w:val="3"/>
            <w:w w:val="105"/>
          </w:rPr>
          <w:t>layton business park</w:t>
        </w:r>
        <w:r w:rsidR="00EB5383">
          <w:rPr>
            <w:noProof/>
            <w:webHidden/>
          </w:rPr>
          <w:tab/>
        </w:r>
        <w:r w:rsidR="00EB5383">
          <w:rPr>
            <w:noProof/>
            <w:webHidden/>
          </w:rPr>
          <w:fldChar w:fldCharType="begin"/>
        </w:r>
        <w:r w:rsidR="00EB5383">
          <w:rPr>
            <w:noProof/>
            <w:webHidden/>
          </w:rPr>
          <w:instrText xml:space="preserve"> PAGEREF _Toc477870462 \h </w:instrText>
        </w:r>
        <w:r w:rsidR="00EB5383">
          <w:rPr>
            <w:noProof/>
            <w:webHidden/>
          </w:rPr>
        </w:r>
        <w:r w:rsidR="00EB5383">
          <w:rPr>
            <w:noProof/>
            <w:webHidden/>
          </w:rPr>
          <w:fldChar w:fldCharType="separate"/>
        </w:r>
        <w:r w:rsidR="00EB5383">
          <w:rPr>
            <w:noProof/>
            <w:webHidden/>
          </w:rPr>
          <w:t>26</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3" w:history="1">
        <w:r w:rsidR="00EB5383">
          <w:rPr>
            <w:rStyle w:val="Hyperlink"/>
            <w:noProof/>
            <w:spacing w:val="3"/>
            <w:w w:val="105"/>
          </w:rPr>
          <w:t>5.5 – S</w:t>
        </w:r>
        <w:r w:rsidR="00EB5383" w:rsidRPr="00BA47F4">
          <w:rPr>
            <w:rStyle w:val="Hyperlink"/>
            <w:noProof/>
            <w:spacing w:val="3"/>
            <w:w w:val="105"/>
          </w:rPr>
          <w:t>andown park station precinct</w:t>
        </w:r>
        <w:r w:rsidR="00EB5383">
          <w:rPr>
            <w:noProof/>
            <w:webHidden/>
          </w:rPr>
          <w:tab/>
        </w:r>
        <w:r w:rsidR="00EB5383">
          <w:rPr>
            <w:noProof/>
            <w:webHidden/>
          </w:rPr>
          <w:fldChar w:fldCharType="begin"/>
        </w:r>
        <w:r w:rsidR="00EB5383">
          <w:rPr>
            <w:noProof/>
            <w:webHidden/>
          </w:rPr>
          <w:instrText xml:space="preserve"> PAGEREF _Toc477870463 \h </w:instrText>
        </w:r>
        <w:r w:rsidR="00EB5383">
          <w:rPr>
            <w:noProof/>
            <w:webHidden/>
          </w:rPr>
        </w:r>
        <w:r w:rsidR="00EB5383">
          <w:rPr>
            <w:noProof/>
            <w:webHidden/>
          </w:rPr>
          <w:fldChar w:fldCharType="separate"/>
        </w:r>
        <w:r w:rsidR="00EB5383">
          <w:rPr>
            <w:noProof/>
            <w:webHidden/>
          </w:rPr>
          <w:t>28</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4" w:history="1">
        <w:r w:rsidR="00EB5383">
          <w:rPr>
            <w:rStyle w:val="Hyperlink"/>
            <w:noProof/>
            <w:spacing w:val="3"/>
            <w:w w:val="105"/>
          </w:rPr>
          <w:t>I</w:t>
        </w:r>
        <w:r w:rsidR="00EB5383" w:rsidRPr="00BA47F4">
          <w:rPr>
            <w:rStyle w:val="Hyperlink"/>
            <w:noProof/>
            <w:spacing w:val="3"/>
            <w:w w:val="105"/>
          </w:rPr>
          <w:t>mplementation</w:t>
        </w:r>
        <w:r w:rsidR="00EB5383">
          <w:rPr>
            <w:noProof/>
            <w:webHidden/>
          </w:rPr>
          <w:tab/>
        </w:r>
        <w:r w:rsidR="00EB5383">
          <w:rPr>
            <w:noProof/>
            <w:webHidden/>
          </w:rPr>
          <w:fldChar w:fldCharType="begin"/>
        </w:r>
        <w:r w:rsidR="00EB5383">
          <w:rPr>
            <w:noProof/>
            <w:webHidden/>
          </w:rPr>
          <w:instrText xml:space="preserve"> PAGEREF _Toc477870464 \h </w:instrText>
        </w:r>
        <w:r w:rsidR="00EB5383">
          <w:rPr>
            <w:noProof/>
            <w:webHidden/>
          </w:rPr>
        </w:r>
        <w:r w:rsidR="00EB5383">
          <w:rPr>
            <w:noProof/>
            <w:webHidden/>
          </w:rPr>
          <w:fldChar w:fldCharType="separate"/>
        </w:r>
        <w:r w:rsidR="00EB5383">
          <w:rPr>
            <w:noProof/>
            <w:webHidden/>
          </w:rPr>
          <w:t>30</w:t>
        </w:r>
        <w:r w:rsidR="00EB5383">
          <w:rPr>
            <w:noProof/>
            <w:webHidden/>
          </w:rPr>
          <w:fldChar w:fldCharType="end"/>
        </w:r>
      </w:hyperlink>
    </w:p>
    <w:p w:rsidR="00EB5383" w:rsidRDefault="009548CB">
      <w:pPr>
        <w:pStyle w:val="TOC1"/>
        <w:tabs>
          <w:tab w:val="right" w:leader="dot" w:pos="8488"/>
        </w:tabs>
        <w:rPr>
          <w:rFonts w:asciiTheme="minorHAnsi" w:eastAsiaTheme="minorEastAsia" w:hAnsiTheme="minorHAnsi" w:cstheme="minorBidi"/>
          <w:noProof/>
          <w:sz w:val="22"/>
          <w:szCs w:val="22"/>
        </w:rPr>
      </w:pPr>
      <w:hyperlink w:anchor="_Toc477870465" w:history="1">
        <w:r w:rsidR="00EB5383">
          <w:rPr>
            <w:rStyle w:val="Hyperlink"/>
            <w:noProof/>
            <w:spacing w:val="3"/>
            <w:w w:val="105"/>
          </w:rPr>
          <w:t>A</w:t>
        </w:r>
        <w:r w:rsidR="00EB5383" w:rsidRPr="00BA47F4">
          <w:rPr>
            <w:rStyle w:val="Hyperlink"/>
            <w:noProof/>
            <w:spacing w:val="3"/>
            <w:w w:val="105"/>
          </w:rPr>
          <w:t>bbreviations</w:t>
        </w:r>
        <w:r w:rsidR="00EB5383">
          <w:rPr>
            <w:noProof/>
            <w:webHidden/>
          </w:rPr>
          <w:tab/>
        </w:r>
        <w:r w:rsidR="00EB5383">
          <w:rPr>
            <w:noProof/>
            <w:webHidden/>
          </w:rPr>
          <w:fldChar w:fldCharType="begin"/>
        </w:r>
        <w:r w:rsidR="00EB5383">
          <w:rPr>
            <w:noProof/>
            <w:webHidden/>
          </w:rPr>
          <w:instrText xml:space="preserve"> PAGEREF _Toc477870465 \h </w:instrText>
        </w:r>
        <w:r w:rsidR="00EB5383">
          <w:rPr>
            <w:noProof/>
            <w:webHidden/>
          </w:rPr>
        </w:r>
        <w:r w:rsidR="00EB5383">
          <w:rPr>
            <w:noProof/>
            <w:webHidden/>
          </w:rPr>
          <w:fldChar w:fldCharType="separate"/>
        </w:r>
        <w:r w:rsidR="00EB5383">
          <w:rPr>
            <w:noProof/>
            <w:webHidden/>
          </w:rPr>
          <w:t>32</w:t>
        </w:r>
        <w:r w:rsidR="00EB5383">
          <w:rPr>
            <w:noProof/>
            <w:webHidden/>
          </w:rPr>
          <w:fldChar w:fldCharType="end"/>
        </w:r>
      </w:hyperlink>
    </w:p>
    <w:p w:rsidR="00AC6C61" w:rsidRDefault="00937364" w:rsidP="00937364">
      <w:pPr>
        <w:pStyle w:val="HeadingContents"/>
        <w:rPr>
          <w:rFonts w:ascii="Calibri" w:hAnsi="Calibri"/>
          <w:sz w:val="22"/>
          <w:lang w:val="en-US" w:eastAsia="en-AU"/>
        </w:rPr>
      </w:pPr>
      <w:r>
        <w:rPr>
          <w:rFonts w:ascii="Calibri" w:hAnsi="Calibri"/>
          <w:sz w:val="22"/>
          <w:lang w:val="en-US" w:eastAsia="en-AU"/>
        </w:rPr>
        <w:fldChar w:fldCharType="end"/>
      </w:r>
      <w:r w:rsidR="00AC6C61">
        <w:rPr>
          <w:rFonts w:ascii="Calibri" w:hAnsi="Calibri"/>
          <w:sz w:val="22"/>
          <w:lang w:val="en-US" w:eastAsia="en-AU"/>
        </w:rPr>
        <w:br w:type="page"/>
      </w:r>
    </w:p>
    <w:p w:rsidR="00937364" w:rsidRDefault="00937364" w:rsidP="00937364">
      <w:pPr>
        <w:pStyle w:val="HeadingContents"/>
      </w:pPr>
      <w:r w:rsidRPr="001C633A">
        <w:lastRenderedPageBreak/>
        <w:t>Figures</w:t>
      </w:r>
    </w:p>
    <w:p w:rsidR="00EB5383" w:rsidRDefault="00937364">
      <w:pPr>
        <w:pStyle w:val="TableofFigures"/>
        <w:tabs>
          <w:tab w:val="right" w:leader="dot" w:pos="8488"/>
        </w:tabs>
        <w:rPr>
          <w:rFonts w:asciiTheme="minorHAnsi" w:eastAsiaTheme="minorEastAsia" w:hAnsiTheme="minorHAnsi" w:cstheme="minorBidi"/>
          <w:noProof/>
          <w:sz w:val="22"/>
        </w:rPr>
      </w:pPr>
      <w:r>
        <w:fldChar w:fldCharType="begin"/>
      </w:r>
      <w:r>
        <w:instrText xml:space="preserve"> TOC \h \z \c "Figure" </w:instrText>
      </w:r>
      <w:r>
        <w:fldChar w:fldCharType="separate"/>
      </w:r>
      <w:hyperlink w:anchor="_Toc477870539" w:history="1">
        <w:r w:rsidR="00EB5383" w:rsidRPr="00960164">
          <w:rPr>
            <w:rStyle w:val="Hyperlink"/>
            <w:rFonts w:cs="Arial"/>
            <w:b/>
            <w:noProof/>
          </w:rPr>
          <w:t>Figure 1</w:t>
        </w:r>
        <w:r w:rsidR="00EB5383" w:rsidRPr="00960164">
          <w:rPr>
            <w:rStyle w:val="Hyperlink"/>
            <w:rFonts w:cs="Arial"/>
            <w:noProof/>
          </w:rPr>
          <w:t xml:space="preserve"> Metropolitan Context Map</w:t>
        </w:r>
        <w:r w:rsidR="00EB5383">
          <w:rPr>
            <w:noProof/>
            <w:webHidden/>
          </w:rPr>
          <w:tab/>
        </w:r>
        <w:r w:rsidR="00EB5383">
          <w:rPr>
            <w:noProof/>
            <w:webHidden/>
          </w:rPr>
          <w:fldChar w:fldCharType="begin"/>
        </w:r>
        <w:r w:rsidR="00EB5383">
          <w:rPr>
            <w:noProof/>
            <w:webHidden/>
          </w:rPr>
          <w:instrText xml:space="preserve"> PAGEREF _Toc477870539 \h </w:instrText>
        </w:r>
        <w:r w:rsidR="00EB5383">
          <w:rPr>
            <w:noProof/>
            <w:webHidden/>
          </w:rPr>
        </w:r>
        <w:r w:rsidR="00EB5383">
          <w:rPr>
            <w:noProof/>
            <w:webHidden/>
          </w:rPr>
          <w:fldChar w:fldCharType="separate"/>
        </w:r>
        <w:r w:rsidR="00EB5383">
          <w:rPr>
            <w:noProof/>
            <w:webHidden/>
          </w:rPr>
          <w:t>6</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9" w:anchor="_Toc477870540" w:history="1">
        <w:r w:rsidR="00EB5383" w:rsidRPr="00960164">
          <w:rPr>
            <w:rStyle w:val="Hyperlink"/>
            <w:rFonts w:cs="Arial"/>
            <w:b/>
            <w:noProof/>
          </w:rPr>
          <w:t>Figure 2</w:t>
        </w:r>
        <w:r w:rsidR="00EB5383" w:rsidRPr="00960164">
          <w:rPr>
            <w:rStyle w:val="Hyperlink"/>
            <w:noProof/>
          </w:rPr>
          <w:t xml:space="preserve"> </w:t>
        </w:r>
        <w:r w:rsidR="00EB5383" w:rsidRPr="00960164">
          <w:rPr>
            <w:rStyle w:val="Hyperlink"/>
            <w:rFonts w:cs="Arial"/>
            <w:noProof/>
          </w:rPr>
          <w:t>Monash National Employment and Innovation Cluster Framework Plan</w:t>
        </w:r>
        <w:r w:rsidR="00EB5383">
          <w:rPr>
            <w:noProof/>
            <w:webHidden/>
          </w:rPr>
          <w:tab/>
        </w:r>
        <w:r w:rsidR="00EB5383">
          <w:rPr>
            <w:noProof/>
            <w:webHidden/>
          </w:rPr>
          <w:fldChar w:fldCharType="begin"/>
        </w:r>
        <w:r w:rsidR="00EB5383">
          <w:rPr>
            <w:noProof/>
            <w:webHidden/>
          </w:rPr>
          <w:instrText xml:space="preserve"> PAGEREF _Toc477870540 \h </w:instrText>
        </w:r>
        <w:r w:rsidR="00EB5383">
          <w:rPr>
            <w:noProof/>
            <w:webHidden/>
          </w:rPr>
        </w:r>
        <w:r w:rsidR="00EB5383">
          <w:rPr>
            <w:noProof/>
            <w:webHidden/>
          </w:rPr>
          <w:fldChar w:fldCharType="separate"/>
        </w:r>
        <w:r w:rsidR="00EB5383">
          <w:rPr>
            <w:noProof/>
            <w:webHidden/>
          </w:rPr>
          <w:t>3</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w:anchor="_Toc477870541" w:history="1">
        <w:r w:rsidR="00EB5383" w:rsidRPr="00960164">
          <w:rPr>
            <w:rStyle w:val="Hyperlink"/>
            <w:rFonts w:cs="Arial"/>
            <w:b/>
            <w:bCs/>
            <w:noProof/>
            <w:spacing w:val="3"/>
            <w:w w:val="105"/>
          </w:rPr>
          <w:t>Figure 3</w:t>
        </w:r>
        <w:r w:rsidR="00EB5383" w:rsidRPr="00960164">
          <w:rPr>
            <w:rStyle w:val="Hyperlink"/>
            <w:b/>
            <w:noProof/>
          </w:rPr>
          <w:t xml:space="preserve"> </w:t>
        </w:r>
        <w:r w:rsidR="00EB5383" w:rsidRPr="00960164">
          <w:rPr>
            <w:rStyle w:val="Hyperlink"/>
            <w:rFonts w:cs="Arial"/>
            <w:noProof/>
            <w:spacing w:val="3"/>
            <w:w w:val="105"/>
          </w:rPr>
          <w:t>Health, Education and Research Precinct Plan</w:t>
        </w:r>
        <w:r w:rsidR="00EB5383">
          <w:rPr>
            <w:noProof/>
            <w:webHidden/>
          </w:rPr>
          <w:tab/>
        </w:r>
        <w:r w:rsidR="00EB5383">
          <w:rPr>
            <w:noProof/>
            <w:webHidden/>
          </w:rPr>
          <w:fldChar w:fldCharType="begin"/>
        </w:r>
        <w:r w:rsidR="00EB5383">
          <w:rPr>
            <w:noProof/>
            <w:webHidden/>
          </w:rPr>
          <w:instrText xml:space="preserve"> PAGEREF _Toc477870541 \h </w:instrText>
        </w:r>
        <w:r w:rsidR="00EB5383">
          <w:rPr>
            <w:noProof/>
            <w:webHidden/>
          </w:rPr>
        </w:r>
        <w:r w:rsidR="00EB5383">
          <w:rPr>
            <w:noProof/>
            <w:webHidden/>
          </w:rPr>
          <w:fldChar w:fldCharType="separate"/>
        </w:r>
        <w:r w:rsidR="00EB5383">
          <w:rPr>
            <w:noProof/>
            <w:webHidden/>
          </w:rPr>
          <w:t>7</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w:anchor="_Toc477870542" w:history="1">
        <w:r w:rsidR="00EB5383" w:rsidRPr="00960164">
          <w:rPr>
            <w:rStyle w:val="Hyperlink"/>
            <w:rFonts w:cs="Arial"/>
            <w:b/>
            <w:bCs/>
            <w:noProof/>
          </w:rPr>
          <w:t>Figure 4</w:t>
        </w:r>
        <w:r w:rsidR="00EB5383" w:rsidRPr="00960164">
          <w:rPr>
            <w:rStyle w:val="Hyperlink"/>
            <w:noProof/>
          </w:rPr>
          <w:t xml:space="preserve">  </w:t>
        </w:r>
        <w:r w:rsidR="00EB5383" w:rsidRPr="00960164">
          <w:rPr>
            <w:rStyle w:val="Hyperlink"/>
            <w:rFonts w:cs="Arial"/>
            <w:noProof/>
          </w:rPr>
          <w:t>Employment Areas Plan</w:t>
        </w:r>
        <w:r w:rsidR="00EB5383">
          <w:rPr>
            <w:noProof/>
            <w:webHidden/>
          </w:rPr>
          <w:tab/>
        </w:r>
        <w:r w:rsidR="00EB5383">
          <w:rPr>
            <w:noProof/>
            <w:webHidden/>
          </w:rPr>
          <w:fldChar w:fldCharType="begin"/>
        </w:r>
        <w:r w:rsidR="00EB5383">
          <w:rPr>
            <w:noProof/>
            <w:webHidden/>
          </w:rPr>
          <w:instrText xml:space="preserve"> PAGEREF _Toc477870542 \h </w:instrText>
        </w:r>
        <w:r w:rsidR="00EB5383">
          <w:rPr>
            <w:noProof/>
            <w:webHidden/>
          </w:rPr>
        </w:r>
        <w:r w:rsidR="00EB5383">
          <w:rPr>
            <w:noProof/>
            <w:webHidden/>
          </w:rPr>
          <w:fldChar w:fldCharType="separate"/>
        </w:r>
        <w:r w:rsidR="00EB5383">
          <w:rPr>
            <w:noProof/>
            <w:webHidden/>
          </w:rPr>
          <w:t>10</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w:anchor="_Toc477870543" w:history="1">
        <w:r w:rsidR="00EB5383" w:rsidRPr="00960164">
          <w:rPr>
            <w:rStyle w:val="Hyperlink"/>
            <w:rFonts w:cs="Arial"/>
            <w:b/>
            <w:noProof/>
          </w:rPr>
          <w:t>Figure 5</w:t>
        </w:r>
        <w:r w:rsidR="00EB5383" w:rsidRPr="00960164">
          <w:rPr>
            <w:rStyle w:val="Hyperlink"/>
            <w:b/>
            <w:noProof/>
          </w:rPr>
          <w:t xml:space="preserve">  </w:t>
        </w:r>
        <w:r w:rsidR="00EB5383" w:rsidRPr="00960164">
          <w:rPr>
            <w:rStyle w:val="Hyperlink"/>
            <w:rFonts w:cs="Arial"/>
            <w:bCs/>
            <w:noProof/>
            <w:w w:val="105"/>
            <w:lang w:val="en-GB"/>
          </w:rPr>
          <w:t>Transport plan</w:t>
        </w:r>
        <w:r w:rsidR="00EB5383">
          <w:rPr>
            <w:noProof/>
            <w:webHidden/>
          </w:rPr>
          <w:tab/>
        </w:r>
        <w:r w:rsidR="00EB5383">
          <w:rPr>
            <w:noProof/>
            <w:webHidden/>
          </w:rPr>
          <w:fldChar w:fldCharType="begin"/>
        </w:r>
        <w:r w:rsidR="00EB5383">
          <w:rPr>
            <w:noProof/>
            <w:webHidden/>
          </w:rPr>
          <w:instrText xml:space="preserve"> PAGEREF _Toc477870543 \h </w:instrText>
        </w:r>
        <w:r w:rsidR="00EB5383">
          <w:rPr>
            <w:noProof/>
            <w:webHidden/>
          </w:rPr>
        </w:r>
        <w:r w:rsidR="00EB5383">
          <w:rPr>
            <w:noProof/>
            <w:webHidden/>
          </w:rPr>
          <w:fldChar w:fldCharType="separate"/>
        </w:r>
        <w:r w:rsidR="00EB5383">
          <w:rPr>
            <w:noProof/>
            <w:webHidden/>
          </w:rPr>
          <w:t>13</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w:anchor="_Toc477870544" w:history="1">
        <w:r w:rsidR="00EB5383" w:rsidRPr="00960164">
          <w:rPr>
            <w:rStyle w:val="Hyperlink"/>
            <w:rFonts w:cs="Arial"/>
            <w:b/>
            <w:noProof/>
          </w:rPr>
          <w:t>Figure 6</w:t>
        </w:r>
        <w:r w:rsidR="00EB5383" w:rsidRPr="00960164">
          <w:rPr>
            <w:rStyle w:val="Hyperlink"/>
            <w:noProof/>
          </w:rPr>
          <w:t xml:space="preserve"> </w:t>
        </w:r>
        <w:r w:rsidR="00EB5383" w:rsidRPr="00960164">
          <w:rPr>
            <w:rStyle w:val="Hyperlink"/>
            <w:rFonts w:cs="Arial"/>
            <w:noProof/>
          </w:rPr>
          <w:t>Open Space and Community Infrastructure Plan</w:t>
        </w:r>
        <w:r w:rsidR="00EB5383">
          <w:rPr>
            <w:noProof/>
            <w:webHidden/>
          </w:rPr>
          <w:tab/>
        </w:r>
        <w:r w:rsidR="00EB5383">
          <w:rPr>
            <w:noProof/>
            <w:webHidden/>
          </w:rPr>
          <w:fldChar w:fldCharType="begin"/>
        </w:r>
        <w:r w:rsidR="00EB5383">
          <w:rPr>
            <w:noProof/>
            <w:webHidden/>
          </w:rPr>
          <w:instrText xml:space="preserve"> PAGEREF _Toc477870544 \h </w:instrText>
        </w:r>
        <w:r w:rsidR="00EB5383">
          <w:rPr>
            <w:noProof/>
            <w:webHidden/>
          </w:rPr>
        </w:r>
        <w:r w:rsidR="00EB5383">
          <w:rPr>
            <w:noProof/>
            <w:webHidden/>
          </w:rPr>
          <w:fldChar w:fldCharType="separate"/>
        </w:r>
        <w:r w:rsidR="00EB5383">
          <w:rPr>
            <w:noProof/>
            <w:webHidden/>
          </w:rPr>
          <w:t>15</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0" w:anchor="_Toc477870545" w:history="1">
        <w:r w:rsidR="00EB5383" w:rsidRPr="00960164">
          <w:rPr>
            <w:rStyle w:val="Hyperlink"/>
            <w:rFonts w:cs="Arial"/>
            <w:b/>
            <w:noProof/>
          </w:rPr>
          <w:t>Figure 7</w:t>
        </w:r>
        <w:r w:rsidR="00EB5383" w:rsidRPr="00960164">
          <w:rPr>
            <w:rStyle w:val="Hyperlink"/>
            <w:rFonts w:cs="Arial"/>
            <w:noProof/>
          </w:rPr>
          <w:t xml:space="preserve"> Huntingdale Activity Centre</w:t>
        </w:r>
        <w:r w:rsidR="00EB5383">
          <w:rPr>
            <w:noProof/>
            <w:webHidden/>
          </w:rPr>
          <w:tab/>
        </w:r>
        <w:r w:rsidR="00EB5383">
          <w:rPr>
            <w:noProof/>
            <w:webHidden/>
          </w:rPr>
          <w:fldChar w:fldCharType="begin"/>
        </w:r>
        <w:r w:rsidR="00EB5383">
          <w:rPr>
            <w:noProof/>
            <w:webHidden/>
          </w:rPr>
          <w:instrText xml:space="preserve"> PAGEREF _Toc477870545 \h </w:instrText>
        </w:r>
        <w:r w:rsidR="00EB5383">
          <w:rPr>
            <w:noProof/>
            <w:webHidden/>
          </w:rPr>
        </w:r>
        <w:r w:rsidR="00EB5383">
          <w:rPr>
            <w:noProof/>
            <w:webHidden/>
          </w:rPr>
          <w:fldChar w:fldCharType="separate"/>
        </w:r>
        <w:r w:rsidR="00EB5383">
          <w:rPr>
            <w:noProof/>
            <w:webHidden/>
          </w:rPr>
          <w:t>19</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1" w:anchor="_Toc477870546" w:history="1">
        <w:r w:rsidR="00EB5383" w:rsidRPr="00960164">
          <w:rPr>
            <w:rStyle w:val="Hyperlink"/>
            <w:rFonts w:cs="Arial"/>
            <w:b/>
            <w:noProof/>
          </w:rPr>
          <w:t>Figure 8</w:t>
        </w:r>
        <w:r w:rsidR="00EB5383" w:rsidRPr="00960164">
          <w:rPr>
            <w:rStyle w:val="Hyperlink"/>
            <w:rFonts w:cs="Arial"/>
            <w:noProof/>
          </w:rPr>
          <w:t xml:space="preserve"> Clayton Activity Centre</w:t>
        </w:r>
        <w:r w:rsidR="00EB5383">
          <w:rPr>
            <w:noProof/>
            <w:webHidden/>
          </w:rPr>
          <w:tab/>
        </w:r>
        <w:r w:rsidR="00EB5383">
          <w:rPr>
            <w:noProof/>
            <w:webHidden/>
          </w:rPr>
          <w:fldChar w:fldCharType="begin"/>
        </w:r>
        <w:r w:rsidR="00EB5383">
          <w:rPr>
            <w:noProof/>
            <w:webHidden/>
          </w:rPr>
          <w:instrText xml:space="preserve"> PAGEREF _Toc477870546 \h </w:instrText>
        </w:r>
        <w:r w:rsidR="00EB5383">
          <w:rPr>
            <w:noProof/>
            <w:webHidden/>
          </w:rPr>
        </w:r>
        <w:r w:rsidR="00EB5383">
          <w:rPr>
            <w:noProof/>
            <w:webHidden/>
          </w:rPr>
          <w:fldChar w:fldCharType="separate"/>
        </w:r>
        <w:r w:rsidR="00EB5383">
          <w:rPr>
            <w:noProof/>
            <w:webHidden/>
          </w:rPr>
          <w:t>21</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2" w:anchor="_Toc477870547" w:history="1">
        <w:r w:rsidR="00EB5383" w:rsidRPr="00960164">
          <w:rPr>
            <w:rStyle w:val="Hyperlink"/>
            <w:rFonts w:cs="Arial"/>
            <w:b/>
            <w:noProof/>
          </w:rPr>
          <w:t>Figure 9</w:t>
        </w:r>
        <w:r w:rsidR="00EB5383" w:rsidRPr="00960164">
          <w:rPr>
            <w:rStyle w:val="Hyperlink"/>
            <w:rFonts w:cs="Arial"/>
            <w:noProof/>
          </w:rPr>
          <w:t xml:space="preserve"> Springvale Activity Centre</w:t>
        </w:r>
        <w:r w:rsidR="00EB5383">
          <w:rPr>
            <w:noProof/>
            <w:webHidden/>
          </w:rPr>
          <w:tab/>
        </w:r>
        <w:r w:rsidR="00EB5383">
          <w:rPr>
            <w:noProof/>
            <w:webHidden/>
          </w:rPr>
          <w:fldChar w:fldCharType="begin"/>
        </w:r>
        <w:r w:rsidR="00EB5383">
          <w:rPr>
            <w:noProof/>
            <w:webHidden/>
          </w:rPr>
          <w:instrText xml:space="preserve"> PAGEREF _Toc477870547 \h </w:instrText>
        </w:r>
        <w:r w:rsidR="00EB5383">
          <w:rPr>
            <w:noProof/>
            <w:webHidden/>
          </w:rPr>
        </w:r>
        <w:r w:rsidR="00EB5383">
          <w:rPr>
            <w:noProof/>
            <w:webHidden/>
          </w:rPr>
          <w:fldChar w:fldCharType="separate"/>
        </w:r>
        <w:r w:rsidR="00EB5383">
          <w:rPr>
            <w:noProof/>
            <w:webHidden/>
          </w:rPr>
          <w:t>23</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3" w:anchor="_Toc477870548" w:history="1">
        <w:r w:rsidR="00EB5383" w:rsidRPr="00960164">
          <w:rPr>
            <w:rStyle w:val="Hyperlink"/>
            <w:rFonts w:cs="Arial"/>
            <w:b/>
            <w:noProof/>
          </w:rPr>
          <w:t>Figure 10</w:t>
        </w:r>
        <w:r w:rsidR="00EB5383" w:rsidRPr="00960164">
          <w:rPr>
            <w:rStyle w:val="Hyperlink"/>
            <w:rFonts w:cs="Arial"/>
            <w:noProof/>
          </w:rPr>
          <w:t xml:space="preserve"> PMP / Centre Road Precinct</w:t>
        </w:r>
        <w:r w:rsidR="00EB5383">
          <w:rPr>
            <w:noProof/>
            <w:webHidden/>
          </w:rPr>
          <w:tab/>
        </w:r>
        <w:r w:rsidR="00EB5383">
          <w:rPr>
            <w:noProof/>
            <w:webHidden/>
          </w:rPr>
          <w:fldChar w:fldCharType="begin"/>
        </w:r>
        <w:r w:rsidR="00EB5383">
          <w:rPr>
            <w:noProof/>
            <w:webHidden/>
          </w:rPr>
          <w:instrText xml:space="preserve"> PAGEREF _Toc477870548 \h </w:instrText>
        </w:r>
        <w:r w:rsidR="00EB5383">
          <w:rPr>
            <w:noProof/>
            <w:webHidden/>
          </w:rPr>
        </w:r>
        <w:r w:rsidR="00EB5383">
          <w:rPr>
            <w:noProof/>
            <w:webHidden/>
          </w:rPr>
          <w:fldChar w:fldCharType="separate"/>
        </w:r>
        <w:r w:rsidR="00EB5383">
          <w:rPr>
            <w:noProof/>
            <w:webHidden/>
          </w:rPr>
          <w:t>25</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4" w:anchor="_Toc477870549" w:history="1">
        <w:r w:rsidR="00EB5383" w:rsidRPr="00960164">
          <w:rPr>
            <w:rStyle w:val="Hyperlink"/>
            <w:rFonts w:cs="Arial"/>
            <w:b/>
            <w:noProof/>
          </w:rPr>
          <w:t>Figure 11</w:t>
        </w:r>
        <w:r w:rsidR="00EB5383" w:rsidRPr="00960164">
          <w:rPr>
            <w:rStyle w:val="Hyperlink"/>
            <w:rFonts w:cs="Arial"/>
            <w:noProof/>
          </w:rPr>
          <w:t xml:space="preserve"> Clayton Business Park</w:t>
        </w:r>
        <w:r w:rsidR="00EB5383">
          <w:rPr>
            <w:noProof/>
            <w:webHidden/>
          </w:rPr>
          <w:tab/>
        </w:r>
        <w:r w:rsidR="00EB5383">
          <w:rPr>
            <w:noProof/>
            <w:webHidden/>
          </w:rPr>
          <w:fldChar w:fldCharType="begin"/>
        </w:r>
        <w:r w:rsidR="00EB5383">
          <w:rPr>
            <w:noProof/>
            <w:webHidden/>
          </w:rPr>
          <w:instrText xml:space="preserve"> PAGEREF _Toc477870549 \h </w:instrText>
        </w:r>
        <w:r w:rsidR="00EB5383">
          <w:rPr>
            <w:noProof/>
            <w:webHidden/>
          </w:rPr>
        </w:r>
        <w:r w:rsidR="00EB5383">
          <w:rPr>
            <w:noProof/>
            <w:webHidden/>
          </w:rPr>
          <w:fldChar w:fldCharType="separate"/>
        </w:r>
        <w:r w:rsidR="00EB5383">
          <w:rPr>
            <w:noProof/>
            <w:webHidden/>
          </w:rPr>
          <w:t>27</w:t>
        </w:r>
        <w:r w:rsidR="00EB5383">
          <w:rPr>
            <w:noProof/>
            <w:webHidden/>
          </w:rPr>
          <w:fldChar w:fldCharType="end"/>
        </w:r>
      </w:hyperlink>
    </w:p>
    <w:p w:rsidR="00EB5383" w:rsidRDefault="009548CB">
      <w:pPr>
        <w:pStyle w:val="TableofFigures"/>
        <w:tabs>
          <w:tab w:val="right" w:leader="dot" w:pos="8488"/>
        </w:tabs>
        <w:rPr>
          <w:rFonts w:asciiTheme="minorHAnsi" w:eastAsiaTheme="minorEastAsia" w:hAnsiTheme="minorHAnsi" w:cstheme="minorBidi"/>
          <w:noProof/>
          <w:sz w:val="22"/>
        </w:rPr>
      </w:pPr>
      <w:hyperlink r:id="rId15" w:anchor="_Toc477870550" w:history="1">
        <w:r w:rsidR="00EB5383" w:rsidRPr="00960164">
          <w:rPr>
            <w:rStyle w:val="Hyperlink"/>
            <w:rFonts w:cs="Arial"/>
            <w:b/>
            <w:noProof/>
          </w:rPr>
          <w:t>Figure 12</w:t>
        </w:r>
        <w:r w:rsidR="00EB5383" w:rsidRPr="00960164">
          <w:rPr>
            <w:rStyle w:val="Hyperlink"/>
            <w:rFonts w:cs="Arial"/>
            <w:noProof/>
          </w:rPr>
          <w:t xml:space="preserve"> Sandown Park Station Precinct</w:t>
        </w:r>
        <w:r w:rsidR="00EB5383">
          <w:rPr>
            <w:noProof/>
            <w:webHidden/>
          </w:rPr>
          <w:tab/>
        </w:r>
        <w:r w:rsidR="00EB5383">
          <w:rPr>
            <w:noProof/>
            <w:webHidden/>
          </w:rPr>
          <w:fldChar w:fldCharType="begin"/>
        </w:r>
        <w:r w:rsidR="00EB5383">
          <w:rPr>
            <w:noProof/>
            <w:webHidden/>
          </w:rPr>
          <w:instrText xml:space="preserve"> PAGEREF _Toc477870550 \h </w:instrText>
        </w:r>
        <w:r w:rsidR="00EB5383">
          <w:rPr>
            <w:noProof/>
            <w:webHidden/>
          </w:rPr>
        </w:r>
        <w:r w:rsidR="00EB5383">
          <w:rPr>
            <w:noProof/>
            <w:webHidden/>
          </w:rPr>
          <w:fldChar w:fldCharType="separate"/>
        </w:r>
        <w:r w:rsidR="00EB5383">
          <w:rPr>
            <w:noProof/>
            <w:webHidden/>
          </w:rPr>
          <w:t>29</w:t>
        </w:r>
        <w:r w:rsidR="00EB5383">
          <w:rPr>
            <w:noProof/>
            <w:webHidden/>
          </w:rPr>
          <w:fldChar w:fldCharType="end"/>
        </w:r>
      </w:hyperlink>
    </w:p>
    <w:p w:rsidR="00937364" w:rsidRDefault="00937364" w:rsidP="00937364">
      <w:r>
        <w:fldChar w:fldCharType="end"/>
      </w:r>
      <w:r w:rsidRPr="00A116B6">
        <w:rPr>
          <w:i/>
          <w:vanish/>
          <w:color w:val="9CA0A3" w:themeColor="accent4"/>
          <w:lang w:val="en-US" w:eastAsia="en-US"/>
        </w:rPr>
        <w:t>Second page for table &amp; content overflow</w:t>
      </w:r>
      <w:r w:rsidRPr="00D035FF">
        <w:rPr>
          <w:vanish/>
          <w:color w:val="9CA0A3" w:themeColor="accent4"/>
          <w:lang w:val="en-US" w:eastAsia="en-US"/>
        </w:rPr>
        <w:t xml:space="preserve">(leave section break for pagination) </w:t>
      </w:r>
    </w:p>
    <w:p w:rsidR="00C04134" w:rsidRPr="00C04134" w:rsidRDefault="00C04134" w:rsidP="006315D0">
      <w:pPr>
        <w:pStyle w:val="Heading1nonumbers"/>
        <w:rPr>
          <w:rStyle w:val="guidelinenumbering"/>
          <w:rFonts w:cs="Arial"/>
          <w:b w:val="0"/>
          <w:bCs w:val="0"/>
          <w:color w:val="auto"/>
          <w:sz w:val="32"/>
          <w:szCs w:val="32"/>
        </w:rPr>
      </w:pPr>
      <w:bookmarkStart w:id="1" w:name="_Toc477870448"/>
      <w:r w:rsidRPr="00C04134">
        <w:rPr>
          <w:rStyle w:val="guidelinenumbering"/>
          <w:rFonts w:cs="Arial"/>
          <w:b w:val="0"/>
          <w:bCs w:val="0"/>
          <w:color w:val="auto"/>
          <w:sz w:val="32"/>
          <w:szCs w:val="32"/>
        </w:rPr>
        <w:lastRenderedPageBreak/>
        <w:t>Executive Summary</w:t>
      </w:r>
      <w:bookmarkEnd w:id="1"/>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The Monash National Employment and Innovation Cluster (Monash Cluster) has and will continue to have the largest concentration of jobs outside of the Melbourne Central Business District. Positioned centrally within Melbourne’s south-east on key arterial roads, bus routes and the Cranbourne-Pak</w:t>
      </w:r>
      <w:r w:rsidR="007D4790">
        <w:rPr>
          <w:rStyle w:val="guidelinenumbering"/>
          <w:rFonts w:ascii="Arial" w:hAnsi="Arial" w:cs="Arial"/>
          <w:b w:val="0"/>
          <w:bCs w:val="0"/>
          <w:color w:val="000000"/>
          <w:spacing w:val="3"/>
          <w:w w:val="105"/>
          <w:sz w:val="18"/>
          <w:szCs w:val="18"/>
        </w:rPr>
        <w:t>enham railway line, the Monash C</w:t>
      </w:r>
      <w:r>
        <w:rPr>
          <w:rStyle w:val="guidelinenumbering"/>
          <w:rFonts w:ascii="Arial" w:hAnsi="Arial" w:cs="Arial"/>
          <w:b w:val="0"/>
          <w:bCs w:val="0"/>
          <w:color w:val="000000"/>
          <w:spacing w:val="3"/>
          <w:w w:val="105"/>
          <w:sz w:val="18"/>
          <w:szCs w:val="18"/>
        </w:rPr>
        <w:t xml:space="preserve">luster has significant investment and specialised activities providing a good foundation for the growth of knowledge industries. </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 xml:space="preserve">Growing partnerships between the major institutions of Monash University, Monash Medical Centre, Monash Children’s Hospital, CSIRO, Australian Synchrotron with business and affiliated research and development facilities will unlock the future potential for growing employment and innovation in the precinct and surrounds. </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Planning for the long term and strategic public and private investment will provide the potential to double the number of jobs in the precinct. With suitable buildings, services and facilities to serve a new breed of worker and increased accessibility for established and growing areas of Melbourne’s south-east it will thrive.</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The Monash National Employment and Innovation Cluster Framework Plan (the framework plan) sets out a shared vis</w:t>
      </w:r>
      <w:r w:rsidR="00214090">
        <w:rPr>
          <w:rStyle w:val="guidelinenumbering"/>
          <w:rFonts w:ascii="Arial" w:hAnsi="Arial" w:cs="Arial"/>
          <w:b w:val="0"/>
          <w:bCs w:val="0"/>
          <w:color w:val="000000"/>
          <w:spacing w:val="3"/>
          <w:w w:val="105"/>
          <w:sz w:val="18"/>
          <w:szCs w:val="18"/>
        </w:rPr>
        <w:t>i</w:t>
      </w:r>
      <w:r>
        <w:rPr>
          <w:rStyle w:val="guidelinenumbering"/>
          <w:rFonts w:ascii="Arial" w:hAnsi="Arial" w:cs="Arial"/>
          <w:b w:val="0"/>
          <w:bCs w:val="0"/>
          <w:color w:val="000000"/>
          <w:spacing w:val="3"/>
          <w:w w:val="105"/>
          <w:sz w:val="18"/>
          <w:szCs w:val="18"/>
        </w:rPr>
        <w:t xml:space="preserve">on for the next 30 years to build on the cluster’s key assets and boost local employment by defining actions to improve the amenity of the cluster, encouraging new services and businesses to establish, improving transport links and public transport and creating partnership groups to coordinate business attraction and investment.  </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The plan gives the Victorian Government, Councils, developers, business and residential communities greater certainty and confidence about future</w:t>
      </w:r>
      <w:r w:rsidR="00214090">
        <w:rPr>
          <w:rStyle w:val="guidelinenumbering"/>
          <w:rFonts w:ascii="Arial" w:hAnsi="Arial" w:cs="Arial"/>
          <w:b w:val="0"/>
          <w:bCs w:val="0"/>
          <w:color w:val="000000"/>
          <w:spacing w:val="3"/>
          <w:w w:val="105"/>
          <w:sz w:val="18"/>
          <w:szCs w:val="18"/>
        </w:rPr>
        <w:t xml:space="preserve"> development within the Monash C</w:t>
      </w:r>
      <w:r>
        <w:rPr>
          <w:rStyle w:val="guidelinenumbering"/>
          <w:rFonts w:ascii="Arial" w:hAnsi="Arial" w:cs="Arial"/>
          <w:b w:val="0"/>
          <w:bCs w:val="0"/>
          <w:color w:val="000000"/>
          <w:spacing w:val="3"/>
          <w:w w:val="105"/>
          <w:sz w:val="18"/>
          <w:szCs w:val="18"/>
        </w:rPr>
        <w:t>luster.</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The framework plan outlines a range of strategic priority outcomes to achieve this vision, including:</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Identifying priority projects and partnerships to support implementation of the framework plan;</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A transport plan to increase sustainable transport options and address congestion issues;</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Investigating high capacity public transport projects for Monash University and Monash Technology Precinct</w:t>
      </w:r>
      <w:r w:rsidR="00214090">
        <w:rPr>
          <w:rStyle w:val="guidelinenumbering"/>
          <w:rFonts w:ascii="Arial" w:hAnsi="Arial"/>
          <w:b w:val="0"/>
          <w:bCs w:val="0"/>
          <w:color w:val="000000"/>
          <w:sz w:val="18"/>
        </w:rPr>
        <w:t>;</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Accelerating Westall Road extension project delivery;</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Planning for new business town centres and review of urban design guidelines for development in the Monash Technology Precinct;</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Precinct planning around railway stations and the Health, Education and Research Precinct to support local living and working opportunities; and</w:t>
      </w:r>
    </w:p>
    <w:p w:rsidR="00C04134" w:rsidRDefault="00C04134" w:rsidP="00C04134">
      <w:pPr>
        <w:pStyle w:val="List1bullet"/>
        <w:rPr>
          <w:rStyle w:val="guidelinenumbering"/>
          <w:rFonts w:ascii="Arial" w:hAnsi="Arial"/>
          <w:b w:val="0"/>
          <w:bCs w:val="0"/>
          <w:color w:val="000000"/>
          <w:sz w:val="18"/>
        </w:rPr>
      </w:pPr>
      <w:r>
        <w:rPr>
          <w:rStyle w:val="guidelinenumbering"/>
          <w:rFonts w:ascii="Arial" w:hAnsi="Arial"/>
          <w:b w:val="0"/>
          <w:bCs w:val="0"/>
          <w:color w:val="000000"/>
          <w:sz w:val="18"/>
        </w:rPr>
        <w:t>Planning for mixed use urban renewal projects at strategic sites, e.g. Clayton Business Park and PMP Printing (Clayton).</w:t>
      </w:r>
    </w:p>
    <w:p w:rsidR="00C04134" w:rsidRDefault="00C04134" w:rsidP="00C04134">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 xml:space="preserve">The framework plan is an important step forward in the implementation of </w:t>
      </w:r>
      <w:r>
        <w:rPr>
          <w:rStyle w:val="guidelinenumbering"/>
          <w:rFonts w:ascii="Arial" w:hAnsi="Arial" w:cs="Arial"/>
          <w:b w:val="0"/>
          <w:bCs w:val="0"/>
          <w:i/>
          <w:iCs/>
          <w:color w:val="000000"/>
          <w:spacing w:val="3"/>
          <w:w w:val="105"/>
          <w:sz w:val="18"/>
          <w:szCs w:val="18"/>
        </w:rPr>
        <w:t>Plan Melbourne 2017-2050</w:t>
      </w:r>
      <w:r w:rsidR="00AA416A">
        <w:rPr>
          <w:rStyle w:val="guidelinenumbering"/>
          <w:rFonts w:ascii="Arial" w:hAnsi="Arial" w:cs="Arial"/>
          <w:b w:val="0"/>
          <w:bCs w:val="0"/>
          <w:color w:val="000000"/>
          <w:spacing w:val="3"/>
          <w:w w:val="105"/>
          <w:sz w:val="18"/>
          <w:szCs w:val="18"/>
        </w:rPr>
        <w:t xml:space="preserve">. </w:t>
      </w:r>
      <w:r>
        <w:rPr>
          <w:rStyle w:val="guidelinenumbering"/>
          <w:rFonts w:ascii="Arial" w:hAnsi="Arial" w:cs="Arial"/>
          <w:b w:val="0"/>
          <w:bCs w:val="0"/>
          <w:color w:val="000000"/>
          <w:spacing w:val="3"/>
          <w:w w:val="105"/>
          <w:sz w:val="18"/>
          <w:szCs w:val="18"/>
        </w:rPr>
        <w:t>It is a coordinating action plan aimed at increasing employment by driving economic growth in the suburbs through coordinated public and private investme</w:t>
      </w:r>
      <w:r w:rsidR="00214090">
        <w:rPr>
          <w:rStyle w:val="guidelinenumbering"/>
          <w:rFonts w:ascii="Arial" w:hAnsi="Arial" w:cs="Arial"/>
          <w:b w:val="0"/>
          <w:bCs w:val="0"/>
          <w:color w:val="000000"/>
          <w:spacing w:val="3"/>
          <w:w w:val="105"/>
          <w:sz w:val="18"/>
          <w:szCs w:val="18"/>
        </w:rPr>
        <w:t>nt. The plan shows that Monash C</w:t>
      </w:r>
      <w:r>
        <w:rPr>
          <w:rStyle w:val="guidelinenumbering"/>
          <w:rFonts w:ascii="Arial" w:hAnsi="Arial" w:cs="Arial"/>
          <w:b w:val="0"/>
          <w:bCs w:val="0"/>
          <w:color w:val="000000"/>
          <w:spacing w:val="3"/>
          <w:w w:val="105"/>
          <w:sz w:val="18"/>
          <w:szCs w:val="18"/>
        </w:rPr>
        <w:t>luster is “open for business”, that there is a clear investment pipeline and a plan for how this city-shaping project will be delivered.</w:t>
      </w:r>
    </w:p>
    <w:p w:rsidR="00AC6C61" w:rsidRDefault="00AC6C61" w:rsidP="00C04134">
      <w:pPr>
        <w:pStyle w:val="TableofFigures"/>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br w:type="page"/>
      </w:r>
    </w:p>
    <w:p w:rsidR="00937364" w:rsidRPr="00EC01B1" w:rsidRDefault="007D4790" w:rsidP="00683396">
      <w:pPr>
        <w:pStyle w:val="Caption"/>
        <w:rPr>
          <w:rFonts w:ascii="Arial" w:hAnsi="Arial" w:cs="Arial"/>
          <w:color w:val="auto"/>
        </w:rPr>
        <w:sectPr w:rsidR="00937364" w:rsidRPr="00EC01B1" w:rsidSect="00060341">
          <w:headerReference w:type="even" r:id="rId16"/>
          <w:headerReference w:type="default" r:id="rId17"/>
          <w:footerReference w:type="even" r:id="rId18"/>
          <w:footerReference w:type="default" r:id="rId19"/>
          <w:pgSz w:w="11901" w:h="16846" w:code="9"/>
          <w:pgMar w:top="1701" w:right="1418" w:bottom="851" w:left="1985" w:header="284" w:footer="0" w:gutter="0"/>
          <w:cols w:space="720"/>
          <w:docGrid w:linePitch="299"/>
        </w:sectPr>
      </w:pPr>
      <w:bookmarkStart w:id="2" w:name="_Toc477870539"/>
      <w:r>
        <w:rPr>
          <w:noProof/>
        </w:rPr>
        <w:lastRenderedPageBreak/>
        <w:drawing>
          <wp:anchor distT="0" distB="0" distL="114300" distR="114300" simplePos="0" relativeHeight="251701248" behindDoc="0" locked="0" layoutInCell="1" allowOverlap="1" wp14:anchorId="4CA9A264" wp14:editId="22C7A8C0">
            <wp:simplePos x="0" y="0"/>
            <wp:positionH relativeFrom="margin">
              <wp:posOffset>3743325</wp:posOffset>
            </wp:positionH>
            <wp:positionV relativeFrom="paragraph">
              <wp:posOffset>323215</wp:posOffset>
            </wp:positionV>
            <wp:extent cx="1673860" cy="1818005"/>
            <wp:effectExtent l="0" t="0" r="2540" b="0"/>
            <wp:wrapThrough wrapText="bothSides">
              <wp:wrapPolygon edited="0">
                <wp:start x="0" y="0"/>
                <wp:lineTo x="0" y="21276"/>
                <wp:lineTo x="21387" y="21276"/>
                <wp:lineTo x="21387" y="0"/>
                <wp:lineTo x="0" y="0"/>
              </wp:wrapPolygon>
            </wp:wrapThrough>
            <wp:docPr id="12" name="Picture 12" descr="Legend shows:&#10;Monash National Employment and innovation cluster. &#10;other national employment and innovation clusters in metropolitan mebounre.&#10;Urban Growth Boundary.&#10;Melbourne CBD.&#10;Public Open Space.&#10;Metropolitan Activity Centres.&#10;Freeways.&#10;Railway network. &#10;" title="Leg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26488"/>
                    <a:stretch/>
                  </pic:blipFill>
                  <pic:spPr bwMode="auto">
                    <a:xfrm>
                      <a:off x="0" y="0"/>
                      <a:ext cx="1673860" cy="181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582F">
        <w:rPr>
          <w:noProof/>
        </w:rPr>
        <w:drawing>
          <wp:anchor distT="0" distB="0" distL="114300" distR="114300" simplePos="0" relativeHeight="251657214" behindDoc="0" locked="0" layoutInCell="1" allowOverlap="1" wp14:anchorId="1BF94B61" wp14:editId="45CD8142">
            <wp:simplePos x="0" y="0"/>
            <wp:positionH relativeFrom="margin">
              <wp:align>right</wp:align>
            </wp:positionH>
            <wp:positionV relativeFrom="paragraph">
              <wp:posOffset>443865</wp:posOffset>
            </wp:positionV>
            <wp:extent cx="5396230" cy="6298565"/>
            <wp:effectExtent l="0" t="0" r="0" b="6985"/>
            <wp:wrapSquare wrapText="bothSides"/>
            <wp:docPr id="13" name="Picture 13" descr="This map indicates the location of the Monash Cluster in relation to the Melbourne CBD and other notable features" title="Metropolitan Contex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396230" cy="6298565"/>
                    </a:xfrm>
                    <a:prstGeom prst="rect">
                      <a:avLst/>
                    </a:prstGeom>
                  </pic:spPr>
                </pic:pic>
              </a:graphicData>
            </a:graphic>
          </wp:anchor>
        </w:drawing>
      </w:r>
      <w:r w:rsidR="00683396" w:rsidRPr="000F4148">
        <w:rPr>
          <w:rFonts w:ascii="Arial" w:hAnsi="Arial" w:cs="Arial"/>
          <w:b/>
          <w:color w:val="auto"/>
        </w:rPr>
        <w:t xml:space="preserve">Figure </w:t>
      </w:r>
      <w:r w:rsidR="000F4148" w:rsidRPr="000F4148">
        <w:rPr>
          <w:rFonts w:ascii="Arial" w:hAnsi="Arial" w:cs="Arial"/>
          <w:b/>
          <w:color w:val="auto"/>
        </w:rPr>
        <w:fldChar w:fldCharType="begin"/>
      </w:r>
      <w:r w:rsidR="000F4148" w:rsidRPr="000F4148">
        <w:rPr>
          <w:rFonts w:ascii="Arial" w:hAnsi="Arial" w:cs="Arial"/>
          <w:b/>
          <w:color w:val="auto"/>
        </w:rPr>
        <w:instrText xml:space="preserve"> SEQ Figure \* ARABIC </w:instrText>
      </w:r>
      <w:r w:rsidR="000F4148" w:rsidRPr="000F4148">
        <w:rPr>
          <w:rFonts w:ascii="Arial" w:hAnsi="Arial" w:cs="Arial"/>
          <w:b/>
          <w:color w:val="auto"/>
        </w:rPr>
        <w:fldChar w:fldCharType="separate"/>
      </w:r>
      <w:r w:rsidR="001C633A">
        <w:rPr>
          <w:rFonts w:ascii="Arial" w:hAnsi="Arial" w:cs="Arial"/>
          <w:b/>
          <w:noProof/>
          <w:color w:val="auto"/>
        </w:rPr>
        <w:t>1</w:t>
      </w:r>
      <w:r w:rsidR="000F4148" w:rsidRPr="000F4148">
        <w:rPr>
          <w:rFonts w:ascii="Arial" w:hAnsi="Arial" w:cs="Arial"/>
          <w:b/>
          <w:color w:val="auto"/>
        </w:rPr>
        <w:fldChar w:fldCharType="end"/>
      </w:r>
      <w:r w:rsidR="00683396" w:rsidRPr="00EC01B1">
        <w:rPr>
          <w:rFonts w:ascii="Arial" w:hAnsi="Arial" w:cs="Arial"/>
          <w:color w:val="auto"/>
        </w:rPr>
        <w:t xml:space="preserve"> </w:t>
      </w:r>
      <w:r w:rsidR="00683396" w:rsidRPr="00EC01B1">
        <w:rPr>
          <w:rStyle w:val="guidelinenumbering"/>
          <w:rFonts w:ascii="Arial" w:hAnsi="Arial" w:cs="Arial"/>
          <w:b w:val="0"/>
          <w:bCs w:val="0"/>
          <w:color w:val="auto"/>
          <w:sz w:val="18"/>
          <w:szCs w:val="22"/>
        </w:rPr>
        <w:t>Metropolitan Context Map</w:t>
      </w:r>
      <w:bookmarkEnd w:id="2"/>
      <w:r w:rsidR="003144A4" w:rsidRPr="003144A4">
        <w:rPr>
          <w:noProof/>
        </w:rPr>
        <w:t xml:space="preserve"> </w:t>
      </w:r>
    </w:p>
    <w:p w:rsidR="00C04134" w:rsidRPr="00C04134" w:rsidRDefault="00C04134" w:rsidP="006315D0">
      <w:pPr>
        <w:pStyle w:val="Heading1nonumbers"/>
        <w:rPr>
          <w:rStyle w:val="guidelinenumbering"/>
          <w:rFonts w:cs="Arial"/>
          <w:b w:val="0"/>
          <w:bCs w:val="0"/>
          <w:color w:val="auto"/>
          <w:spacing w:val="3"/>
          <w:w w:val="105"/>
          <w:sz w:val="32"/>
          <w:szCs w:val="18"/>
        </w:rPr>
      </w:pPr>
      <w:bookmarkStart w:id="3" w:name="_Toc477870449"/>
      <w:bookmarkStart w:id="4" w:name="_Toc460581012"/>
      <w:r w:rsidRPr="00C04134">
        <w:rPr>
          <w:rStyle w:val="guidelinenumbering"/>
          <w:rFonts w:cs="Arial"/>
          <w:b w:val="0"/>
          <w:bCs w:val="0"/>
          <w:color w:val="auto"/>
          <w:spacing w:val="3"/>
          <w:w w:val="105"/>
          <w:sz w:val="32"/>
          <w:szCs w:val="18"/>
        </w:rPr>
        <w:lastRenderedPageBreak/>
        <w:t>Context</w:t>
      </w:r>
      <w:bookmarkEnd w:id="3"/>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 xml:space="preserve">The population of metropolitan Melbourne is forecast to grow to 7.9 million people by 2050. The state government’s strategic planning policy, </w:t>
      </w:r>
      <w:r w:rsidRPr="00C04134">
        <w:rPr>
          <w:rStyle w:val="guidelinenumbering"/>
          <w:rFonts w:ascii="Arial" w:hAnsi="Arial" w:cs="Arial"/>
          <w:b w:val="0"/>
          <w:bCs w:val="0"/>
          <w:i/>
          <w:iCs/>
          <w:color w:val="auto"/>
          <w:spacing w:val="3"/>
          <w:w w:val="105"/>
          <w:sz w:val="18"/>
          <w:szCs w:val="18"/>
        </w:rPr>
        <w:t>Plan Melbourne 2017-2050,</w:t>
      </w:r>
      <w:r w:rsidRPr="00C04134">
        <w:rPr>
          <w:rStyle w:val="guidelinenumbering"/>
          <w:rFonts w:ascii="Arial" w:hAnsi="Arial" w:cs="Arial"/>
          <w:b w:val="0"/>
          <w:bCs w:val="0"/>
          <w:color w:val="auto"/>
          <w:spacing w:val="3"/>
          <w:w w:val="105"/>
          <w:sz w:val="18"/>
          <w:szCs w:val="18"/>
        </w:rPr>
        <w:t xml:space="preserve"> provides directions to successfully navigate the challenges associated with this growth.  </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It describes Melbourne as a city of centres linked to regional Victoria. The focus of which is to achieve a productive city that attracts investment, fosters innovation and creates jobs. Driving investment into areas with the potential to foster innovation and growth of the knowledge industries will help sustain an increase in jobs at pace with population growth</w:t>
      </w:r>
      <w:r w:rsidR="00AC6C61">
        <w:rPr>
          <w:rStyle w:val="guidelinenumbering"/>
          <w:rFonts w:ascii="Arial" w:hAnsi="Arial" w:cs="Arial"/>
          <w:b w:val="0"/>
          <w:bCs w:val="0"/>
          <w:color w:val="auto"/>
          <w:spacing w:val="3"/>
          <w:w w:val="105"/>
          <w:sz w:val="18"/>
          <w:szCs w:val="18"/>
        </w:rPr>
        <w:t>.</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The Monash Cluster is one of seven major agglomerations of health, education and employment activities identified within</w:t>
      </w:r>
      <w:r w:rsidRPr="00C04134">
        <w:rPr>
          <w:rStyle w:val="guidelinenumbering"/>
          <w:rFonts w:ascii="Arial" w:hAnsi="Arial" w:cs="Arial"/>
          <w:b w:val="0"/>
          <w:bCs w:val="0"/>
          <w:i/>
          <w:iCs/>
          <w:color w:val="auto"/>
          <w:spacing w:val="3"/>
          <w:w w:val="105"/>
          <w:sz w:val="18"/>
          <w:szCs w:val="18"/>
        </w:rPr>
        <w:t xml:space="preserve"> Plan Melbourne.</w:t>
      </w:r>
      <w:r w:rsidRPr="00C04134">
        <w:rPr>
          <w:rStyle w:val="guidelinenumbering"/>
          <w:rFonts w:ascii="Arial" w:hAnsi="Arial" w:cs="Arial"/>
          <w:b w:val="0"/>
          <w:bCs w:val="0"/>
          <w:color w:val="auto"/>
          <w:spacing w:val="3"/>
          <w:w w:val="105"/>
          <w:sz w:val="18"/>
          <w:szCs w:val="18"/>
        </w:rPr>
        <w:t xml:space="preserve"> Focussing on these agglomerations and connecting them to bring jobs closer to where people live will help to reduce travel times, minimise greenhouse gas emissions and enable greater localisation of activities which contribute to enhanced </w:t>
      </w:r>
      <w:r w:rsidR="00DA0297" w:rsidRPr="00C04134">
        <w:rPr>
          <w:rStyle w:val="guidelinenumbering"/>
          <w:rFonts w:ascii="Arial" w:hAnsi="Arial" w:cs="Arial"/>
          <w:b w:val="0"/>
          <w:bCs w:val="0"/>
          <w:color w:val="auto"/>
          <w:spacing w:val="3"/>
          <w:w w:val="105"/>
          <w:sz w:val="18"/>
          <w:szCs w:val="18"/>
        </w:rPr>
        <w:t>liveability</w:t>
      </w:r>
      <w:r w:rsidRPr="00C04134">
        <w:rPr>
          <w:rStyle w:val="guidelinenumbering"/>
          <w:rFonts w:ascii="Arial" w:hAnsi="Arial" w:cs="Arial"/>
          <w:b w:val="0"/>
          <w:bCs w:val="0"/>
          <w:color w:val="auto"/>
          <w:spacing w:val="3"/>
          <w:w w:val="105"/>
          <w:sz w:val="18"/>
          <w:szCs w:val="18"/>
        </w:rPr>
        <w:t>.</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The Monash Cluster is located 20km south-east of central Melbourne and is a significant contributor to the national econ</w:t>
      </w:r>
      <w:r w:rsidR="00EB7D9A">
        <w:rPr>
          <w:rStyle w:val="guidelinenumbering"/>
          <w:rFonts w:ascii="Arial" w:hAnsi="Arial" w:cs="Arial"/>
          <w:b w:val="0"/>
          <w:bCs w:val="0"/>
          <w:color w:val="auto"/>
          <w:spacing w:val="3"/>
          <w:w w:val="105"/>
          <w:sz w:val="18"/>
          <w:szCs w:val="18"/>
        </w:rPr>
        <w:t>omy. It supports approximately 7</w:t>
      </w:r>
      <w:r w:rsidRPr="00C04134">
        <w:rPr>
          <w:rStyle w:val="guidelinenumbering"/>
          <w:rFonts w:ascii="Arial" w:hAnsi="Arial" w:cs="Arial"/>
          <w:b w:val="0"/>
          <w:bCs w:val="0"/>
          <w:color w:val="auto"/>
          <w:spacing w:val="3"/>
          <w:w w:val="105"/>
          <w:sz w:val="18"/>
          <w:szCs w:val="18"/>
        </w:rPr>
        <w:t>5,000 jobs across a diverse range of industries and contributes over $9.4 billion to the Victorian economy ea</w:t>
      </w:r>
      <w:r w:rsidR="00AA416A">
        <w:rPr>
          <w:rStyle w:val="guidelinenumbering"/>
          <w:rFonts w:ascii="Arial" w:hAnsi="Arial" w:cs="Arial"/>
          <w:b w:val="0"/>
          <w:bCs w:val="0"/>
          <w:color w:val="auto"/>
          <w:spacing w:val="3"/>
          <w:w w:val="105"/>
          <w:sz w:val="18"/>
          <w:szCs w:val="18"/>
        </w:rPr>
        <w:t xml:space="preserve">ch year. It is anticipated that </w:t>
      </w:r>
      <w:r w:rsidRPr="00C04134">
        <w:rPr>
          <w:rStyle w:val="guidelinenumbering"/>
          <w:rFonts w:ascii="Arial" w:hAnsi="Arial" w:cs="Arial"/>
          <w:b w:val="0"/>
          <w:bCs w:val="0"/>
          <w:color w:val="auto"/>
          <w:spacing w:val="3"/>
          <w:w w:val="105"/>
          <w:sz w:val="18"/>
          <w:szCs w:val="18"/>
        </w:rPr>
        <w:t>employment numbers within the Monash Cluster have the potential to double over the next 35 years.</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With the highest concentration of jobs outside the Melbourne Central Business District, nationally significant facilities, important institutions and a skilled local workforce, the Monash Cluster has all the ingredients for a successful modern business destination.</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Strategic investment in the economic precinct centred upon Monash University, Monash University Business Precinct, Australian Synchrotron, CSIRO, Monash Technology Precinct, Monash Children’s Hospital and Monash Medical Centre will contribute to employment growth and ensure that the Monash Cluster has continued economic success.</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 xml:space="preserve">The attraction of the cluster as a middle-suburban destination on the Monash Freeway and the Cranbourne-Pakenham railway line has supported investment. However, increased road congestion, changing business needs and the expectations of a new breed of workers demands innovative approaches in planning for the cluster. </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 xml:space="preserve">The business and worker amenity is at risk of decline in some parts of the cluster. Consistent feedback on these issues have resulted in this framework plan seeking to raise the profile of the cluster, implement public transport improvements, promote public realm enhancements and establish new business town centres as destinations that are home to restaurants, cafes, hotels and retail supporting key employment areas. </w:t>
      </w:r>
    </w:p>
    <w:p w:rsidR="00C04134" w:rsidRPr="00C04134" w:rsidRDefault="00C759A2" w:rsidP="00324E66">
      <w:pPr>
        <w:rPr>
          <w:rStyle w:val="guidelinenumbering"/>
          <w:rFonts w:ascii="Arial" w:hAnsi="Arial" w:cs="Arial"/>
          <w:b w:val="0"/>
          <w:bCs w:val="0"/>
          <w:color w:val="auto"/>
          <w:spacing w:val="3"/>
          <w:w w:val="105"/>
          <w:sz w:val="18"/>
          <w:szCs w:val="18"/>
        </w:rPr>
      </w:pPr>
      <w:r>
        <w:rPr>
          <w:rStyle w:val="guidelinenumbering"/>
          <w:rFonts w:ascii="Arial" w:hAnsi="Arial" w:cs="Arial"/>
          <w:b w:val="0"/>
          <w:bCs w:val="0"/>
          <w:color w:val="auto"/>
          <w:spacing w:val="3"/>
          <w:w w:val="105"/>
          <w:sz w:val="18"/>
          <w:szCs w:val="18"/>
        </w:rPr>
        <w:t>The planning of the Monash C</w:t>
      </w:r>
      <w:r w:rsidR="00C04134" w:rsidRPr="00C04134">
        <w:rPr>
          <w:rStyle w:val="guidelinenumbering"/>
          <w:rFonts w:ascii="Arial" w:hAnsi="Arial" w:cs="Arial"/>
          <w:b w:val="0"/>
          <w:bCs w:val="0"/>
          <w:color w:val="auto"/>
          <w:spacing w:val="3"/>
          <w:w w:val="105"/>
          <w:sz w:val="18"/>
          <w:szCs w:val="18"/>
        </w:rPr>
        <w:t>luster has been underway since 2014. The key outcomes and principles presented in this document, have been developed through research and diverse stakeholder engagement. The plan has evolved from the earlier consultation on the key ideas in April 2016</w:t>
      </w:r>
      <w:r w:rsidR="00214090">
        <w:rPr>
          <w:rStyle w:val="guidelinenumbering"/>
          <w:rFonts w:ascii="Arial" w:hAnsi="Arial" w:cs="Arial"/>
          <w:b w:val="0"/>
          <w:bCs w:val="0"/>
          <w:color w:val="auto"/>
          <w:spacing w:val="3"/>
          <w:w w:val="105"/>
          <w:sz w:val="18"/>
          <w:szCs w:val="18"/>
        </w:rPr>
        <w:t>, which received strong support.</w:t>
      </w:r>
      <w:r w:rsidR="00C04134" w:rsidRPr="00C04134">
        <w:rPr>
          <w:rStyle w:val="guidelinenumbering"/>
          <w:rFonts w:ascii="Arial" w:hAnsi="Arial" w:cs="Arial"/>
          <w:b w:val="0"/>
          <w:bCs w:val="0"/>
          <w:color w:val="auto"/>
          <w:spacing w:val="3"/>
          <w:w w:val="105"/>
          <w:sz w:val="18"/>
          <w:szCs w:val="18"/>
        </w:rPr>
        <w:t xml:space="preserve"> Key findings of this engagement and subsequent stakeholder consultation have been incorporated in the framework plan.</w:t>
      </w:r>
    </w:p>
    <w:p w:rsid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The framework plan aims to facilitate economic development and foster the intensification of key commercial, education, research and health precincts. Unifying the existing world class facilities and enhancing the image and identity of the Monash Cluster as a globally competitive destination for the brightest minds and greatest innovations will support the vision for more jobs closer to where people live. Strategic sites, activity centres and neighbourhoods close to railway stations provide focal areas for addressing future housing shortages.</w:t>
      </w:r>
    </w:p>
    <w:p w:rsidR="00C04134" w:rsidRPr="00C04134" w:rsidRDefault="00C04134" w:rsidP="00324E66">
      <w:pPr>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This framework plan is the result of research and consultation over the past three years in collaboration with the Cities of Greater Dandenong, Kingston and Monash, as well as Monash University, research institutions, major businesses, representative organisations and the local community. These ongoing partnerships are an essential part of delivering the framework plan and will be instrumental in the ongoing success of the Monash National Employment and Innovation Cluster as it continues to prosper.</w:t>
      </w:r>
    </w:p>
    <w:p w:rsidR="00C04134" w:rsidRPr="00C04134" w:rsidRDefault="00C04134" w:rsidP="006315D0">
      <w:pPr>
        <w:pStyle w:val="Heading1nonumbers"/>
        <w:rPr>
          <w:rStyle w:val="guidelinenumbering"/>
          <w:rFonts w:cs="Arial"/>
          <w:b w:val="0"/>
          <w:bCs w:val="0"/>
          <w:color w:val="auto"/>
          <w:spacing w:val="3"/>
          <w:w w:val="105"/>
          <w:sz w:val="32"/>
          <w:szCs w:val="18"/>
        </w:rPr>
      </w:pPr>
      <w:bookmarkStart w:id="5" w:name="_Toc477870450"/>
      <w:r>
        <w:rPr>
          <w:rStyle w:val="guidelinenumbering"/>
          <w:rFonts w:cs="Arial"/>
          <w:b w:val="0"/>
          <w:bCs w:val="0"/>
          <w:color w:val="auto"/>
          <w:spacing w:val="3"/>
          <w:w w:val="105"/>
          <w:sz w:val="32"/>
          <w:szCs w:val="18"/>
        </w:rPr>
        <w:lastRenderedPageBreak/>
        <w:t>Vision</w:t>
      </w:r>
      <w:bookmarkEnd w:id="5"/>
    </w:p>
    <w:p w:rsidR="00C04134" w:rsidRPr="00C04134" w:rsidRDefault="00C04134" w:rsidP="00C04134">
      <w:pPr>
        <w:pStyle w:val="NoParagraphStyle"/>
        <w:suppressAutoHyphens/>
        <w:spacing w:before="170"/>
        <w:rPr>
          <w:rStyle w:val="guidelinenumbering"/>
          <w:rFonts w:ascii="Arial" w:hAnsi="Arial" w:cs="Arial"/>
          <w:b w:val="0"/>
          <w:bCs w:val="0"/>
          <w:color w:val="auto"/>
          <w:spacing w:val="4"/>
          <w:w w:val="105"/>
          <w:sz w:val="18"/>
          <w:szCs w:val="18"/>
        </w:rPr>
      </w:pPr>
      <w:r w:rsidRPr="00C04134">
        <w:rPr>
          <w:rStyle w:val="guidelinenumbering"/>
          <w:rFonts w:ascii="Arial" w:hAnsi="Arial" w:cs="Arial"/>
          <w:b w:val="0"/>
          <w:bCs w:val="0"/>
          <w:color w:val="auto"/>
          <w:spacing w:val="4"/>
          <w:w w:val="105"/>
          <w:sz w:val="18"/>
          <w:szCs w:val="18"/>
        </w:rPr>
        <w:t xml:space="preserve">The Monash National Employment and Innovation Cluster will </w:t>
      </w:r>
      <w:r w:rsidRPr="00C04134">
        <w:rPr>
          <w:rStyle w:val="guidelinenumbering"/>
          <w:rFonts w:ascii="Arial" w:hAnsi="Arial" w:cs="Arial"/>
          <w:b w:val="0"/>
          <w:color w:val="auto"/>
          <w:spacing w:val="4"/>
          <w:w w:val="105"/>
          <w:sz w:val="18"/>
          <w:szCs w:val="18"/>
        </w:rPr>
        <w:t>transform and modernise over the next three decades</w:t>
      </w:r>
      <w:r w:rsidRPr="00C04134">
        <w:rPr>
          <w:rStyle w:val="guidelinenumbering"/>
          <w:rFonts w:ascii="Arial" w:hAnsi="Arial" w:cs="Arial"/>
          <w:b w:val="0"/>
          <w:bCs w:val="0"/>
          <w:color w:val="auto"/>
          <w:spacing w:val="4"/>
          <w:w w:val="105"/>
          <w:sz w:val="18"/>
          <w:szCs w:val="18"/>
        </w:rPr>
        <w:t xml:space="preserve"> as a connected and exciting place for employment, education, innovation, leading-edge technology and research. It will be positioned as a </w:t>
      </w:r>
      <w:r w:rsidRPr="00C04134">
        <w:rPr>
          <w:rStyle w:val="guidelinenumbering"/>
          <w:rFonts w:ascii="Arial" w:hAnsi="Arial" w:cs="Arial"/>
          <w:b w:val="0"/>
          <w:color w:val="auto"/>
          <w:spacing w:val="4"/>
          <w:w w:val="105"/>
          <w:sz w:val="18"/>
          <w:szCs w:val="18"/>
        </w:rPr>
        <w:t>globally competitive value-creating economy</w:t>
      </w:r>
      <w:r w:rsidRPr="00C04134">
        <w:rPr>
          <w:rStyle w:val="guidelinenumbering"/>
          <w:rFonts w:ascii="Arial" w:hAnsi="Arial" w:cs="Arial"/>
          <w:b w:val="0"/>
          <w:bCs w:val="0"/>
          <w:color w:val="auto"/>
          <w:spacing w:val="4"/>
          <w:w w:val="105"/>
          <w:sz w:val="18"/>
          <w:szCs w:val="18"/>
        </w:rPr>
        <w:t>.</w:t>
      </w:r>
    </w:p>
    <w:p w:rsidR="00C04134" w:rsidRPr="00C04134" w:rsidRDefault="00C04134" w:rsidP="00C04134">
      <w:pPr>
        <w:pStyle w:val="NoParagraphStyle"/>
        <w:suppressAutoHyphens/>
        <w:spacing w:before="170"/>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 xml:space="preserve">The number of jobs will double over the next 35 years with a significant increase in the education, research, health, science and technology sectors. Through place-making, transformative transport projects and urban renewal investment the cluster will be further established as a highly desirable destination with the highest job density outside of a capital city CBD in Australia.  </w:t>
      </w:r>
    </w:p>
    <w:p w:rsidR="00C04134" w:rsidRPr="00C04134" w:rsidRDefault="00C04134" w:rsidP="00C04134">
      <w:pPr>
        <w:pStyle w:val="NoParagraphStyle"/>
        <w:suppressAutoHyphens/>
        <w:spacing w:before="170"/>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Investment in world leading assets such as Monash University, the Monash Medical Centre, CSIRO and the Australian Synchrotron will attract new research institutions and an array of internationally recognised innovative businesses. Delivery of the Westall Road link to Monash Freeway, grade separation of the Cranbourne-Pakenham rail corridor and creation of the new linear parkland will also catalyse change.</w:t>
      </w:r>
    </w:p>
    <w:p w:rsidR="00AA416A" w:rsidRDefault="00C04134" w:rsidP="00AA416A">
      <w:pPr>
        <w:pStyle w:val="NoParagraphStyle"/>
        <w:suppressAutoHyphens/>
        <w:spacing w:before="170"/>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Employment areas will thrive with the development of new business town centres and the renewal of existing activity centres. This will increase local living and create a focal point for life within the cluster.  Attractive and connected walking and cycling routes combined with a ‘turn up and go’ public transport network will revolutionise access and provide connections to health, educat</w:t>
      </w:r>
      <w:r w:rsidR="00AA416A">
        <w:rPr>
          <w:rStyle w:val="guidelinenumbering"/>
          <w:rFonts w:ascii="Arial" w:hAnsi="Arial" w:cs="Arial"/>
          <w:b w:val="0"/>
          <w:bCs w:val="0"/>
          <w:color w:val="auto"/>
          <w:spacing w:val="3"/>
          <w:w w:val="105"/>
          <w:sz w:val="18"/>
          <w:szCs w:val="18"/>
        </w:rPr>
        <w:t xml:space="preserve">ion and business destinations. </w:t>
      </w:r>
    </w:p>
    <w:p w:rsidR="00C04134" w:rsidRPr="00AA416A" w:rsidRDefault="00C04134" w:rsidP="00AA416A">
      <w:pPr>
        <w:pStyle w:val="NoParagraphStyle"/>
        <w:suppressAutoHyphens/>
        <w:spacing w:before="170"/>
        <w:rPr>
          <w:rFonts w:ascii="Arial" w:hAnsi="Arial" w:cs="Arial"/>
          <w:color w:val="auto"/>
          <w:spacing w:val="3"/>
          <w:w w:val="105"/>
          <w:sz w:val="18"/>
          <w:szCs w:val="18"/>
        </w:rPr>
      </w:pPr>
      <w:r w:rsidRPr="00C04134">
        <w:rPr>
          <w:rStyle w:val="guidelinenumbering"/>
          <w:rFonts w:ascii="Arial" w:hAnsi="Arial" w:cs="Arial"/>
          <w:b w:val="0"/>
          <w:bCs w:val="0"/>
          <w:color w:val="auto"/>
          <w:spacing w:val="3"/>
          <w:w w:val="105"/>
          <w:sz w:val="18"/>
          <w:szCs w:val="18"/>
        </w:rPr>
        <w:t>Addressing investment barriers and selecting sites for strategic mixed use renewal will encourage private investment and catalyse changes in the amenity, image and function of these areas. These changes will support a viable 24 hour hub of activity serving the needs of the cluster’s major businesses, as well as the worker and resident populations.</w:t>
      </w:r>
    </w:p>
    <w:p w:rsidR="00AC6C61" w:rsidRDefault="00AC6C61" w:rsidP="00C04134">
      <w:r>
        <w:br w:type="page"/>
      </w:r>
    </w:p>
    <w:p w:rsidR="00C04134" w:rsidRDefault="00AE582F" w:rsidP="00AC6C61">
      <w:pPr>
        <w:pStyle w:val="NoParagraphStyle"/>
      </w:pPr>
      <w:r>
        <w:rPr>
          <w:noProof/>
          <w:lang w:val="en-AU"/>
        </w:rPr>
        <w:lastRenderedPageBreak/>
        <w:drawing>
          <wp:anchor distT="0" distB="0" distL="114300" distR="114300" simplePos="0" relativeHeight="251703296" behindDoc="0" locked="0" layoutInCell="1" allowOverlap="1" wp14:anchorId="213D82EA" wp14:editId="4FD4188F">
            <wp:simplePos x="0" y="0"/>
            <wp:positionH relativeFrom="margin">
              <wp:posOffset>-464527</wp:posOffset>
            </wp:positionH>
            <wp:positionV relativeFrom="paragraph">
              <wp:posOffset>3337825</wp:posOffset>
            </wp:positionV>
            <wp:extent cx="1804670" cy="5735955"/>
            <wp:effectExtent l="0" t="0" r="5080" b="0"/>
            <wp:wrapSquare wrapText="bothSides"/>
            <wp:docPr id="1" name="Picture 1" descr="Legend shows:&#10;core health, education and research precinct.&#10;high density employment areas.&#10;supporting employment areas.&#10;strategic sites.&#10;cluster core and residential areas.&#10;public open space.&#10;transport network.&#10;westall road.&#10;westall road extension.&#10;Mile creek corridor.&#10;Investigation area for high capacity public transport.&#10;Rail corridor.&#10;linear parkland along the rail corridor. &#10;Shared path network.&#10;priority pedestrian and cyclist crossings.&#10;key destinations.&#10;existing activity centres.&#10;future activity centres.&#10;future business town centres.&#10;existing road network.&#10;urban growth boundary. &#10;" title="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3758" r="4994" b="698"/>
                    <a:stretch/>
                  </pic:blipFill>
                  <pic:spPr bwMode="auto">
                    <a:xfrm>
                      <a:off x="0" y="0"/>
                      <a:ext cx="1804670" cy="5735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4148">
        <w:rPr>
          <w:noProof/>
          <w:lang w:val="en-AU"/>
        </w:rPr>
        <mc:AlternateContent>
          <mc:Choice Requires="wps">
            <w:drawing>
              <wp:anchor distT="0" distB="0" distL="114300" distR="114300" simplePos="0" relativeHeight="251664384" behindDoc="0" locked="0" layoutInCell="1" allowOverlap="1" wp14:anchorId="16BEFFB7" wp14:editId="3864DA2F">
                <wp:simplePos x="0" y="0"/>
                <wp:positionH relativeFrom="column">
                  <wp:posOffset>405130</wp:posOffset>
                </wp:positionH>
                <wp:positionV relativeFrom="paragraph">
                  <wp:posOffset>0</wp:posOffset>
                </wp:positionV>
                <wp:extent cx="5525770" cy="457200"/>
                <wp:effectExtent l="0" t="0" r="0" b="0"/>
                <wp:wrapSquare wrapText="bothSides"/>
                <wp:docPr id="2" name="Text Box 2" descr="This map shows the interventions proposed by the Draft Framework Plan in the Monash Cluster" title="Monash National Employment and Innovation Cluster Framework Plan"/>
                <wp:cNvGraphicFramePr/>
                <a:graphic xmlns:a="http://schemas.openxmlformats.org/drawingml/2006/main">
                  <a:graphicData uri="http://schemas.microsoft.com/office/word/2010/wordprocessingShape">
                    <wps:wsp>
                      <wps:cNvSpPr txBox="1"/>
                      <wps:spPr>
                        <a:xfrm>
                          <a:off x="0" y="0"/>
                          <a:ext cx="5525770" cy="457200"/>
                        </a:xfrm>
                        <a:prstGeom prst="rect">
                          <a:avLst/>
                        </a:prstGeom>
                        <a:solidFill>
                          <a:prstClr val="white"/>
                        </a:solidFill>
                        <a:ln>
                          <a:noFill/>
                        </a:ln>
                        <a:effectLst/>
                      </wps:spPr>
                      <wps:txbx>
                        <w:txbxContent>
                          <w:p w:rsidR="0058515B" w:rsidRPr="000F4148" w:rsidRDefault="0058515B" w:rsidP="000F4148">
                            <w:pPr>
                              <w:pStyle w:val="Caption"/>
                              <w:rPr>
                                <w:rFonts w:ascii="Minion Pro" w:hAnsi="Minion Pro" w:cs="Minion Pro"/>
                                <w:noProof/>
                                <w:color w:val="auto"/>
                                <w:sz w:val="24"/>
                                <w:szCs w:val="24"/>
                                <w:lang w:val="en-GB"/>
                              </w:rPr>
                            </w:pPr>
                            <w:bookmarkStart w:id="6" w:name="_Toc477870540"/>
                            <w:r w:rsidRPr="000F4148">
                              <w:rPr>
                                <w:rFonts w:ascii="Arial" w:hAnsi="Arial" w:cs="Arial"/>
                                <w:b/>
                                <w:color w:val="auto"/>
                              </w:rPr>
                              <w:t xml:space="preserve">Figure </w:t>
                            </w:r>
                            <w:r w:rsidRPr="000F4148">
                              <w:rPr>
                                <w:rFonts w:ascii="Arial" w:hAnsi="Arial" w:cs="Arial"/>
                                <w:b/>
                                <w:color w:val="auto"/>
                              </w:rPr>
                              <w:fldChar w:fldCharType="begin"/>
                            </w:r>
                            <w:r w:rsidRPr="000F4148">
                              <w:rPr>
                                <w:rFonts w:ascii="Arial" w:hAnsi="Arial" w:cs="Arial"/>
                                <w:b/>
                                <w:color w:val="auto"/>
                              </w:rPr>
                              <w:instrText xml:space="preserve"> SEQ Figure \* ARABIC </w:instrText>
                            </w:r>
                            <w:r w:rsidRPr="000F4148">
                              <w:rPr>
                                <w:rFonts w:ascii="Arial" w:hAnsi="Arial" w:cs="Arial"/>
                                <w:b/>
                                <w:color w:val="auto"/>
                              </w:rPr>
                              <w:fldChar w:fldCharType="separate"/>
                            </w:r>
                            <w:r>
                              <w:rPr>
                                <w:rFonts w:ascii="Arial" w:hAnsi="Arial" w:cs="Arial"/>
                                <w:b/>
                                <w:noProof/>
                                <w:color w:val="auto"/>
                              </w:rPr>
                              <w:t>2</w:t>
                            </w:r>
                            <w:r w:rsidRPr="000F4148">
                              <w:rPr>
                                <w:rFonts w:ascii="Arial" w:hAnsi="Arial" w:cs="Arial"/>
                                <w:b/>
                                <w:color w:val="auto"/>
                              </w:rPr>
                              <w:fldChar w:fldCharType="end"/>
                            </w:r>
                            <w:r w:rsidRPr="000F4148">
                              <w:rPr>
                                <w:color w:val="auto"/>
                              </w:rPr>
                              <w:t xml:space="preserve"> </w:t>
                            </w:r>
                            <w:r w:rsidRPr="000F4148">
                              <w:rPr>
                                <w:rStyle w:val="guidelinenumbering"/>
                                <w:rFonts w:ascii="Arial" w:hAnsi="Arial" w:cs="Arial"/>
                                <w:b w:val="0"/>
                                <w:bCs w:val="0"/>
                                <w:color w:val="auto"/>
                                <w:sz w:val="18"/>
                                <w:szCs w:val="18"/>
                              </w:rPr>
                              <w:t>Monash National Employment and Innovation Cluster Framework Plan</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16BEFFB7" id="_x0000_t202" coordsize="21600,21600" o:spt="202" path="m,l,21600r21600,l21600,xe">
                <v:stroke joinstyle="miter"/>
                <v:path gradientshapeok="t" o:connecttype="rect"/>
              </v:shapetype>
              <v:shape id="Text Box 2" o:spid="_x0000_s1026" type="#_x0000_t202" alt="Title: Monash National Employment and Innovation Cluster Framework Plan - Description: This map shows the interventions proposed by the Draft Framework Plan in the Monash Cluster" style="position:absolute;margin-left:31.9pt;margin-top:0;width:435.1pt;height: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" stroked="f">
                <v:textbox inset="0,0,0,0">
                  <w:txbxContent>
                    <w:p w:rsidR="0058515B" w:rsidRPr="000F4148" w:rsidRDefault="0058515B" w:rsidP="000F4148">
                      <w:pPr>
                        <w:pStyle w:val="Caption"/>
                        <w:rPr>
                          <w:rFonts w:ascii="Minion Pro" w:hAnsi="Minion Pro" w:cs="Minion Pro"/>
                          <w:noProof/>
                          <w:color w:val="auto"/>
                          <w:sz w:val="24"/>
                          <w:szCs w:val="24"/>
                          <w:lang w:val="en-GB"/>
                        </w:rPr>
                      </w:pPr>
                      <w:bookmarkStart w:id="6" w:name="_Toc477870540"/>
                      <w:r w:rsidRPr="000F4148">
                        <w:rPr>
                          <w:rFonts w:ascii="Arial" w:hAnsi="Arial" w:cs="Arial"/>
                          <w:b/>
                          <w:color w:val="auto"/>
                        </w:rPr>
                        <w:t xml:space="preserve">Figure </w:t>
                      </w:r>
                      <w:r w:rsidRPr="000F4148">
                        <w:rPr>
                          <w:rFonts w:ascii="Arial" w:hAnsi="Arial" w:cs="Arial"/>
                          <w:b/>
                          <w:color w:val="auto"/>
                        </w:rPr>
                        <w:fldChar w:fldCharType="begin"/>
                      </w:r>
                      <w:r w:rsidRPr="000F4148">
                        <w:rPr>
                          <w:rFonts w:ascii="Arial" w:hAnsi="Arial" w:cs="Arial"/>
                          <w:b/>
                          <w:color w:val="auto"/>
                        </w:rPr>
                        <w:instrText xml:space="preserve"> SEQ Figure \* ARABIC </w:instrText>
                      </w:r>
                      <w:r w:rsidRPr="000F4148">
                        <w:rPr>
                          <w:rFonts w:ascii="Arial" w:hAnsi="Arial" w:cs="Arial"/>
                          <w:b/>
                          <w:color w:val="auto"/>
                        </w:rPr>
                        <w:fldChar w:fldCharType="separate"/>
                      </w:r>
                      <w:r>
                        <w:rPr>
                          <w:rFonts w:ascii="Arial" w:hAnsi="Arial" w:cs="Arial"/>
                          <w:b/>
                          <w:noProof/>
                          <w:color w:val="auto"/>
                        </w:rPr>
                        <w:t>2</w:t>
                      </w:r>
                      <w:r w:rsidRPr="000F4148">
                        <w:rPr>
                          <w:rFonts w:ascii="Arial" w:hAnsi="Arial" w:cs="Arial"/>
                          <w:b/>
                          <w:color w:val="auto"/>
                        </w:rPr>
                        <w:fldChar w:fldCharType="end"/>
                      </w:r>
                      <w:r w:rsidRPr="000F4148">
                        <w:rPr>
                          <w:color w:val="auto"/>
                        </w:rPr>
                        <w:t xml:space="preserve"> </w:t>
                      </w:r>
                      <w:r w:rsidRPr="000F4148">
                        <w:rPr>
                          <w:rStyle w:val="guidelinenumbering"/>
                          <w:rFonts w:ascii="Arial" w:hAnsi="Arial" w:cs="Arial"/>
                          <w:b w:val="0"/>
                          <w:bCs w:val="0"/>
                          <w:color w:val="auto"/>
                          <w:sz w:val="18"/>
                          <w:szCs w:val="18"/>
                        </w:rPr>
                        <w:t>Monash National Employment and Innovation Cluster Framework Plan</w:t>
                      </w:r>
                      <w:bookmarkEnd w:id="6"/>
                    </w:p>
                  </w:txbxContent>
                </v:textbox>
                <w10:wrap type="square"/>
              </v:shape>
            </w:pict>
          </mc:Fallback>
        </mc:AlternateContent>
      </w:r>
      <w:r>
        <w:rPr>
          <w:noProof/>
          <w:lang w:val="en-AU"/>
        </w:rPr>
        <w:drawing>
          <wp:anchor distT="0" distB="0" distL="114300" distR="114300" simplePos="0" relativeHeight="251702272" behindDoc="0" locked="0" layoutInCell="1" allowOverlap="1" wp14:anchorId="10131A97" wp14:editId="47EFBA58">
            <wp:simplePos x="0" y="0"/>
            <wp:positionH relativeFrom="margin">
              <wp:posOffset>404495</wp:posOffset>
            </wp:positionH>
            <wp:positionV relativeFrom="paragraph">
              <wp:posOffset>236220</wp:posOffset>
            </wp:positionV>
            <wp:extent cx="5576570" cy="5787390"/>
            <wp:effectExtent l="0" t="0" r="5080" b="3810"/>
            <wp:wrapSquare wrapText="bothSides"/>
            <wp:docPr id="15" name="Picture 15" title="Monash National Employment and Innovation Framework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3636"/>
                    <a:stretch/>
                  </pic:blipFill>
                  <pic:spPr bwMode="auto">
                    <a:xfrm>
                      <a:off x="0" y="0"/>
                      <a:ext cx="5576570" cy="57873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04134" w:rsidRPr="00C04134" w:rsidRDefault="00C04134" w:rsidP="006315D0">
      <w:pPr>
        <w:pStyle w:val="Heading1nonumbers"/>
        <w:rPr>
          <w:rStyle w:val="guidelinenumbering"/>
          <w:rFonts w:cs="Arial"/>
          <w:b w:val="0"/>
          <w:bCs w:val="0"/>
          <w:color w:val="auto"/>
          <w:spacing w:val="3"/>
          <w:w w:val="105"/>
          <w:sz w:val="32"/>
          <w:szCs w:val="18"/>
        </w:rPr>
      </w:pPr>
      <w:bookmarkStart w:id="7" w:name="_Toc477870451"/>
      <w:r>
        <w:rPr>
          <w:rStyle w:val="guidelinenumbering"/>
          <w:rFonts w:cs="Arial"/>
          <w:b w:val="0"/>
          <w:bCs w:val="0"/>
          <w:color w:val="auto"/>
          <w:spacing w:val="3"/>
          <w:w w:val="105"/>
          <w:sz w:val="32"/>
          <w:szCs w:val="18"/>
        </w:rPr>
        <w:lastRenderedPageBreak/>
        <w:t>Principles</w:t>
      </w:r>
      <w:bookmarkEnd w:id="7"/>
    </w:p>
    <w:p w:rsidR="00C04134" w:rsidRDefault="00C04134" w:rsidP="00C04134">
      <w:pPr>
        <w:pStyle w:val="NoParagraphStyle"/>
        <w:suppressAutoHyphens/>
        <w:spacing w:before="170"/>
        <w:rPr>
          <w:rStyle w:val="guidelinenumbering"/>
          <w:rFonts w:ascii="Arial" w:hAnsi="Arial" w:cs="Arial"/>
          <w:b w:val="0"/>
          <w:bCs w:val="0"/>
          <w:color w:val="auto"/>
          <w:spacing w:val="3"/>
          <w:w w:val="105"/>
          <w:sz w:val="18"/>
          <w:szCs w:val="18"/>
        </w:rPr>
      </w:pPr>
      <w:r w:rsidRPr="00C04134">
        <w:rPr>
          <w:rStyle w:val="guidelinenumbering"/>
          <w:rFonts w:ascii="Arial" w:hAnsi="Arial" w:cs="Arial"/>
          <w:b w:val="0"/>
          <w:bCs w:val="0"/>
          <w:color w:val="auto"/>
          <w:spacing w:val="3"/>
          <w:w w:val="105"/>
          <w:sz w:val="18"/>
          <w:szCs w:val="18"/>
        </w:rPr>
        <w:t>The following principles provide a common understanding on the foundation for all future activities required to implement the vision. The principles will be used by government organisations, investors, stakeholders and communities. They are also a reference tool supporting decision-making and managing change within the cluster.</w:t>
      </w:r>
    </w:p>
    <w:p w:rsidR="00C97A6B" w:rsidRPr="00C04134" w:rsidRDefault="00C97A6B" w:rsidP="00C04134">
      <w:pPr>
        <w:pStyle w:val="NoParagraphStyle"/>
        <w:suppressAutoHyphens/>
        <w:spacing w:before="170"/>
        <w:rPr>
          <w:rStyle w:val="guidelinenumbering"/>
          <w:rFonts w:ascii="Arial" w:hAnsi="Arial" w:cs="Arial"/>
          <w:b w:val="0"/>
          <w:bCs w:val="0"/>
          <w:color w:val="auto"/>
          <w:spacing w:val="3"/>
          <w:w w:val="105"/>
          <w:sz w:val="18"/>
          <w:szCs w:val="18"/>
        </w:rPr>
      </w:pPr>
    </w:p>
    <w:tbl>
      <w:tblPr>
        <w:tblStyle w:val="MPA"/>
        <w:tblpPr w:leftFromText="180" w:rightFromText="180" w:vertAnchor="text" w:tblpY="105"/>
        <w:tblW w:w="0" w:type="auto"/>
        <w:tblLook w:val="04A0" w:firstRow="1" w:lastRow="0" w:firstColumn="1" w:lastColumn="0" w:noHBand="0" w:noVBand="1"/>
        <w:tblCaption w:val="Framework Plan Principles "/>
        <w:tblDescription w:val="1. A diverse economy with local community participation.&#10;2. Intensified and rejuvenated employment precincts.&#10;3. Attractive, vibrant and high-quality urban environments attracting investment.&#10;4. Easily recognisable destinations and activity centres where local elements are &#10;strongly connected to the broader Cluster’s sense of place.&#10;5. Integrated transport networks that support economic growth.&#10;6. Affordable and diverse housing that are close to jobs.&#10;7. Sustainable social infrastructure and open space that meets the needs of people living, working and visiting the Cluster.&#10;8. Sustainable development with increased climate change resilience, integrated water management and resource efficiencies.&#10;"/>
      </w:tblPr>
      <w:tblGrid>
        <w:gridCol w:w="978"/>
        <w:gridCol w:w="7784"/>
      </w:tblGrid>
      <w:tr w:rsidR="00C97A6B" w:rsidRPr="00252250" w:rsidTr="00AC6C61">
        <w:trPr>
          <w:cnfStyle w:val="100000000000" w:firstRow="1" w:lastRow="0" w:firstColumn="0" w:lastColumn="0" w:oddVBand="0" w:evenVBand="0" w:oddHBand="0" w:evenHBand="0" w:firstRowFirstColumn="0" w:firstRowLastColumn="0" w:lastRowFirstColumn="0" w:lastRowLastColumn="0"/>
        </w:trPr>
        <w:tc>
          <w:tcPr>
            <w:tcW w:w="8762" w:type="dxa"/>
            <w:gridSpan w:val="2"/>
            <w:shd w:val="clear" w:color="auto" w:fill="005EA1" w:themeFill="accent1"/>
            <w:vAlign w:val="center"/>
          </w:tcPr>
          <w:p w:rsidR="00C97A6B" w:rsidRPr="00B6402D" w:rsidRDefault="00C97A6B" w:rsidP="00AC6C61">
            <w:pPr>
              <w:pStyle w:val="Tableheadings"/>
            </w:pPr>
            <w:r>
              <w:t>Principles</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P1</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A diverse economy with local community participation.</w:t>
            </w:r>
          </w:p>
        </w:tc>
      </w:tr>
      <w:tr w:rsidR="00C97A6B" w:rsidRPr="00252250" w:rsidTr="00C97A6B">
        <w:tc>
          <w:tcPr>
            <w:tcW w:w="978" w:type="dxa"/>
          </w:tcPr>
          <w:p w:rsidR="00C97A6B" w:rsidRPr="00B25480" w:rsidRDefault="00C97A6B" w:rsidP="00C97A6B">
            <w:pPr>
              <w:pStyle w:val="Tablenoobj"/>
              <w:numPr>
                <w:ilvl w:val="0"/>
                <w:numId w:val="0"/>
              </w:numPr>
              <w:spacing w:line="240" w:lineRule="auto"/>
              <w:ind w:left="360" w:hanging="326"/>
              <w:rPr>
                <w:color w:val="auto"/>
              </w:rPr>
            </w:pPr>
            <w:r w:rsidRPr="00B25480">
              <w:rPr>
                <w:color w:val="auto"/>
              </w:rPr>
              <w:t>P2</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Intensified and rejuvenated employment precincts.</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P3</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Attractive, vibrant and high-quality urban environments attracting investment.</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P4</w:t>
            </w:r>
          </w:p>
        </w:tc>
        <w:tc>
          <w:tcPr>
            <w:tcW w:w="7784" w:type="dxa"/>
          </w:tcPr>
          <w:p w:rsidR="00C97A6B" w:rsidRPr="00C97A6B" w:rsidRDefault="00C97A6B" w:rsidP="00AA416A">
            <w:pPr>
              <w:pStyle w:val="Caption"/>
              <w:rPr>
                <w:rFonts w:ascii="Arial" w:hAnsi="Arial" w:cs="Arial"/>
                <w:w w:val="105"/>
              </w:rPr>
            </w:pPr>
            <w:r w:rsidRPr="00C97A6B">
              <w:rPr>
                <w:rStyle w:val="guidelinenumbering"/>
                <w:rFonts w:ascii="Arial" w:hAnsi="Arial" w:cs="Arial"/>
                <w:b w:val="0"/>
                <w:color w:val="auto"/>
                <w:spacing w:val="3"/>
                <w:w w:val="105"/>
                <w:sz w:val="18"/>
              </w:rPr>
              <w:t xml:space="preserve">Easily recognisable destinations and activity centres where local elements are </w:t>
            </w:r>
            <w:r w:rsidRPr="00C97A6B">
              <w:rPr>
                <w:rStyle w:val="guidelinenumbering"/>
                <w:rFonts w:ascii="Arial" w:hAnsi="Arial" w:cs="Arial"/>
                <w:b w:val="0"/>
                <w:color w:val="auto"/>
                <w:spacing w:val="3"/>
                <w:w w:val="105"/>
                <w:sz w:val="18"/>
              </w:rPr>
              <w:br/>
              <w:t xml:space="preserve">strongly connected to the broader </w:t>
            </w:r>
            <w:r w:rsidR="00AA416A">
              <w:rPr>
                <w:rStyle w:val="guidelinenumbering"/>
                <w:rFonts w:ascii="Arial" w:hAnsi="Arial" w:cs="Arial"/>
                <w:b w:val="0"/>
                <w:color w:val="auto"/>
                <w:spacing w:val="3"/>
                <w:w w:val="105"/>
                <w:sz w:val="18"/>
              </w:rPr>
              <w:t>c</w:t>
            </w:r>
            <w:r w:rsidRPr="00C97A6B">
              <w:rPr>
                <w:rStyle w:val="guidelinenumbering"/>
                <w:rFonts w:ascii="Arial" w:hAnsi="Arial" w:cs="Arial"/>
                <w:b w:val="0"/>
                <w:color w:val="auto"/>
                <w:spacing w:val="3"/>
                <w:w w:val="105"/>
                <w:sz w:val="18"/>
              </w:rPr>
              <w:t>luster’s sense of place.</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P5</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Integrated transport networks that support economic growth.</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P6</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Affordable and diverse housing that are close to jobs.</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P7</w:t>
            </w:r>
          </w:p>
        </w:tc>
        <w:tc>
          <w:tcPr>
            <w:tcW w:w="7784" w:type="dxa"/>
          </w:tcPr>
          <w:p w:rsidR="00C97A6B" w:rsidRPr="00C97A6B" w:rsidRDefault="00C97A6B" w:rsidP="00AA416A">
            <w:pPr>
              <w:pStyle w:val="Caption"/>
              <w:rPr>
                <w:rFonts w:ascii="Arial" w:hAnsi="Arial" w:cs="Arial"/>
                <w:w w:val="105"/>
              </w:rPr>
            </w:pPr>
            <w:r w:rsidRPr="00C97A6B">
              <w:rPr>
                <w:rStyle w:val="guidelinenumbering"/>
                <w:rFonts w:ascii="Arial" w:hAnsi="Arial" w:cs="Arial"/>
                <w:b w:val="0"/>
                <w:color w:val="auto"/>
                <w:spacing w:val="3"/>
                <w:w w:val="105"/>
                <w:sz w:val="18"/>
              </w:rPr>
              <w:t xml:space="preserve">Sustainable social infrastructure and open space that meets the needs of people living, working and visiting the </w:t>
            </w:r>
            <w:r w:rsidR="00AA416A">
              <w:rPr>
                <w:rStyle w:val="guidelinenumbering"/>
                <w:rFonts w:ascii="Arial" w:hAnsi="Arial" w:cs="Arial"/>
                <w:b w:val="0"/>
                <w:color w:val="auto"/>
                <w:spacing w:val="3"/>
                <w:w w:val="105"/>
                <w:sz w:val="18"/>
              </w:rPr>
              <w:t>c</w:t>
            </w:r>
            <w:r w:rsidRPr="00C97A6B">
              <w:rPr>
                <w:rStyle w:val="guidelinenumbering"/>
                <w:rFonts w:ascii="Arial" w:hAnsi="Arial" w:cs="Arial"/>
                <w:b w:val="0"/>
                <w:color w:val="auto"/>
                <w:spacing w:val="3"/>
                <w:w w:val="105"/>
                <w:sz w:val="18"/>
              </w:rPr>
              <w:t>luster.</w:t>
            </w:r>
          </w:p>
        </w:tc>
      </w:tr>
      <w:tr w:rsidR="00C97A6B" w:rsidRPr="00252250" w:rsidTr="00C97A6B">
        <w:tc>
          <w:tcPr>
            <w:tcW w:w="978" w:type="dxa"/>
          </w:tcPr>
          <w:p w:rsidR="00C97A6B" w:rsidRPr="00B25480" w:rsidRDefault="00C97A6B" w:rsidP="00C97A6B">
            <w:pPr>
              <w:pStyle w:val="Tablenoobj"/>
              <w:numPr>
                <w:ilvl w:val="0"/>
                <w:numId w:val="0"/>
              </w:numPr>
              <w:spacing w:line="240" w:lineRule="auto"/>
              <w:rPr>
                <w:color w:val="auto"/>
              </w:rPr>
            </w:pPr>
            <w:r w:rsidRPr="00B25480">
              <w:rPr>
                <w:color w:val="auto"/>
              </w:rPr>
              <w:t>P8</w:t>
            </w:r>
          </w:p>
        </w:tc>
        <w:tc>
          <w:tcPr>
            <w:tcW w:w="7784" w:type="dxa"/>
          </w:tcPr>
          <w:p w:rsidR="00C97A6B" w:rsidRPr="00C97A6B" w:rsidRDefault="00C97A6B" w:rsidP="00C97A6B">
            <w:pPr>
              <w:pStyle w:val="Caption"/>
              <w:rPr>
                <w:rFonts w:ascii="Arial" w:hAnsi="Arial" w:cs="Arial"/>
                <w:w w:val="105"/>
              </w:rPr>
            </w:pPr>
            <w:r w:rsidRPr="00C97A6B">
              <w:rPr>
                <w:rStyle w:val="guidelinenumbering"/>
                <w:rFonts w:ascii="Arial" w:hAnsi="Arial" w:cs="Arial"/>
                <w:b w:val="0"/>
                <w:color w:val="auto"/>
                <w:spacing w:val="3"/>
                <w:w w:val="105"/>
                <w:sz w:val="18"/>
              </w:rPr>
              <w:t>Sustainable development with increased climate change resilience, integrated water management and resource efficiencies.</w:t>
            </w:r>
          </w:p>
        </w:tc>
      </w:tr>
    </w:tbl>
    <w:p w:rsidR="00AC6C61" w:rsidRDefault="00AC6C61" w:rsidP="00C04134">
      <w:pPr>
        <w:rPr>
          <w:b/>
        </w:rPr>
      </w:pPr>
      <w:r>
        <w:rPr>
          <w:b/>
        </w:rPr>
        <w:br w:type="page"/>
      </w:r>
    </w:p>
    <w:p w:rsidR="00C97A6B" w:rsidRPr="00C04134" w:rsidRDefault="00C97A6B" w:rsidP="006315D0">
      <w:pPr>
        <w:pStyle w:val="Heading1nonumbers"/>
        <w:rPr>
          <w:rStyle w:val="guidelinenumbering"/>
          <w:rFonts w:cs="Arial"/>
          <w:b w:val="0"/>
          <w:bCs w:val="0"/>
          <w:color w:val="auto"/>
          <w:spacing w:val="3"/>
          <w:w w:val="105"/>
          <w:sz w:val="32"/>
          <w:szCs w:val="18"/>
        </w:rPr>
      </w:pPr>
      <w:bookmarkStart w:id="8" w:name="_Toc477870452"/>
      <w:r>
        <w:rPr>
          <w:rStyle w:val="guidelinenumbering"/>
          <w:rFonts w:cs="Arial"/>
          <w:b w:val="0"/>
          <w:bCs w:val="0"/>
          <w:color w:val="auto"/>
          <w:spacing w:val="3"/>
          <w:w w:val="105"/>
          <w:sz w:val="32"/>
          <w:szCs w:val="18"/>
        </w:rPr>
        <w:lastRenderedPageBreak/>
        <w:t>Strategic Outcomes</w:t>
      </w:r>
      <w:bookmarkEnd w:id="8"/>
    </w:p>
    <w:p w:rsidR="00214090" w:rsidRPr="00214090" w:rsidRDefault="00214090" w:rsidP="00214090">
      <w:pPr>
        <w:autoSpaceDE w:val="0"/>
        <w:autoSpaceDN w:val="0"/>
        <w:adjustRightInd w:val="0"/>
        <w:spacing w:before="170" w:line="288" w:lineRule="auto"/>
        <w:jc w:val="left"/>
        <w:textAlignment w:val="center"/>
        <w:rPr>
          <w:rFonts w:cs="Arial"/>
          <w:color w:val="000000"/>
          <w:spacing w:val="3"/>
          <w:w w:val="105"/>
          <w:lang w:val="en-GB"/>
        </w:rPr>
      </w:pPr>
      <w:r w:rsidRPr="00214090">
        <w:rPr>
          <w:rFonts w:cs="Arial"/>
          <w:color w:val="000000"/>
          <w:spacing w:val="3"/>
          <w:w w:val="105"/>
          <w:lang w:val="en-GB"/>
        </w:rPr>
        <w:t xml:space="preserve">The framework plan outlines five focused strategic outcomes which build upon the aforementioned principles. These strategic outcomes provide detailed actions to realise the vision for the Monash Cluster. </w:t>
      </w:r>
    </w:p>
    <w:p w:rsidR="00C97A6B" w:rsidRDefault="00214090" w:rsidP="00214090">
      <w:pPr>
        <w:rPr>
          <w:rFonts w:cs="Arial"/>
          <w:color w:val="000000"/>
          <w:spacing w:val="3"/>
          <w:w w:val="105"/>
          <w:lang w:val="en-GB"/>
        </w:rPr>
      </w:pPr>
      <w:r w:rsidRPr="00214090">
        <w:rPr>
          <w:rFonts w:cs="Arial"/>
          <w:color w:val="000000"/>
          <w:spacing w:val="3"/>
          <w:w w:val="105"/>
          <w:lang w:val="en-GB"/>
        </w:rPr>
        <w:t>The strategic outcomes below summarise the key activities that will be the focus of planning and investment in the coming decade. These are further detailed overleaf.</w:t>
      </w:r>
    </w:p>
    <w:p w:rsidR="00DA0297" w:rsidRPr="00C04134" w:rsidRDefault="00DA0297" w:rsidP="00214090">
      <w:pPr>
        <w:rPr>
          <w:b/>
        </w:rPr>
      </w:pPr>
    </w:p>
    <w:tbl>
      <w:tblPr>
        <w:tblStyle w:val="MPA"/>
        <w:tblpPr w:leftFromText="180" w:rightFromText="180" w:vertAnchor="text" w:tblpY="105"/>
        <w:tblW w:w="0" w:type="auto"/>
        <w:tblLook w:val="04A0" w:firstRow="1" w:lastRow="0" w:firstColumn="1" w:lastColumn="0" w:noHBand="0" w:noVBand="1"/>
        <w:tblCaption w:val="Framework Plan Startegic Outcomes "/>
        <w:tblDescription w:val="1. Grow employment and innovation in the health, education and research precinct.&#10;2. Boost jobs growth and develop attractive employment areas with business town centres.&#10;3. Transform the transport network to support economic growth of the cluster.&#10;4. Develop public open space and community infrastructure.&#10;5. Plan and deliver urban renewal projects and strategic sites.&#10;"/>
      </w:tblPr>
      <w:tblGrid>
        <w:gridCol w:w="978"/>
        <w:gridCol w:w="7784"/>
      </w:tblGrid>
      <w:tr w:rsidR="00C97A6B" w:rsidRPr="00252250" w:rsidTr="00AC6C61">
        <w:trPr>
          <w:cnfStyle w:val="100000000000" w:firstRow="1" w:lastRow="0" w:firstColumn="0" w:lastColumn="0" w:oddVBand="0" w:evenVBand="0" w:oddHBand="0" w:evenHBand="0" w:firstRowFirstColumn="0" w:firstRowLastColumn="0" w:lastRowFirstColumn="0" w:lastRowLastColumn="0"/>
        </w:trPr>
        <w:tc>
          <w:tcPr>
            <w:tcW w:w="8762" w:type="dxa"/>
            <w:gridSpan w:val="2"/>
            <w:shd w:val="clear" w:color="auto" w:fill="005EA1" w:themeFill="accent1"/>
            <w:vAlign w:val="center"/>
          </w:tcPr>
          <w:p w:rsidR="00C97A6B" w:rsidRPr="00B6402D" w:rsidRDefault="00C97A6B" w:rsidP="00AC6C61">
            <w:pPr>
              <w:pStyle w:val="Tableheadings"/>
            </w:pPr>
            <w:r>
              <w:t>Strategic outcomes</w:t>
            </w:r>
          </w:p>
        </w:tc>
      </w:tr>
      <w:tr w:rsidR="00C97A6B" w:rsidRPr="00252250" w:rsidTr="006315D0">
        <w:tc>
          <w:tcPr>
            <w:tcW w:w="978" w:type="dxa"/>
          </w:tcPr>
          <w:p w:rsidR="00C97A6B" w:rsidRPr="00B25480" w:rsidRDefault="00C97A6B" w:rsidP="006315D0">
            <w:pPr>
              <w:pStyle w:val="Tablenoobj"/>
              <w:numPr>
                <w:ilvl w:val="0"/>
                <w:numId w:val="0"/>
              </w:numPr>
              <w:spacing w:line="240" w:lineRule="auto"/>
              <w:rPr>
                <w:color w:val="auto"/>
              </w:rPr>
            </w:pPr>
            <w:r w:rsidRPr="00B25480">
              <w:rPr>
                <w:color w:val="auto"/>
              </w:rPr>
              <w:t>SO1</w:t>
            </w:r>
          </w:p>
        </w:tc>
        <w:tc>
          <w:tcPr>
            <w:tcW w:w="7784" w:type="dxa"/>
          </w:tcPr>
          <w:p w:rsidR="00C97A6B" w:rsidRPr="00C97A6B" w:rsidRDefault="00C97A6B" w:rsidP="006315D0">
            <w:pPr>
              <w:pStyle w:val="Caption"/>
              <w:rPr>
                <w:rFonts w:ascii="Arial" w:hAnsi="Arial" w:cs="Arial"/>
                <w:bCs/>
                <w:color w:val="auto"/>
                <w:spacing w:val="3"/>
                <w:w w:val="105"/>
                <w:sz w:val="18"/>
                <w:szCs w:val="28"/>
              </w:rPr>
            </w:pPr>
            <w:r w:rsidRPr="00C97A6B">
              <w:rPr>
                <w:rStyle w:val="guidelinenumbering"/>
                <w:rFonts w:ascii="Arial" w:hAnsi="Arial" w:cs="Arial"/>
                <w:b w:val="0"/>
                <w:color w:val="auto"/>
                <w:spacing w:val="3"/>
                <w:w w:val="105"/>
                <w:sz w:val="18"/>
              </w:rPr>
              <w:t>Grow employment and innovation in the health, e</w:t>
            </w:r>
            <w:r>
              <w:rPr>
                <w:rStyle w:val="guidelinenumbering"/>
                <w:rFonts w:ascii="Arial" w:hAnsi="Arial" w:cs="Arial"/>
                <w:b w:val="0"/>
                <w:color w:val="auto"/>
                <w:spacing w:val="3"/>
                <w:w w:val="105"/>
                <w:sz w:val="18"/>
              </w:rPr>
              <w:t>ducation and research precinct.</w:t>
            </w:r>
          </w:p>
        </w:tc>
      </w:tr>
      <w:tr w:rsidR="00C97A6B" w:rsidRPr="00252250" w:rsidTr="006315D0">
        <w:tc>
          <w:tcPr>
            <w:tcW w:w="978" w:type="dxa"/>
          </w:tcPr>
          <w:p w:rsidR="00C97A6B" w:rsidRPr="00B25480" w:rsidRDefault="00C97A6B" w:rsidP="006315D0">
            <w:pPr>
              <w:pStyle w:val="Tablenoobj"/>
              <w:numPr>
                <w:ilvl w:val="0"/>
                <w:numId w:val="0"/>
              </w:numPr>
              <w:spacing w:line="240" w:lineRule="auto"/>
              <w:ind w:left="360" w:hanging="326"/>
              <w:rPr>
                <w:color w:val="auto"/>
              </w:rPr>
            </w:pPr>
            <w:r w:rsidRPr="00B25480">
              <w:rPr>
                <w:color w:val="auto"/>
              </w:rPr>
              <w:t>SO2</w:t>
            </w:r>
          </w:p>
        </w:tc>
        <w:tc>
          <w:tcPr>
            <w:tcW w:w="7784" w:type="dxa"/>
          </w:tcPr>
          <w:p w:rsidR="00C97A6B" w:rsidRPr="00C97A6B" w:rsidRDefault="00C97A6B" w:rsidP="00C97A6B">
            <w:pPr>
              <w:pStyle w:val="Caption"/>
              <w:rPr>
                <w:rStyle w:val="guidelinenumbering"/>
                <w:rFonts w:ascii="Arial" w:hAnsi="Arial" w:cs="Arial"/>
                <w:b w:val="0"/>
                <w:color w:val="auto"/>
                <w:spacing w:val="3"/>
                <w:w w:val="105"/>
                <w:sz w:val="18"/>
              </w:rPr>
            </w:pPr>
            <w:r w:rsidRPr="00C97A6B">
              <w:rPr>
                <w:rStyle w:val="guidelinenumbering"/>
                <w:rFonts w:ascii="Arial" w:hAnsi="Arial" w:cs="Arial"/>
                <w:b w:val="0"/>
                <w:color w:val="auto"/>
                <w:spacing w:val="3"/>
                <w:w w:val="105"/>
                <w:sz w:val="18"/>
              </w:rPr>
              <w:t>Boost jobs growth and develop attractive employment areas with business town centres.</w:t>
            </w:r>
          </w:p>
        </w:tc>
      </w:tr>
      <w:tr w:rsidR="00C97A6B" w:rsidRPr="00252250" w:rsidTr="006315D0">
        <w:tc>
          <w:tcPr>
            <w:tcW w:w="978" w:type="dxa"/>
          </w:tcPr>
          <w:p w:rsidR="00C97A6B" w:rsidRPr="00B25480" w:rsidRDefault="00C97A6B" w:rsidP="006315D0">
            <w:pPr>
              <w:pStyle w:val="Tablenoobj"/>
              <w:numPr>
                <w:ilvl w:val="0"/>
                <w:numId w:val="0"/>
              </w:numPr>
              <w:spacing w:line="240" w:lineRule="auto"/>
              <w:rPr>
                <w:color w:val="auto"/>
              </w:rPr>
            </w:pPr>
            <w:r w:rsidRPr="00B25480">
              <w:rPr>
                <w:color w:val="auto"/>
              </w:rPr>
              <w:t>SO3</w:t>
            </w:r>
          </w:p>
        </w:tc>
        <w:tc>
          <w:tcPr>
            <w:tcW w:w="7784" w:type="dxa"/>
          </w:tcPr>
          <w:p w:rsidR="00C97A6B" w:rsidRPr="00C97A6B" w:rsidRDefault="00214090" w:rsidP="00214090">
            <w:pPr>
              <w:pStyle w:val="Caption"/>
              <w:rPr>
                <w:rFonts w:ascii="Arial" w:hAnsi="Arial" w:cs="Arial"/>
                <w:bCs/>
                <w:color w:val="auto"/>
                <w:spacing w:val="3"/>
                <w:w w:val="105"/>
                <w:sz w:val="18"/>
                <w:szCs w:val="28"/>
              </w:rPr>
            </w:pPr>
            <w:r>
              <w:rPr>
                <w:rStyle w:val="guidelinenumbering"/>
                <w:rFonts w:ascii="Arial" w:hAnsi="Arial" w:cs="Arial"/>
                <w:b w:val="0"/>
                <w:color w:val="auto"/>
                <w:spacing w:val="3"/>
                <w:w w:val="105"/>
                <w:sz w:val="18"/>
              </w:rPr>
              <w:t>Transform the transport network to support economic growth of the cluster.</w:t>
            </w:r>
          </w:p>
        </w:tc>
      </w:tr>
      <w:tr w:rsidR="00C97A6B" w:rsidRPr="00252250" w:rsidTr="006315D0">
        <w:tc>
          <w:tcPr>
            <w:tcW w:w="978" w:type="dxa"/>
          </w:tcPr>
          <w:p w:rsidR="00C97A6B" w:rsidRPr="00B25480" w:rsidRDefault="00C97A6B" w:rsidP="006315D0">
            <w:pPr>
              <w:pStyle w:val="Tablenoobj"/>
              <w:numPr>
                <w:ilvl w:val="0"/>
                <w:numId w:val="0"/>
              </w:numPr>
              <w:spacing w:line="240" w:lineRule="auto"/>
              <w:rPr>
                <w:color w:val="auto"/>
              </w:rPr>
            </w:pPr>
            <w:r w:rsidRPr="00B25480">
              <w:rPr>
                <w:color w:val="auto"/>
              </w:rPr>
              <w:t>SO4</w:t>
            </w:r>
          </w:p>
        </w:tc>
        <w:tc>
          <w:tcPr>
            <w:tcW w:w="7784" w:type="dxa"/>
          </w:tcPr>
          <w:p w:rsidR="00C97A6B" w:rsidRPr="00C97A6B" w:rsidRDefault="00C97A6B" w:rsidP="00214090">
            <w:pPr>
              <w:pStyle w:val="Caption"/>
              <w:rPr>
                <w:rFonts w:ascii="Arial" w:hAnsi="Arial" w:cs="Arial"/>
                <w:b/>
                <w:bCs/>
                <w:outline/>
                <w:color w:val="005DA0"/>
                <w:spacing w:val="3"/>
                <w:w w:val="105"/>
                <w:sz w:val="18"/>
                <w14:textOutline w14:w="9525" w14:cap="flat" w14:cmpd="sng" w14:algn="ctr">
                  <w14:solidFill>
                    <w14:srgbClr w14:val="005DA0"/>
                  </w14:solidFill>
                  <w14:prstDash w14:val="solid"/>
                  <w14:round/>
                </w14:textOutline>
                <w14:textFill>
                  <w14:noFill/>
                </w14:textFill>
              </w:rPr>
            </w:pPr>
            <w:r w:rsidRPr="00C97A6B">
              <w:rPr>
                <w:rStyle w:val="guidelinenumbering"/>
                <w:rFonts w:ascii="Arial" w:hAnsi="Arial" w:cs="Arial"/>
                <w:b w:val="0"/>
                <w:color w:val="auto"/>
                <w:spacing w:val="3"/>
                <w:w w:val="105"/>
                <w:sz w:val="18"/>
              </w:rPr>
              <w:t>Develop public open space and community infrastructure.</w:t>
            </w:r>
          </w:p>
        </w:tc>
      </w:tr>
      <w:tr w:rsidR="00C97A6B" w:rsidRPr="00252250" w:rsidTr="006315D0">
        <w:tc>
          <w:tcPr>
            <w:tcW w:w="978" w:type="dxa"/>
          </w:tcPr>
          <w:p w:rsidR="00C97A6B" w:rsidRPr="00B25480" w:rsidRDefault="00C97A6B" w:rsidP="006315D0">
            <w:pPr>
              <w:pStyle w:val="Tablenoobj"/>
              <w:numPr>
                <w:ilvl w:val="0"/>
                <w:numId w:val="0"/>
              </w:numPr>
              <w:spacing w:line="240" w:lineRule="auto"/>
              <w:rPr>
                <w:color w:val="auto"/>
              </w:rPr>
            </w:pPr>
            <w:r w:rsidRPr="00B25480">
              <w:rPr>
                <w:color w:val="auto"/>
              </w:rPr>
              <w:t>SO5</w:t>
            </w:r>
          </w:p>
        </w:tc>
        <w:tc>
          <w:tcPr>
            <w:tcW w:w="7784" w:type="dxa"/>
          </w:tcPr>
          <w:p w:rsidR="00C97A6B" w:rsidRPr="00C97A6B" w:rsidRDefault="00C97A6B" w:rsidP="006315D0">
            <w:pPr>
              <w:pStyle w:val="Caption"/>
              <w:rPr>
                <w:rFonts w:ascii="Arial" w:hAnsi="Arial" w:cs="Arial"/>
                <w:b/>
                <w:bCs/>
                <w:outline/>
                <w:color w:val="005DA0"/>
                <w:spacing w:val="3"/>
                <w:w w:val="105"/>
                <w:sz w:val="18"/>
                <w14:textOutline w14:w="9525" w14:cap="flat" w14:cmpd="sng" w14:algn="ctr">
                  <w14:solidFill>
                    <w14:srgbClr w14:val="005DA0"/>
                  </w14:solidFill>
                  <w14:prstDash w14:val="solid"/>
                  <w14:round/>
                </w14:textOutline>
                <w14:textFill>
                  <w14:noFill/>
                </w14:textFill>
              </w:rPr>
            </w:pPr>
            <w:r w:rsidRPr="00C97A6B">
              <w:rPr>
                <w:rStyle w:val="guidelinenumbering"/>
                <w:rFonts w:ascii="Arial" w:hAnsi="Arial" w:cs="Arial"/>
                <w:b w:val="0"/>
                <w:color w:val="auto"/>
                <w:spacing w:val="3"/>
                <w:w w:val="105"/>
                <w:sz w:val="18"/>
              </w:rPr>
              <w:t>Plan and deliver urban renewal projects and strategic sites.</w:t>
            </w:r>
          </w:p>
        </w:tc>
      </w:tr>
    </w:tbl>
    <w:p w:rsidR="00C97A6B" w:rsidRPr="00C04134" w:rsidRDefault="00C97A6B" w:rsidP="006315D0">
      <w:pPr>
        <w:pStyle w:val="Heading1nonumbers"/>
        <w:rPr>
          <w:rStyle w:val="guidelinenumbering"/>
          <w:rFonts w:cs="Arial"/>
          <w:b w:val="0"/>
          <w:bCs w:val="0"/>
          <w:color w:val="auto"/>
          <w:spacing w:val="3"/>
          <w:w w:val="105"/>
          <w:sz w:val="32"/>
          <w:szCs w:val="18"/>
        </w:rPr>
      </w:pPr>
      <w:bookmarkStart w:id="9" w:name="_Toc477870453"/>
      <w:r>
        <w:rPr>
          <w:rStyle w:val="guidelinenumbering"/>
          <w:rFonts w:cs="Arial"/>
          <w:b w:val="0"/>
          <w:bCs w:val="0"/>
          <w:color w:val="auto"/>
          <w:spacing w:val="3"/>
          <w:w w:val="105"/>
          <w:sz w:val="32"/>
          <w:szCs w:val="18"/>
        </w:rPr>
        <w:lastRenderedPageBreak/>
        <w:t>Strategic Outcome 1: Grow employment and innovation in the health, education and research precinct</w:t>
      </w:r>
      <w:bookmarkEnd w:id="9"/>
    </w:p>
    <w:p w:rsidR="00724839" w:rsidRPr="00724839" w:rsidRDefault="00724839" w:rsidP="00724839">
      <w:pPr>
        <w:pStyle w:val="NoParagraphStyle"/>
        <w:tabs>
          <w:tab w:val="left" w:pos="0"/>
          <w:tab w:val="left" w:pos="720"/>
          <w:tab w:val="left" w:pos="820"/>
        </w:tabs>
        <w:suppressAutoHyphens/>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 xml:space="preserve">The Health, Education and Research Precinct encompasses the major institutions of Monash University and Business Centre, Monash Medical Centre, Monash Children’s Hospital, CSIRO and the Australian Synchrotron. These world class institutions are the major assets upon which the Monash Cluster is founded, they provide capacity for the cluster to increase employment and harness the resultant investment opportunities. </w:t>
      </w:r>
    </w:p>
    <w:p w:rsidR="00724839" w:rsidRPr="00724839" w:rsidRDefault="00724839" w:rsidP="00724839">
      <w:pPr>
        <w:pStyle w:val="NoParagraphStyle"/>
        <w:tabs>
          <w:tab w:val="left" w:pos="0"/>
          <w:tab w:val="left" w:pos="720"/>
          <w:tab w:val="left" w:pos="820"/>
        </w:tabs>
        <w:suppressAutoHyphens/>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Forecast expansion of facilities at the Monash University Clayton Campus and a new Victorian Heart Hospital in the precinct will bring new opportunities that will require improved connectivity.</w:t>
      </w:r>
    </w:p>
    <w:p w:rsidR="00C97A6B" w:rsidRDefault="00724839" w:rsidP="00724839">
      <w:pPr>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In particular the Health, Education and Research Precinct requires an increase in education activities, delivery of the Victorian Heart Hospital and new accommodation projects that will enable students, visiting academics, researchers and health professionals to live locally with reduced travel needs.</w:t>
      </w:r>
    </w:p>
    <w:p w:rsidR="00724839" w:rsidRPr="00724839" w:rsidRDefault="00724839" w:rsidP="00724839">
      <w:pPr>
        <w:rPr>
          <w:rFonts w:cs="Arial"/>
        </w:rPr>
      </w:pPr>
    </w:p>
    <w:tbl>
      <w:tblPr>
        <w:tblStyle w:val="TableGrid"/>
        <w:tblW w:w="0" w:type="auto"/>
        <w:tblLook w:val="04A0" w:firstRow="1" w:lastRow="0" w:firstColumn="1" w:lastColumn="0" w:noHBand="0" w:noVBand="1"/>
        <w:tblCaption w:val="Strategic Outcome 1 - Actions "/>
        <w:tblDescription w:val="1. Prepare a Structure Plan for the Health, Education and Research Precinct to: &#10;a)  Integrate land use and transport and establish walking and cycling links with safe arterial road crossings connecting from the university to research facilities, hospitals and Clayton Station;&#10;b)  Support growth of major institutions and establishment of Victorian Heart Hospital; &#10;c)  Encourage non-government investment in health, research and education activities nearby; and&#10;d) Address the need for diverse housing opportunities within a walkable distance.  Short term, responsibility VPA&#10;2. Establish a taskforce to advocate for and represent key interests from health, education and research institutions. Short term, responsibility VPA&#10;"/>
      </w:tblPr>
      <w:tblGrid>
        <w:gridCol w:w="993"/>
        <w:gridCol w:w="4677"/>
        <w:gridCol w:w="1418"/>
        <w:gridCol w:w="1694"/>
      </w:tblGrid>
      <w:tr w:rsidR="00724839" w:rsidTr="00724839">
        <w:tc>
          <w:tcPr>
            <w:tcW w:w="993" w:type="dxa"/>
          </w:tcPr>
          <w:p w:rsidR="00724839" w:rsidRDefault="00724839" w:rsidP="00937364">
            <w:pPr>
              <w:pStyle w:val="Caption"/>
            </w:pPr>
          </w:p>
        </w:tc>
        <w:tc>
          <w:tcPr>
            <w:tcW w:w="4677" w:type="dxa"/>
          </w:tcPr>
          <w:p w:rsidR="00724839" w:rsidRDefault="00724839" w:rsidP="00937364">
            <w:pPr>
              <w:pStyle w:val="Caption"/>
            </w:pPr>
            <w:r>
              <w:t>Actions</w:t>
            </w:r>
          </w:p>
        </w:tc>
        <w:tc>
          <w:tcPr>
            <w:tcW w:w="1418" w:type="dxa"/>
          </w:tcPr>
          <w:p w:rsidR="00724839" w:rsidRDefault="00724839" w:rsidP="00937364">
            <w:pPr>
              <w:pStyle w:val="Caption"/>
            </w:pPr>
            <w:r>
              <w:t>Time frame</w:t>
            </w:r>
          </w:p>
        </w:tc>
        <w:tc>
          <w:tcPr>
            <w:tcW w:w="1694" w:type="dxa"/>
          </w:tcPr>
          <w:p w:rsidR="00724839" w:rsidRDefault="00724839" w:rsidP="00937364">
            <w:pPr>
              <w:pStyle w:val="Caption"/>
            </w:pPr>
            <w:r>
              <w:t>Lead agencies</w:t>
            </w:r>
          </w:p>
        </w:tc>
      </w:tr>
      <w:tr w:rsidR="00724839" w:rsidTr="00724839">
        <w:tc>
          <w:tcPr>
            <w:tcW w:w="993" w:type="dxa"/>
          </w:tcPr>
          <w:p w:rsidR="00724839" w:rsidRDefault="00724839" w:rsidP="00937364">
            <w:pPr>
              <w:pStyle w:val="Caption"/>
            </w:pPr>
            <w:r>
              <w:t>1.1</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 xml:space="preserve">Prepare a Structure Plan for the Health, Education and Research Precinct to: </w:t>
            </w:r>
          </w:p>
          <w:p w:rsidR="00724839" w:rsidRPr="00724839" w:rsidRDefault="00724839" w:rsidP="00724839">
            <w:pPr>
              <w:pStyle w:val="NoParagraphStyle"/>
              <w:tabs>
                <w:tab w:val="left" w:pos="0"/>
                <w:tab w:val="left" w:pos="1320"/>
                <w:tab w:val="left" w:pos="2320"/>
              </w:tabs>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a)</w:t>
            </w:r>
            <w:r>
              <w:rPr>
                <w:rStyle w:val="guidelinenumbering"/>
                <w:rFonts w:ascii="Arial" w:hAnsi="Arial" w:cs="Arial"/>
                <w:b w:val="0"/>
                <w:bCs w:val="0"/>
                <w:color w:val="auto"/>
                <w:spacing w:val="3"/>
                <w:w w:val="105"/>
                <w:sz w:val="18"/>
                <w:szCs w:val="18"/>
              </w:rPr>
              <w:t xml:space="preserve">  </w:t>
            </w:r>
            <w:r w:rsidRPr="00724839">
              <w:rPr>
                <w:rStyle w:val="guidelinenumbering"/>
                <w:rFonts w:ascii="Arial" w:hAnsi="Arial" w:cs="Arial"/>
                <w:b w:val="0"/>
                <w:bCs w:val="0"/>
                <w:color w:val="auto"/>
                <w:spacing w:val="3"/>
                <w:w w:val="105"/>
                <w:sz w:val="18"/>
                <w:szCs w:val="18"/>
              </w:rPr>
              <w:t>Integrate land use and transport and establish walking and cycling links with safe arterial road crossings connecting from the university to research facilities, hospitals and Clayton Station</w:t>
            </w:r>
            <w:r w:rsidR="00214090">
              <w:rPr>
                <w:rStyle w:val="guidelinenumbering"/>
                <w:rFonts w:ascii="Arial" w:hAnsi="Arial" w:cs="Arial"/>
                <w:b w:val="0"/>
                <w:bCs w:val="0"/>
                <w:color w:val="auto"/>
                <w:spacing w:val="3"/>
                <w:w w:val="105"/>
                <w:sz w:val="18"/>
                <w:szCs w:val="18"/>
              </w:rPr>
              <w:t>;</w:t>
            </w:r>
          </w:p>
          <w:p w:rsidR="00724839" w:rsidRPr="00724839" w:rsidRDefault="00724839" w:rsidP="00724839">
            <w:pPr>
              <w:pStyle w:val="NoParagraphStyle"/>
              <w:tabs>
                <w:tab w:val="left" w:pos="0"/>
                <w:tab w:val="left" w:pos="1320"/>
                <w:tab w:val="left" w:pos="2320"/>
              </w:tabs>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b)</w:t>
            </w:r>
            <w:r>
              <w:rPr>
                <w:rStyle w:val="guidelinenumbering"/>
                <w:rFonts w:ascii="Arial" w:hAnsi="Arial" w:cs="Arial"/>
                <w:b w:val="0"/>
                <w:bCs w:val="0"/>
                <w:color w:val="auto"/>
                <w:spacing w:val="3"/>
                <w:w w:val="105"/>
                <w:sz w:val="18"/>
                <w:szCs w:val="18"/>
              </w:rPr>
              <w:t xml:space="preserve">  </w:t>
            </w:r>
            <w:r w:rsidRPr="00724839">
              <w:rPr>
                <w:rStyle w:val="guidelinenumbering"/>
                <w:rFonts w:ascii="Arial" w:hAnsi="Arial" w:cs="Arial"/>
                <w:b w:val="0"/>
                <w:bCs w:val="0"/>
                <w:color w:val="auto"/>
                <w:spacing w:val="3"/>
                <w:w w:val="105"/>
                <w:sz w:val="18"/>
                <w:szCs w:val="18"/>
              </w:rPr>
              <w:t xml:space="preserve">Support growth of major institutions and establishment of Victorian Heart Hospital; </w:t>
            </w:r>
          </w:p>
          <w:p w:rsidR="00724839" w:rsidRPr="00724839" w:rsidRDefault="00724839" w:rsidP="00724839">
            <w:pPr>
              <w:pStyle w:val="NoParagraphStyle"/>
              <w:tabs>
                <w:tab w:val="left" w:pos="0"/>
                <w:tab w:val="left" w:pos="1320"/>
                <w:tab w:val="left" w:pos="2320"/>
              </w:tabs>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c)</w:t>
            </w:r>
            <w:r>
              <w:rPr>
                <w:rStyle w:val="guidelinenumbering"/>
                <w:rFonts w:ascii="Arial" w:hAnsi="Arial" w:cs="Arial"/>
                <w:b w:val="0"/>
                <w:bCs w:val="0"/>
                <w:color w:val="auto"/>
                <w:spacing w:val="3"/>
                <w:w w:val="105"/>
                <w:sz w:val="18"/>
                <w:szCs w:val="18"/>
              </w:rPr>
              <w:t xml:space="preserve">  </w:t>
            </w:r>
            <w:r w:rsidRPr="00724839">
              <w:rPr>
                <w:rStyle w:val="guidelinenumbering"/>
                <w:rFonts w:ascii="Arial" w:hAnsi="Arial" w:cs="Arial"/>
                <w:b w:val="0"/>
                <w:bCs w:val="0"/>
                <w:color w:val="auto"/>
                <w:spacing w:val="3"/>
                <w:w w:val="105"/>
                <w:sz w:val="18"/>
                <w:szCs w:val="18"/>
              </w:rPr>
              <w:t>Encourage non-government investment in health, research and education activities nearby; and</w:t>
            </w:r>
          </w:p>
          <w:p w:rsidR="00724839" w:rsidRDefault="00724839" w:rsidP="00724839">
            <w:pPr>
              <w:pStyle w:val="Caption"/>
            </w:pPr>
            <w:r w:rsidRPr="00724839">
              <w:rPr>
                <w:rStyle w:val="guidelinenumbering"/>
                <w:rFonts w:ascii="Arial" w:hAnsi="Arial" w:cs="Arial"/>
                <w:color w:val="auto"/>
                <w:spacing w:val="3"/>
                <w:w w:val="105"/>
                <w:sz w:val="18"/>
              </w:rPr>
              <w:t>d)</w:t>
            </w:r>
            <w:r>
              <w:rPr>
                <w:rStyle w:val="guidelinenumbering"/>
                <w:rFonts w:ascii="Arial" w:hAnsi="Arial" w:cs="Arial"/>
                <w:b w:val="0"/>
                <w:bCs w:val="0"/>
                <w:color w:val="auto"/>
                <w:spacing w:val="3"/>
                <w:w w:val="105"/>
                <w:sz w:val="18"/>
              </w:rPr>
              <w:t xml:space="preserve"> </w:t>
            </w:r>
            <w:r w:rsidRPr="00724839">
              <w:rPr>
                <w:rStyle w:val="guidelinenumbering"/>
                <w:rFonts w:ascii="Arial" w:hAnsi="Arial" w:cs="Arial"/>
                <w:b w:val="0"/>
                <w:bCs w:val="0"/>
                <w:color w:val="auto"/>
                <w:spacing w:val="3"/>
                <w:w w:val="105"/>
                <w:sz w:val="18"/>
              </w:rPr>
              <w:t>Address the need for diverse housing opportunities within a walkable distance.</w:t>
            </w:r>
          </w:p>
        </w:tc>
        <w:tc>
          <w:tcPr>
            <w:tcW w:w="1418" w:type="dxa"/>
          </w:tcPr>
          <w:p w:rsidR="00724839" w:rsidRPr="00724839" w:rsidRDefault="00724839" w:rsidP="00724839">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724839">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VPA</w:t>
            </w:r>
          </w:p>
        </w:tc>
      </w:tr>
      <w:tr w:rsidR="00724839" w:rsidTr="00724839">
        <w:tc>
          <w:tcPr>
            <w:tcW w:w="993" w:type="dxa"/>
          </w:tcPr>
          <w:p w:rsidR="00724839" w:rsidRDefault="00724839" w:rsidP="00937364">
            <w:pPr>
              <w:pStyle w:val="Caption"/>
            </w:pPr>
            <w:r>
              <w:t>1.2</w:t>
            </w:r>
          </w:p>
        </w:tc>
        <w:tc>
          <w:tcPr>
            <w:tcW w:w="4677" w:type="dxa"/>
          </w:tcPr>
          <w:p w:rsidR="00724839" w:rsidRPr="00724839" w:rsidRDefault="00724839" w:rsidP="00724839">
            <w:pPr>
              <w:pStyle w:val="NoParagraphStyle"/>
              <w:spacing w:before="170"/>
              <w:rPr>
                <w:rFonts w:ascii="Arial" w:hAnsi="Arial" w:cs="Arial"/>
                <w:color w:val="005DA0"/>
                <w:spacing w:val="3"/>
                <w:w w:val="105"/>
                <w:sz w:val="18"/>
                <w:szCs w:val="18"/>
              </w:rPr>
            </w:pPr>
            <w:r w:rsidRPr="00724839">
              <w:rPr>
                <w:rStyle w:val="guidelinenumbering"/>
                <w:rFonts w:ascii="Arial" w:hAnsi="Arial" w:cs="Arial"/>
                <w:b w:val="0"/>
                <w:bCs w:val="0"/>
                <w:color w:val="auto"/>
                <w:spacing w:val="3"/>
                <w:w w:val="105"/>
                <w:sz w:val="18"/>
                <w:szCs w:val="18"/>
              </w:rPr>
              <w:t>Establish a taskforce to advocate for and represent key interests from health, education and research institutions.</w:t>
            </w:r>
          </w:p>
        </w:tc>
        <w:tc>
          <w:tcPr>
            <w:tcW w:w="1418" w:type="dxa"/>
          </w:tcPr>
          <w:p w:rsidR="00724839" w:rsidRPr="00724839" w:rsidRDefault="00724839" w:rsidP="00724839">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724839">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VPA</w:t>
            </w:r>
          </w:p>
        </w:tc>
      </w:tr>
    </w:tbl>
    <w:p w:rsidR="00AC6C61" w:rsidRDefault="00AC6C61" w:rsidP="00937364">
      <w:pPr>
        <w:pStyle w:val="Caption"/>
      </w:pPr>
      <w:r>
        <w:br w:type="page"/>
      </w:r>
    </w:p>
    <w:p w:rsidR="000F4148" w:rsidRPr="000F4148" w:rsidRDefault="000F4148" w:rsidP="000F4148">
      <w:pPr>
        <w:pStyle w:val="NoParagraphStyle"/>
        <w:tabs>
          <w:tab w:val="left" w:pos="425"/>
          <w:tab w:val="left" w:pos="709"/>
          <w:tab w:val="left" w:pos="992"/>
        </w:tabs>
        <w:suppressAutoHyphens/>
        <w:spacing w:before="170"/>
        <w:rPr>
          <w:rFonts w:ascii="Arial" w:hAnsi="Arial" w:cs="Arial"/>
          <w:b/>
          <w:color w:val="auto"/>
          <w:spacing w:val="3"/>
          <w:w w:val="105"/>
          <w:sz w:val="18"/>
          <w:szCs w:val="18"/>
        </w:rPr>
      </w:pPr>
      <w:bookmarkStart w:id="10" w:name="_Toc477870541"/>
      <w:r w:rsidRPr="000F4148">
        <w:rPr>
          <w:rStyle w:val="guidelinenumbering"/>
          <w:rFonts w:ascii="Arial" w:hAnsi="Arial" w:cs="Arial"/>
          <w:color w:val="auto"/>
          <w:spacing w:val="3"/>
          <w:w w:val="105"/>
          <w:sz w:val="18"/>
          <w:szCs w:val="18"/>
        </w:rPr>
        <w:lastRenderedPageBreak/>
        <w:t xml:space="preserve">Figure </w:t>
      </w:r>
      <w:r w:rsidRPr="000F4148">
        <w:rPr>
          <w:rStyle w:val="guidelinenumbering"/>
          <w:rFonts w:ascii="Arial" w:hAnsi="Arial" w:cs="Arial"/>
          <w:color w:val="auto"/>
          <w:spacing w:val="3"/>
          <w:w w:val="105"/>
          <w:sz w:val="18"/>
          <w:szCs w:val="18"/>
        </w:rPr>
        <w:fldChar w:fldCharType="begin"/>
      </w:r>
      <w:r w:rsidRPr="000F4148">
        <w:rPr>
          <w:rStyle w:val="guidelinenumbering"/>
          <w:rFonts w:ascii="Arial" w:hAnsi="Arial" w:cs="Arial"/>
          <w:color w:val="auto"/>
          <w:spacing w:val="3"/>
          <w:w w:val="105"/>
          <w:sz w:val="18"/>
          <w:szCs w:val="18"/>
        </w:rPr>
        <w:instrText xml:space="preserve"> SEQ Figure \* ARABIC </w:instrText>
      </w:r>
      <w:r w:rsidRPr="000F4148">
        <w:rPr>
          <w:rStyle w:val="guidelinenumbering"/>
          <w:rFonts w:ascii="Arial" w:hAnsi="Arial" w:cs="Arial"/>
          <w:color w:val="auto"/>
          <w:spacing w:val="3"/>
          <w:w w:val="105"/>
          <w:sz w:val="18"/>
          <w:szCs w:val="18"/>
        </w:rPr>
        <w:fldChar w:fldCharType="separate"/>
      </w:r>
      <w:r w:rsidR="001C633A">
        <w:rPr>
          <w:rStyle w:val="guidelinenumbering"/>
          <w:rFonts w:ascii="Arial" w:hAnsi="Arial" w:cs="Arial"/>
          <w:noProof/>
          <w:color w:val="auto"/>
          <w:spacing w:val="3"/>
          <w:w w:val="105"/>
          <w:sz w:val="18"/>
          <w:szCs w:val="18"/>
        </w:rPr>
        <w:t>3</w:t>
      </w:r>
      <w:r w:rsidRPr="000F4148">
        <w:rPr>
          <w:rStyle w:val="guidelinenumbering"/>
          <w:rFonts w:ascii="Arial" w:hAnsi="Arial" w:cs="Arial"/>
          <w:color w:val="auto"/>
          <w:spacing w:val="3"/>
          <w:w w:val="105"/>
          <w:sz w:val="18"/>
          <w:szCs w:val="18"/>
        </w:rPr>
        <w:fldChar w:fldCharType="end"/>
      </w:r>
      <w:r w:rsidRPr="000F4148">
        <w:rPr>
          <w:b/>
        </w:rPr>
        <w:t xml:space="preserve"> </w:t>
      </w:r>
      <w:r w:rsidRPr="000F4148">
        <w:rPr>
          <w:rStyle w:val="guidelinenumbering"/>
          <w:rFonts w:ascii="Arial" w:hAnsi="Arial" w:cs="Arial"/>
          <w:b w:val="0"/>
          <w:bCs w:val="0"/>
          <w:color w:val="auto"/>
          <w:spacing w:val="3"/>
          <w:w w:val="105"/>
          <w:sz w:val="18"/>
          <w:szCs w:val="18"/>
        </w:rPr>
        <w:t>Health, Education and Research Precinct Plan</w:t>
      </w:r>
      <w:bookmarkEnd w:id="10"/>
    </w:p>
    <w:p w:rsidR="000F4148" w:rsidRDefault="000F4148" w:rsidP="000F4148">
      <w:pPr>
        <w:pStyle w:val="Caption"/>
      </w:pPr>
    </w:p>
    <w:p w:rsidR="00724839" w:rsidRDefault="00AE582F" w:rsidP="00937364">
      <w:r>
        <w:rPr>
          <w:noProof/>
        </w:rPr>
        <w:drawing>
          <wp:inline distT="0" distB="0" distL="0" distR="0" wp14:anchorId="52CC913E" wp14:editId="0CECD81C">
            <wp:extent cx="5576570" cy="5723255"/>
            <wp:effectExtent l="0" t="0" r="5080" b="0"/>
            <wp:docPr id="16" name="Picture 16" descr="This map shows the actions relating to the Health, Education and Research Precinct within Strategic Outcome 2" title="Health, Education and Research Precinc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76570" cy="5723255"/>
                    </a:xfrm>
                    <a:prstGeom prst="rect">
                      <a:avLst/>
                    </a:prstGeom>
                  </pic:spPr>
                </pic:pic>
              </a:graphicData>
            </a:graphic>
          </wp:inline>
        </w:drawing>
      </w:r>
      <w:bookmarkEnd w:id="4"/>
    </w:p>
    <w:p w:rsidR="00724839" w:rsidRPr="006315D0" w:rsidRDefault="00724839" w:rsidP="006315D0">
      <w:pPr>
        <w:pStyle w:val="Heading1nonumbers"/>
        <w:rPr>
          <w:rStyle w:val="guidelinenumbering"/>
          <w:rFonts w:cs="Arial"/>
          <w:b w:val="0"/>
          <w:bCs w:val="0"/>
          <w:color w:val="auto"/>
          <w:sz w:val="32"/>
          <w:szCs w:val="32"/>
        </w:rPr>
      </w:pPr>
      <w:bookmarkStart w:id="11" w:name="_Toc477870454"/>
      <w:r w:rsidRPr="006315D0">
        <w:rPr>
          <w:rStyle w:val="guidelinenumbering"/>
          <w:rFonts w:cs="Arial"/>
          <w:b w:val="0"/>
          <w:bCs w:val="0"/>
          <w:color w:val="auto"/>
          <w:sz w:val="32"/>
          <w:szCs w:val="32"/>
        </w:rPr>
        <w:lastRenderedPageBreak/>
        <w:t>Strategic Outcome 2: Boost jobs growth and develop attractive employment areas with business town centres</w:t>
      </w:r>
      <w:bookmarkEnd w:id="11"/>
    </w:p>
    <w:p w:rsidR="00724839" w:rsidRPr="00724839" w:rsidRDefault="00724839" w:rsidP="00724839">
      <w:pPr>
        <w:pStyle w:val="NoParagraphStyle"/>
        <w:suppressAutoHyphens/>
        <w:spacing w:before="170"/>
        <w:rPr>
          <w:rStyle w:val="guidelinenumbering"/>
          <w:rFonts w:ascii="Arial" w:hAnsi="Arial" w:cs="Arial"/>
          <w:b w:val="0"/>
          <w:bCs w:val="0"/>
          <w:color w:val="auto"/>
          <w:w w:val="105"/>
          <w:sz w:val="18"/>
          <w:szCs w:val="18"/>
        </w:rPr>
      </w:pPr>
      <w:r w:rsidRPr="00724839">
        <w:rPr>
          <w:rStyle w:val="guidelinenumbering"/>
          <w:rFonts w:ascii="Arial" w:hAnsi="Arial" w:cs="Arial"/>
          <w:b w:val="0"/>
          <w:bCs w:val="0"/>
          <w:color w:val="auto"/>
          <w:w w:val="105"/>
          <w:sz w:val="18"/>
          <w:szCs w:val="18"/>
        </w:rPr>
        <w:t xml:space="preserve">To support the forecasted doubling of jobs in the Monash Cluster, a concerted effort will be required to create more vibrant activity and business centres. The cluster has been very successful as a major employment area. It must now continue to grow and modernise, in particular addressing gaps in the range of land uses and infrastructure that is sought by businesses and their employees. Addressing planning scheme limitations and investing in public transport and the public realm will catalyse positive change. </w:t>
      </w:r>
    </w:p>
    <w:p w:rsidR="00724839" w:rsidRPr="00724839" w:rsidRDefault="00724839" w:rsidP="00724839">
      <w:pPr>
        <w:pStyle w:val="NoParagraphStyle"/>
        <w:suppressAutoHyphens/>
        <w:spacing w:before="170"/>
        <w:rPr>
          <w:rStyle w:val="guidelinenumbering"/>
          <w:rFonts w:ascii="Arial" w:hAnsi="Arial" w:cs="Arial"/>
          <w:b w:val="0"/>
          <w:bCs w:val="0"/>
          <w:color w:val="auto"/>
          <w:w w:val="105"/>
          <w:sz w:val="18"/>
          <w:szCs w:val="18"/>
        </w:rPr>
      </w:pPr>
      <w:r w:rsidRPr="00724839">
        <w:rPr>
          <w:rStyle w:val="guidelinenumbering"/>
          <w:rFonts w:ascii="Arial" w:hAnsi="Arial" w:cs="Arial"/>
          <w:b w:val="0"/>
          <w:bCs w:val="0"/>
          <w:color w:val="auto"/>
          <w:w w:val="105"/>
          <w:sz w:val="18"/>
          <w:szCs w:val="18"/>
        </w:rPr>
        <w:t>By concentrating a range of retail, business accommodation, community services and public open space within the heart of the employment areas, there will be greater potential to deliver the amenity, vibrancy and interest that is lacking in areas such as the Monash Technology Precinct. There is also increasing need to serve the employment areas with commercial, retail and entertainment opportunities which are complemented with high-quality housing nearby.</w:t>
      </w:r>
    </w:p>
    <w:p w:rsidR="00724839" w:rsidRPr="00724839" w:rsidRDefault="00724839" w:rsidP="00724839">
      <w:pPr>
        <w:rPr>
          <w:rFonts w:cs="Arial"/>
        </w:rPr>
      </w:pPr>
      <w:r w:rsidRPr="00724839">
        <w:rPr>
          <w:rStyle w:val="guidelinenumbering"/>
          <w:rFonts w:ascii="Arial" w:hAnsi="Arial" w:cs="Arial"/>
          <w:b w:val="0"/>
          <w:bCs w:val="0"/>
          <w:color w:val="auto"/>
          <w:w w:val="105"/>
          <w:sz w:val="18"/>
          <w:szCs w:val="18"/>
        </w:rPr>
        <w:t>Fostering investment in the M</w:t>
      </w:r>
      <w:r w:rsidR="00214090">
        <w:rPr>
          <w:rStyle w:val="guidelinenumbering"/>
          <w:rFonts w:ascii="Arial" w:hAnsi="Arial" w:cs="Arial"/>
          <w:b w:val="0"/>
          <w:bCs w:val="0"/>
          <w:color w:val="auto"/>
          <w:w w:val="105"/>
          <w:sz w:val="18"/>
          <w:szCs w:val="18"/>
        </w:rPr>
        <w:t xml:space="preserve">onash Technology Precinct (high </w:t>
      </w:r>
      <w:r w:rsidRPr="00724839">
        <w:rPr>
          <w:rStyle w:val="guidelinenumbering"/>
          <w:rFonts w:ascii="Arial" w:hAnsi="Arial" w:cs="Arial"/>
          <w:b w:val="0"/>
          <w:bCs w:val="0"/>
          <w:color w:val="auto"/>
          <w:w w:val="105"/>
          <w:sz w:val="18"/>
          <w:szCs w:val="18"/>
        </w:rPr>
        <w:t>density employment area) and the industrial areas of Huntingdale, Clayton and Springvale (supporting employment areas) will also catalyse change. Diversifying business mix, taking advantage of agglomeration benefits and prioritising linkages with the health, education and research facilities will leverage opportunities for growth.</w:t>
      </w:r>
    </w:p>
    <w:p w:rsidR="00937364" w:rsidRPr="004D7343" w:rsidRDefault="00937364" w:rsidP="00937364">
      <w:pPr>
        <w:rPr>
          <w:vanish/>
          <w:color w:val="9CA0A3" w:themeColor="accent4"/>
        </w:rPr>
        <w:sectPr w:rsidR="00937364" w:rsidRPr="004D7343" w:rsidSect="00060341">
          <w:footerReference w:type="even" r:id="rId25"/>
          <w:footerReference w:type="default" r:id="rId26"/>
          <w:pgSz w:w="11901" w:h="16846" w:code="9"/>
          <w:pgMar w:top="1701" w:right="1134" w:bottom="851" w:left="1985" w:header="283" w:footer="0" w:gutter="0"/>
          <w:pgNumType w:start="1"/>
          <w:cols w:space="720"/>
          <w:docGrid w:linePitch="299"/>
        </w:sectPr>
      </w:pPr>
      <w:r w:rsidRPr="004D7343">
        <w:rPr>
          <w:vanish/>
          <w:color w:val="9CA0A3" w:themeColor="accent4"/>
        </w:rPr>
        <w:t xml:space="preserve">(section break for back page – do not delete) </w:t>
      </w:r>
    </w:p>
    <w:p w:rsidR="00937364" w:rsidRPr="00112F07" w:rsidRDefault="00937364" w:rsidP="00937364">
      <w:pPr>
        <w:rPr>
          <w:vanish/>
          <w:color w:val="9CA0A3" w:themeColor="accent4"/>
        </w:rPr>
      </w:pPr>
      <w:r w:rsidRPr="00112F07">
        <w:rPr>
          <w:vanish/>
          <w:color w:val="9CA0A3" w:themeColor="accent4"/>
        </w:rPr>
        <w:t>(back page</w:t>
      </w:r>
      <w:r>
        <w:rPr>
          <w:vanish/>
          <w:color w:val="9CA0A3" w:themeColor="accent4"/>
        </w:rPr>
        <w:t xml:space="preserve"> – do not delete</w:t>
      </w:r>
      <w:r w:rsidRPr="00112F07">
        <w:rPr>
          <w:vanish/>
          <w:color w:val="9CA0A3" w:themeColor="accent4"/>
        </w:rPr>
        <w:t>)</w:t>
      </w:r>
    </w:p>
    <w:p w:rsidR="00937364" w:rsidRPr="006025C6" w:rsidRDefault="00937364" w:rsidP="00937364"/>
    <w:tbl>
      <w:tblPr>
        <w:tblStyle w:val="TableGrid"/>
        <w:tblW w:w="0" w:type="auto"/>
        <w:tblLook w:val="04A0" w:firstRow="1" w:lastRow="0" w:firstColumn="1" w:lastColumn="0" w:noHBand="0" w:noVBand="1"/>
        <w:tblCaption w:val="Strategic Outcome 2 - Actions "/>
        <w:tblDescription w:val="1. Prepare a future employment and investment attraction strategy for the cluster and update planning policies for high density and supporting employment to promote investment and renewal opportunities that target jobs growth. Short term, responsibility DEDJTR&#10;2. Plan for at least two new business town centres in the Monash Technology Precinct and implement with a planning scheme amendment to: &#10;a)  Ensure the majority of employment area is within 500m walkable distance;&#10;b)  Include a mix of retail (including small supermarkets), hospitality and open space to suit business and worker needs;&#10;c)  Have convenient access to or include visitor accommodation, conference facilities; and&#10;d)  Be accessible by public transport. Short term, responsibility VPA&#10;MCC&#10;3. Amend the Monash Planning Scheme to allow residential hotels as a permissible use within the Monash Technology Precinct to support business accommodation and conference activities that serve the employment areas. Short term, responsibility VPA&#10;4. Review the Urban Design Guidelines for the Monash Technology Precinct to support higher density employment and development of a 21st century business park environment.  Short term, responsibility MCC&#10;5. Advocate for the rollout of high performance broadband to business and employment areas. Short term, responsibility DEDJTR&#10;6. Plan a network of vibrant activity centres that provide a range of services and facilities to support local living with good sustainable transport links. Refer to Strategic Outcome 5 for further detail.&#10;Short - Medium term, responsibility VPA, MCC, KCC, GDCC"/>
      </w:tblPr>
      <w:tblGrid>
        <w:gridCol w:w="993"/>
        <w:gridCol w:w="4677"/>
        <w:gridCol w:w="1418"/>
        <w:gridCol w:w="1694"/>
      </w:tblGrid>
      <w:tr w:rsidR="00480F1D" w:rsidTr="006315D0">
        <w:tc>
          <w:tcPr>
            <w:tcW w:w="993" w:type="dxa"/>
          </w:tcPr>
          <w:p w:rsidR="00724839" w:rsidRDefault="00724839" w:rsidP="006315D0">
            <w:pPr>
              <w:pStyle w:val="Caption"/>
            </w:pPr>
          </w:p>
        </w:tc>
        <w:tc>
          <w:tcPr>
            <w:tcW w:w="4677" w:type="dxa"/>
          </w:tcPr>
          <w:p w:rsidR="00724839" w:rsidRDefault="00724839" w:rsidP="006315D0">
            <w:pPr>
              <w:pStyle w:val="Caption"/>
            </w:pPr>
            <w:r>
              <w:t>Actions</w:t>
            </w:r>
          </w:p>
        </w:tc>
        <w:tc>
          <w:tcPr>
            <w:tcW w:w="1418" w:type="dxa"/>
          </w:tcPr>
          <w:p w:rsidR="00724839" w:rsidRDefault="00724839" w:rsidP="006315D0">
            <w:pPr>
              <w:pStyle w:val="Caption"/>
            </w:pPr>
            <w:r>
              <w:t>Time frame</w:t>
            </w:r>
          </w:p>
        </w:tc>
        <w:tc>
          <w:tcPr>
            <w:tcW w:w="1694" w:type="dxa"/>
          </w:tcPr>
          <w:p w:rsidR="00724839" w:rsidRDefault="00724839" w:rsidP="006315D0">
            <w:pPr>
              <w:pStyle w:val="Caption"/>
            </w:pPr>
            <w:r>
              <w:t>Lead agencies</w:t>
            </w:r>
          </w:p>
        </w:tc>
      </w:tr>
      <w:tr w:rsidR="00480F1D" w:rsidTr="006315D0">
        <w:tc>
          <w:tcPr>
            <w:tcW w:w="993" w:type="dxa"/>
          </w:tcPr>
          <w:p w:rsidR="00724839" w:rsidRDefault="00724839" w:rsidP="006315D0">
            <w:pPr>
              <w:pStyle w:val="Caption"/>
            </w:pPr>
            <w:r>
              <w:t>2.1</w:t>
            </w:r>
          </w:p>
        </w:tc>
        <w:tc>
          <w:tcPr>
            <w:tcW w:w="4677" w:type="dxa"/>
          </w:tcPr>
          <w:p w:rsidR="00724839" w:rsidRPr="00724839" w:rsidRDefault="00724839" w:rsidP="00724839">
            <w:pPr>
              <w:pStyle w:val="NoParagraphStyle"/>
              <w:spacing w:before="170"/>
              <w:rPr>
                <w:rFonts w:ascii="Arial" w:hAnsi="Arial" w:cs="Arial"/>
                <w:color w:val="auto"/>
                <w:spacing w:val="4"/>
                <w:w w:val="105"/>
                <w:sz w:val="18"/>
                <w:szCs w:val="18"/>
              </w:rPr>
            </w:pPr>
            <w:r w:rsidRPr="00724839">
              <w:rPr>
                <w:rStyle w:val="guidelinenumbering"/>
                <w:rFonts w:ascii="Arial" w:hAnsi="Arial" w:cs="Arial"/>
                <w:b w:val="0"/>
                <w:bCs w:val="0"/>
                <w:color w:val="auto"/>
                <w:spacing w:val="4"/>
                <w:w w:val="105"/>
                <w:sz w:val="18"/>
                <w:szCs w:val="18"/>
              </w:rPr>
              <w:t>Prepare a future employment and investment attraction strategy for the cluster and update planning policies for high density and supporting employment to promote investment and renewal opportunities that target jobs growth.</w:t>
            </w: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DEDJTR</w:t>
            </w:r>
          </w:p>
        </w:tc>
      </w:tr>
      <w:tr w:rsidR="00480F1D" w:rsidTr="006315D0">
        <w:tc>
          <w:tcPr>
            <w:tcW w:w="993" w:type="dxa"/>
          </w:tcPr>
          <w:p w:rsidR="00724839" w:rsidRDefault="00724839" w:rsidP="006315D0">
            <w:pPr>
              <w:pStyle w:val="Caption"/>
            </w:pPr>
            <w:r>
              <w:t>2.2</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 xml:space="preserve">Plan for at least two new business town centres in the Monash Technology Precinct and implement with a planning scheme amendment to: </w:t>
            </w:r>
          </w:p>
          <w:p w:rsidR="00724839" w:rsidRPr="00724839" w:rsidRDefault="00724839" w:rsidP="00724839">
            <w:pPr>
              <w:pStyle w:val="NoParagraphStyle"/>
              <w:tabs>
                <w:tab w:val="left" w:pos="0"/>
                <w:tab w:val="left" w:pos="1320"/>
                <w:tab w:val="left" w:pos="2320"/>
              </w:tabs>
              <w:spacing w:before="57"/>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a)</w:t>
            </w:r>
            <w:r w:rsidRPr="00724839">
              <w:rPr>
                <w:rStyle w:val="guidelinenumbering"/>
                <w:rFonts w:ascii="Arial" w:hAnsi="Arial" w:cs="Arial"/>
                <w:b w:val="0"/>
                <w:bCs w:val="0"/>
                <w:color w:val="auto"/>
                <w:spacing w:val="3"/>
                <w:w w:val="105"/>
                <w:sz w:val="18"/>
                <w:szCs w:val="18"/>
              </w:rPr>
              <w:t xml:space="preserve">  Ensure the majority of employment area is within 500m walkable distance;</w:t>
            </w:r>
          </w:p>
          <w:p w:rsidR="00724839" w:rsidRPr="00724839" w:rsidRDefault="00724839" w:rsidP="00724839">
            <w:pPr>
              <w:pStyle w:val="NoParagraphStyle"/>
              <w:tabs>
                <w:tab w:val="left" w:pos="0"/>
                <w:tab w:val="left" w:pos="1320"/>
                <w:tab w:val="left" w:pos="2320"/>
              </w:tabs>
              <w:spacing w:before="57"/>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b)</w:t>
            </w:r>
            <w:r w:rsidRPr="00724839">
              <w:rPr>
                <w:rStyle w:val="guidelinenumbering"/>
                <w:rFonts w:ascii="Arial" w:hAnsi="Arial" w:cs="Arial"/>
                <w:b w:val="0"/>
                <w:bCs w:val="0"/>
                <w:color w:val="auto"/>
                <w:spacing w:val="3"/>
                <w:w w:val="105"/>
                <w:sz w:val="18"/>
                <w:szCs w:val="18"/>
              </w:rPr>
              <w:t xml:space="preserve">  Include a mix of retail (including small supermarkets), hospitality and open space to suit business and worker needs;</w:t>
            </w:r>
          </w:p>
          <w:p w:rsidR="00724839" w:rsidRPr="00724839" w:rsidRDefault="00724839" w:rsidP="00724839">
            <w:pPr>
              <w:pStyle w:val="NoParagraphStyle"/>
              <w:tabs>
                <w:tab w:val="left" w:pos="0"/>
                <w:tab w:val="left" w:pos="1320"/>
                <w:tab w:val="left" w:pos="2320"/>
              </w:tabs>
              <w:spacing w:before="57"/>
              <w:rPr>
                <w:rStyle w:val="guidelinenumbering"/>
                <w:rFonts w:ascii="Arial" w:hAnsi="Arial" w:cs="Arial"/>
                <w:b w:val="0"/>
                <w:bCs w:val="0"/>
                <w:color w:val="auto"/>
                <w:spacing w:val="3"/>
                <w:w w:val="105"/>
                <w:sz w:val="18"/>
                <w:szCs w:val="18"/>
              </w:rPr>
            </w:pPr>
            <w:r w:rsidRPr="00724839">
              <w:rPr>
                <w:rStyle w:val="guidelinenumbering"/>
                <w:rFonts w:ascii="Arial" w:hAnsi="Arial" w:cs="Arial"/>
                <w:color w:val="auto"/>
                <w:spacing w:val="3"/>
                <w:w w:val="105"/>
                <w:sz w:val="18"/>
                <w:szCs w:val="18"/>
              </w:rPr>
              <w:t>c)</w:t>
            </w:r>
            <w:r w:rsidRPr="00724839">
              <w:rPr>
                <w:rStyle w:val="guidelinenumbering"/>
                <w:rFonts w:ascii="Arial" w:hAnsi="Arial" w:cs="Arial"/>
                <w:b w:val="0"/>
                <w:bCs w:val="0"/>
                <w:color w:val="auto"/>
                <w:spacing w:val="3"/>
                <w:w w:val="105"/>
                <w:sz w:val="18"/>
                <w:szCs w:val="18"/>
              </w:rPr>
              <w:t xml:space="preserve">  Have convenient access to or include visitor accommodation, conference facilities; and</w:t>
            </w:r>
          </w:p>
          <w:p w:rsidR="00724839" w:rsidRPr="00724839" w:rsidRDefault="00724839" w:rsidP="00724839">
            <w:pPr>
              <w:pStyle w:val="NoParagraphStyle"/>
              <w:spacing w:before="170"/>
              <w:rPr>
                <w:rFonts w:ascii="Arial" w:hAnsi="Arial" w:cs="Arial"/>
                <w:color w:val="auto"/>
                <w:spacing w:val="3"/>
                <w:w w:val="105"/>
                <w:sz w:val="18"/>
                <w:szCs w:val="18"/>
              </w:rPr>
            </w:pPr>
            <w:r w:rsidRPr="00724839">
              <w:rPr>
                <w:rStyle w:val="guidelinenumbering"/>
                <w:rFonts w:ascii="Arial" w:hAnsi="Arial" w:cs="Arial"/>
                <w:color w:val="auto"/>
                <w:spacing w:val="3"/>
                <w:w w:val="105"/>
                <w:sz w:val="18"/>
                <w:szCs w:val="18"/>
              </w:rPr>
              <w:t>d)</w:t>
            </w:r>
            <w:r w:rsidRPr="00724839">
              <w:rPr>
                <w:rStyle w:val="guidelinenumbering"/>
                <w:rFonts w:ascii="Arial" w:hAnsi="Arial" w:cs="Arial"/>
                <w:b w:val="0"/>
                <w:bCs w:val="0"/>
                <w:color w:val="auto"/>
                <w:spacing w:val="3"/>
                <w:w w:val="105"/>
                <w:sz w:val="18"/>
                <w:szCs w:val="18"/>
              </w:rPr>
              <w:t xml:space="preserve">  Be accessible by public transport.</w:t>
            </w: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VPA</w:t>
            </w:r>
            <w:r>
              <w:rPr>
                <w:rStyle w:val="guidelinenumbering"/>
                <w:rFonts w:ascii="Arial" w:hAnsi="Arial" w:cs="Arial"/>
                <w:b w:val="0"/>
                <w:color w:val="auto"/>
                <w:spacing w:val="3"/>
                <w:w w:val="105"/>
                <w:sz w:val="18"/>
                <w:szCs w:val="18"/>
              </w:rPr>
              <w:br/>
              <w:t>MCC</w:t>
            </w:r>
          </w:p>
        </w:tc>
      </w:tr>
      <w:tr w:rsidR="00480F1D" w:rsidTr="006315D0">
        <w:tc>
          <w:tcPr>
            <w:tcW w:w="993" w:type="dxa"/>
          </w:tcPr>
          <w:p w:rsidR="00724839" w:rsidRDefault="00724839" w:rsidP="006315D0">
            <w:pPr>
              <w:pStyle w:val="Caption"/>
            </w:pPr>
            <w:r>
              <w:t>2.3</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Amend the Monash Planning Scheme to allow residential hotels as a permissible use within the Monash Technology Precinct to support business accommodation and conference activities that serve the employment areas.</w:t>
            </w:r>
          </w:p>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VPA</w:t>
            </w:r>
          </w:p>
        </w:tc>
      </w:tr>
      <w:tr w:rsidR="00480F1D" w:rsidTr="006315D0">
        <w:tc>
          <w:tcPr>
            <w:tcW w:w="993" w:type="dxa"/>
          </w:tcPr>
          <w:p w:rsidR="00724839" w:rsidRDefault="00724839" w:rsidP="006315D0">
            <w:pPr>
              <w:pStyle w:val="Caption"/>
            </w:pPr>
            <w:r>
              <w:t>2.4</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 xml:space="preserve">Review the Urban Design Guidelines for the Monash Technology Precinct to support higher density employment and development of a 21st century business park environment. </w:t>
            </w:r>
          </w:p>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MCC</w:t>
            </w:r>
          </w:p>
        </w:tc>
      </w:tr>
      <w:tr w:rsidR="00480F1D" w:rsidTr="006315D0">
        <w:tc>
          <w:tcPr>
            <w:tcW w:w="993" w:type="dxa"/>
          </w:tcPr>
          <w:p w:rsidR="00724839" w:rsidRDefault="00724839" w:rsidP="006315D0">
            <w:pPr>
              <w:pStyle w:val="Caption"/>
            </w:pPr>
            <w:r>
              <w:t>2.5</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Advocate for the rollout of high performance broadband to business and employment areas.</w:t>
            </w:r>
          </w:p>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DEDJTR</w:t>
            </w:r>
          </w:p>
        </w:tc>
      </w:tr>
      <w:tr w:rsidR="00480F1D" w:rsidTr="006315D0">
        <w:tc>
          <w:tcPr>
            <w:tcW w:w="993" w:type="dxa"/>
          </w:tcPr>
          <w:p w:rsidR="00724839" w:rsidRDefault="00724839" w:rsidP="006315D0">
            <w:pPr>
              <w:pStyle w:val="Caption"/>
            </w:pPr>
            <w:r>
              <w:t>2.6</w:t>
            </w:r>
          </w:p>
        </w:tc>
        <w:tc>
          <w:tcPr>
            <w:tcW w:w="4677" w:type="dxa"/>
          </w:tcPr>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r w:rsidRPr="00724839">
              <w:rPr>
                <w:rStyle w:val="guidelinenumbering"/>
                <w:rFonts w:ascii="Arial" w:hAnsi="Arial" w:cs="Arial"/>
                <w:b w:val="0"/>
                <w:bCs w:val="0"/>
                <w:color w:val="auto"/>
                <w:spacing w:val="3"/>
                <w:w w:val="105"/>
                <w:sz w:val="18"/>
                <w:szCs w:val="18"/>
              </w:rPr>
              <w:t>Plan a network of vibrant activity centres that provide a range of services and facilities to support local living with good sustainable transport links. Refer to Strategic Outcome 5 for further detail.</w:t>
            </w:r>
          </w:p>
          <w:p w:rsidR="00724839" w:rsidRPr="00724839" w:rsidRDefault="00724839" w:rsidP="00724839">
            <w:pPr>
              <w:pStyle w:val="NoParagraphStyle"/>
              <w:spacing w:before="170"/>
              <w:rPr>
                <w:rStyle w:val="guidelinenumbering"/>
                <w:rFonts w:ascii="Arial" w:hAnsi="Arial" w:cs="Arial"/>
                <w:b w:val="0"/>
                <w:bCs w:val="0"/>
                <w:color w:val="auto"/>
                <w:spacing w:val="3"/>
                <w:w w:val="105"/>
                <w:sz w:val="18"/>
                <w:szCs w:val="18"/>
              </w:rPr>
            </w:pPr>
          </w:p>
        </w:tc>
        <w:tc>
          <w:tcPr>
            <w:tcW w:w="1418" w:type="dxa"/>
          </w:tcPr>
          <w:p w:rsidR="00724839" w:rsidRPr="00724839" w:rsidRDefault="00724839"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r>
              <w:rPr>
                <w:rStyle w:val="guidelinenumbering"/>
                <w:rFonts w:ascii="Arial" w:hAnsi="Arial" w:cs="Arial"/>
                <w:b w:val="0"/>
                <w:color w:val="auto"/>
                <w:spacing w:val="3"/>
                <w:w w:val="105"/>
                <w:sz w:val="18"/>
                <w:szCs w:val="18"/>
              </w:rPr>
              <w:t xml:space="preserve"> - Medium</w:t>
            </w:r>
          </w:p>
        </w:tc>
        <w:tc>
          <w:tcPr>
            <w:tcW w:w="1694" w:type="dxa"/>
          </w:tcPr>
          <w:p w:rsidR="00724839" w:rsidRPr="00724839" w:rsidRDefault="00724839"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VPA</w:t>
            </w:r>
            <w:r>
              <w:rPr>
                <w:rStyle w:val="guidelinenumbering"/>
                <w:rFonts w:ascii="Arial" w:hAnsi="Arial" w:cs="Arial"/>
                <w:b w:val="0"/>
                <w:color w:val="auto"/>
                <w:spacing w:val="3"/>
                <w:w w:val="105"/>
                <w:sz w:val="18"/>
                <w:szCs w:val="18"/>
              </w:rPr>
              <w:br/>
              <w:t>MCC</w:t>
            </w:r>
            <w:r>
              <w:rPr>
                <w:rStyle w:val="guidelinenumbering"/>
                <w:rFonts w:ascii="Arial" w:hAnsi="Arial" w:cs="Arial"/>
                <w:b w:val="0"/>
                <w:color w:val="auto"/>
                <w:spacing w:val="3"/>
                <w:w w:val="105"/>
                <w:sz w:val="18"/>
                <w:szCs w:val="18"/>
              </w:rPr>
              <w:br/>
              <w:t>KCC</w:t>
            </w:r>
            <w:r>
              <w:rPr>
                <w:rStyle w:val="guidelinenumbering"/>
                <w:rFonts w:ascii="Arial" w:hAnsi="Arial" w:cs="Arial"/>
                <w:b w:val="0"/>
                <w:color w:val="auto"/>
                <w:spacing w:val="3"/>
                <w:w w:val="105"/>
                <w:sz w:val="18"/>
                <w:szCs w:val="18"/>
              </w:rPr>
              <w:br/>
              <w:t>GDCC</w:t>
            </w:r>
            <w:r>
              <w:rPr>
                <w:rStyle w:val="guidelinenumbering"/>
                <w:rFonts w:ascii="Arial" w:hAnsi="Arial" w:cs="Arial"/>
                <w:b w:val="0"/>
                <w:color w:val="auto"/>
                <w:spacing w:val="3"/>
                <w:w w:val="105"/>
                <w:sz w:val="18"/>
                <w:szCs w:val="18"/>
              </w:rPr>
              <w:br/>
            </w:r>
          </w:p>
        </w:tc>
      </w:tr>
    </w:tbl>
    <w:p w:rsidR="00AC6C61" w:rsidRDefault="00AC6C61" w:rsidP="000F4148">
      <w:pPr>
        <w:pStyle w:val="NoParagraphStyle"/>
        <w:rPr>
          <w:rStyle w:val="guidelinenumbering"/>
          <w:rFonts w:ascii="Arial" w:hAnsi="Arial" w:cs="Arial"/>
          <w:color w:val="auto"/>
          <w:sz w:val="18"/>
          <w:szCs w:val="18"/>
        </w:rPr>
      </w:pPr>
      <w:r>
        <w:rPr>
          <w:rStyle w:val="guidelinenumbering"/>
          <w:rFonts w:ascii="Arial" w:hAnsi="Arial" w:cs="Arial"/>
          <w:color w:val="auto"/>
          <w:sz w:val="18"/>
          <w:szCs w:val="18"/>
        </w:rPr>
        <w:br w:type="page"/>
      </w:r>
    </w:p>
    <w:p w:rsidR="000F4148" w:rsidRPr="002C2012" w:rsidRDefault="000F4148" w:rsidP="000F4148">
      <w:pPr>
        <w:pStyle w:val="NoParagraphStyle"/>
        <w:rPr>
          <w:rFonts w:ascii="Arial" w:hAnsi="Arial" w:cs="Arial"/>
          <w:color w:val="auto"/>
          <w:sz w:val="18"/>
          <w:szCs w:val="18"/>
        </w:rPr>
      </w:pPr>
      <w:bookmarkStart w:id="12" w:name="_Toc477870542"/>
      <w:r w:rsidRPr="000F4148">
        <w:rPr>
          <w:rStyle w:val="guidelinenumbering"/>
          <w:rFonts w:ascii="Arial" w:hAnsi="Arial" w:cs="Arial"/>
          <w:color w:val="auto"/>
          <w:sz w:val="18"/>
          <w:szCs w:val="18"/>
        </w:rPr>
        <w:lastRenderedPageBreak/>
        <w:t xml:space="preserve">Figure </w:t>
      </w:r>
      <w:r w:rsidRPr="000F4148">
        <w:rPr>
          <w:rStyle w:val="guidelinenumbering"/>
          <w:rFonts w:ascii="Arial" w:hAnsi="Arial" w:cs="Arial"/>
          <w:color w:val="auto"/>
          <w:sz w:val="18"/>
          <w:szCs w:val="18"/>
        </w:rPr>
        <w:fldChar w:fldCharType="begin"/>
      </w:r>
      <w:r w:rsidRPr="000F4148">
        <w:rPr>
          <w:rStyle w:val="guidelinenumbering"/>
          <w:rFonts w:ascii="Arial" w:hAnsi="Arial" w:cs="Arial"/>
          <w:color w:val="auto"/>
          <w:sz w:val="18"/>
          <w:szCs w:val="18"/>
        </w:rPr>
        <w:instrText xml:space="preserve"> SEQ Figure \* ARABIC </w:instrText>
      </w:r>
      <w:r w:rsidRPr="000F4148">
        <w:rPr>
          <w:rStyle w:val="guidelinenumbering"/>
          <w:rFonts w:ascii="Arial" w:hAnsi="Arial" w:cs="Arial"/>
          <w:color w:val="auto"/>
          <w:sz w:val="18"/>
          <w:szCs w:val="18"/>
        </w:rPr>
        <w:fldChar w:fldCharType="separate"/>
      </w:r>
      <w:r w:rsidR="001C633A">
        <w:rPr>
          <w:rStyle w:val="guidelinenumbering"/>
          <w:rFonts w:ascii="Arial" w:hAnsi="Arial" w:cs="Arial"/>
          <w:noProof/>
          <w:color w:val="auto"/>
          <w:sz w:val="18"/>
          <w:szCs w:val="18"/>
        </w:rPr>
        <w:t>4</w:t>
      </w:r>
      <w:r w:rsidRPr="000F4148">
        <w:rPr>
          <w:rStyle w:val="guidelinenumbering"/>
          <w:rFonts w:ascii="Arial" w:hAnsi="Arial" w:cs="Arial"/>
          <w:color w:val="auto"/>
          <w:sz w:val="18"/>
          <w:szCs w:val="18"/>
        </w:rPr>
        <w:fldChar w:fldCharType="end"/>
      </w:r>
      <w:r>
        <w:t xml:space="preserve">  </w:t>
      </w:r>
      <w:r w:rsidRPr="00E20B5B">
        <w:rPr>
          <w:rStyle w:val="guidelinenumbering"/>
          <w:rFonts w:ascii="Arial" w:hAnsi="Arial" w:cs="Arial"/>
          <w:b w:val="0"/>
          <w:bCs w:val="0"/>
          <w:color w:val="auto"/>
          <w:sz w:val="18"/>
          <w:szCs w:val="18"/>
        </w:rPr>
        <w:t>Employment Areas Plan</w:t>
      </w:r>
      <w:bookmarkEnd w:id="12"/>
    </w:p>
    <w:p w:rsidR="000F4148" w:rsidRDefault="000F4148" w:rsidP="000F4148">
      <w:pPr>
        <w:pStyle w:val="Caption"/>
      </w:pPr>
    </w:p>
    <w:p w:rsidR="00E20B5B" w:rsidRDefault="00AE582F" w:rsidP="00987CB7">
      <w:r>
        <w:rPr>
          <w:noProof/>
        </w:rPr>
        <w:drawing>
          <wp:inline distT="0" distB="0" distL="0" distR="0" wp14:anchorId="3EBBEA92" wp14:editId="3CC8ACC0">
            <wp:extent cx="5396230" cy="5862320"/>
            <wp:effectExtent l="0" t="0" r="0" b="5080"/>
            <wp:docPr id="17" name="Picture 17" descr="This map shows the actions outlined within Strategic Outcome 2" title="Employment Areas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6230" cy="5862320"/>
                    </a:xfrm>
                    <a:prstGeom prst="rect">
                      <a:avLst/>
                    </a:prstGeom>
                  </pic:spPr>
                </pic:pic>
              </a:graphicData>
            </a:graphic>
          </wp:inline>
        </w:drawing>
      </w:r>
    </w:p>
    <w:p w:rsidR="00E20B5B" w:rsidRPr="00C04134" w:rsidRDefault="00E20B5B" w:rsidP="006315D0">
      <w:pPr>
        <w:pStyle w:val="Heading1nonumbers"/>
        <w:rPr>
          <w:rStyle w:val="guidelinenumbering"/>
          <w:rFonts w:cs="Arial"/>
          <w:b w:val="0"/>
          <w:bCs w:val="0"/>
          <w:color w:val="auto"/>
          <w:spacing w:val="3"/>
          <w:w w:val="105"/>
          <w:sz w:val="32"/>
          <w:szCs w:val="18"/>
        </w:rPr>
      </w:pPr>
      <w:bookmarkStart w:id="13" w:name="_Toc477870455"/>
      <w:r>
        <w:rPr>
          <w:rStyle w:val="guidelinenumbering"/>
          <w:rFonts w:cs="Arial"/>
          <w:b w:val="0"/>
          <w:bCs w:val="0"/>
          <w:color w:val="auto"/>
          <w:spacing w:val="3"/>
          <w:w w:val="105"/>
          <w:sz w:val="32"/>
          <w:szCs w:val="18"/>
        </w:rPr>
        <w:lastRenderedPageBreak/>
        <w:t>Strategic Outcome 3: transform the transport network to support economic growth of the cluster</w:t>
      </w:r>
      <w:bookmarkEnd w:id="13"/>
    </w:p>
    <w:p w:rsidR="00E20B5B" w:rsidRPr="00E20B5B" w:rsidRDefault="00E20B5B" w:rsidP="00E20B5B">
      <w:pPr>
        <w:pStyle w:val="NoParagraphStyle"/>
        <w:suppressAutoHyphens/>
        <w:spacing w:before="170"/>
        <w:rPr>
          <w:rStyle w:val="guidelinenumbering"/>
          <w:rFonts w:ascii="Arial" w:hAnsi="Arial" w:cs="Arial"/>
          <w:b w:val="0"/>
          <w:bCs w:val="0"/>
          <w:color w:val="auto"/>
          <w:w w:val="105"/>
          <w:sz w:val="18"/>
          <w:szCs w:val="18"/>
        </w:rPr>
      </w:pPr>
      <w:r w:rsidRPr="00E20B5B">
        <w:rPr>
          <w:rStyle w:val="guidelinenumbering"/>
          <w:rFonts w:ascii="Arial" w:hAnsi="Arial" w:cs="Arial"/>
          <w:b w:val="0"/>
          <w:bCs w:val="0"/>
          <w:color w:val="auto"/>
          <w:w w:val="105"/>
          <w:sz w:val="18"/>
          <w:szCs w:val="18"/>
        </w:rPr>
        <w:t>Good transport connections to and within the Monash Cluster are critical to its success. The precinct will require a substantial shift to more walking, cycling and public transport patronage to alleviate congestion, promote commercial activity and ensure the cluster is a destination of international standing. Congestion impacts productivity and detracts from a precinct’s ability to attract employment.</w:t>
      </w:r>
    </w:p>
    <w:p w:rsidR="00E20B5B" w:rsidRPr="00E20B5B" w:rsidRDefault="00E20B5B" w:rsidP="00E20B5B">
      <w:pPr>
        <w:pStyle w:val="NoParagraphStyle"/>
        <w:suppressAutoHyphens/>
        <w:spacing w:before="170"/>
        <w:rPr>
          <w:rStyle w:val="guidelinenumbering"/>
          <w:rFonts w:ascii="Arial" w:hAnsi="Arial" w:cs="Arial"/>
          <w:b w:val="0"/>
          <w:bCs w:val="0"/>
          <w:color w:val="auto"/>
          <w:w w:val="105"/>
          <w:sz w:val="18"/>
          <w:szCs w:val="18"/>
        </w:rPr>
      </w:pPr>
      <w:r w:rsidRPr="00E20B5B">
        <w:rPr>
          <w:rStyle w:val="guidelinenumbering"/>
          <w:rFonts w:ascii="Arial" w:hAnsi="Arial" w:cs="Arial"/>
          <w:b w:val="0"/>
          <w:bCs w:val="0"/>
          <w:color w:val="auto"/>
          <w:w w:val="105"/>
          <w:sz w:val="18"/>
          <w:szCs w:val="18"/>
        </w:rPr>
        <w:t>With a place making role and a focus on the 10km radius of connectivity, the transport vision for the cluster and other clusters in metropolitan Melbourne will form an overlapping network within the polycentric city.</w:t>
      </w:r>
    </w:p>
    <w:p w:rsidR="00E20B5B" w:rsidRDefault="00E20B5B" w:rsidP="00E20B5B">
      <w:pPr>
        <w:rPr>
          <w:rStyle w:val="guidelinenumbering"/>
          <w:rFonts w:ascii="Arial" w:hAnsi="Arial" w:cs="Arial"/>
          <w:b w:val="0"/>
          <w:bCs w:val="0"/>
          <w:color w:val="auto"/>
          <w:w w:val="105"/>
          <w:sz w:val="18"/>
          <w:szCs w:val="18"/>
          <w:lang w:val="en-GB"/>
        </w:rPr>
      </w:pPr>
      <w:r w:rsidRPr="00E20B5B">
        <w:rPr>
          <w:rStyle w:val="guidelinenumbering"/>
          <w:rFonts w:ascii="Arial" w:hAnsi="Arial" w:cs="Arial"/>
          <w:b w:val="0"/>
          <w:bCs w:val="0"/>
          <w:color w:val="auto"/>
          <w:w w:val="105"/>
          <w:sz w:val="18"/>
          <w:szCs w:val="18"/>
          <w:lang w:val="en-GB"/>
        </w:rPr>
        <w:t>A regular mile grid and network of north-south and east-west arterial roads, the Cranbourne Pakenham railway line as well as shuttle and Smart Bus routes in the cluster offer an excellent foundation on which to overlay more convenient connections and new transport modes. A range of significant infrastructure projects complemented by small scale interventions will be required to ensure that the economic performance of the area does not decline.</w:t>
      </w:r>
    </w:p>
    <w:tbl>
      <w:tblPr>
        <w:tblStyle w:val="TableGrid"/>
        <w:tblW w:w="0" w:type="auto"/>
        <w:tblLook w:val="04A0" w:firstRow="1" w:lastRow="0" w:firstColumn="1" w:lastColumn="0" w:noHBand="0" w:noVBand="1"/>
        <w:tblCaption w:val="Startegic Outcome 3 - Actions "/>
        <w:tblDescription w:val="1. Plan for a range of high-frequency and high-capacity public transport solutions to be developed in the short to long term, including:&#10;a)  Investigate high-capacity public transport options to serve Monash University as well as the associated health, education and research institutions, and the Monash Technology Precinct;&#10;b)  Boost bus services along key arterial roads and connect major destinations (employment areas, activity centres and residential areas); &#10;c)  Prioritise links between key employment, retail and residential areas with the broader rail network; and&#10;d)  High-quality modal interchanges at railway stations and key destinations. Short-Long term, responsibility TfV and VPA&#10;2. Accelerate the Westall Road preferred freight route connection to Monash Freeway, ensuring adequate levels of access in order to support the growth of local jobs. Short term, responsibility VicRoads&#10;3. Develop a high quality walking and cycling network to achieve the following: &#10;a)  Connect high demand destinations; &#10;b)  Recreational and commuter routes including continuous Cranbourne-Pakenham railway line shared path and along arterial routes connecting to the broader region; and&#10;c)  Expanding the local bike share scheme from Monash University to the surrounding areas to enable efficient and low-cost movement between key destinations. Short-Medium term, responsibility TfV, MCC, KCC and GDCC&#10;"/>
      </w:tblPr>
      <w:tblGrid>
        <w:gridCol w:w="958"/>
        <w:gridCol w:w="4472"/>
        <w:gridCol w:w="1403"/>
        <w:gridCol w:w="1665"/>
      </w:tblGrid>
      <w:tr w:rsidR="00E20B5B" w:rsidTr="00E20B5B">
        <w:tc>
          <w:tcPr>
            <w:tcW w:w="958" w:type="dxa"/>
          </w:tcPr>
          <w:p w:rsidR="00E20B5B" w:rsidRDefault="00E20B5B" w:rsidP="006315D0">
            <w:pPr>
              <w:pStyle w:val="Caption"/>
            </w:pPr>
          </w:p>
        </w:tc>
        <w:tc>
          <w:tcPr>
            <w:tcW w:w="4472" w:type="dxa"/>
          </w:tcPr>
          <w:p w:rsidR="00E20B5B" w:rsidRDefault="00E20B5B" w:rsidP="006315D0">
            <w:pPr>
              <w:pStyle w:val="Caption"/>
            </w:pPr>
            <w:r>
              <w:t>Actions</w:t>
            </w:r>
          </w:p>
        </w:tc>
        <w:tc>
          <w:tcPr>
            <w:tcW w:w="1403" w:type="dxa"/>
          </w:tcPr>
          <w:p w:rsidR="00E20B5B" w:rsidRDefault="00E20B5B" w:rsidP="006315D0">
            <w:pPr>
              <w:pStyle w:val="Caption"/>
            </w:pPr>
            <w:r>
              <w:t>Time frame</w:t>
            </w:r>
          </w:p>
        </w:tc>
        <w:tc>
          <w:tcPr>
            <w:tcW w:w="1665" w:type="dxa"/>
          </w:tcPr>
          <w:p w:rsidR="00E20B5B" w:rsidRDefault="00E20B5B" w:rsidP="006315D0">
            <w:pPr>
              <w:pStyle w:val="Caption"/>
            </w:pPr>
            <w:r>
              <w:t>Lead agencies</w:t>
            </w:r>
          </w:p>
        </w:tc>
      </w:tr>
      <w:tr w:rsidR="00E20B5B" w:rsidTr="00E20B5B">
        <w:tc>
          <w:tcPr>
            <w:tcW w:w="958" w:type="dxa"/>
          </w:tcPr>
          <w:p w:rsidR="00E20B5B" w:rsidRDefault="00E20B5B" w:rsidP="006315D0">
            <w:pPr>
              <w:pStyle w:val="Caption"/>
            </w:pPr>
            <w:r>
              <w:t>3.1</w:t>
            </w:r>
          </w:p>
        </w:tc>
        <w:tc>
          <w:tcPr>
            <w:tcW w:w="4472" w:type="dxa"/>
          </w:tcPr>
          <w:p w:rsidR="00E20B5B" w:rsidRPr="00E20B5B" w:rsidRDefault="00E20B5B" w:rsidP="00E20B5B">
            <w:pPr>
              <w:pStyle w:val="NoParagraphStyle"/>
              <w:spacing w:before="170"/>
              <w:rPr>
                <w:rStyle w:val="guidelinenumbering"/>
                <w:rFonts w:ascii="Arial" w:hAnsi="Arial" w:cs="Arial"/>
                <w:b w:val="0"/>
                <w:bCs w:val="0"/>
                <w:color w:val="auto"/>
                <w:spacing w:val="3"/>
                <w:w w:val="105"/>
                <w:sz w:val="18"/>
                <w:szCs w:val="18"/>
              </w:rPr>
            </w:pPr>
            <w:r w:rsidRPr="00E20B5B">
              <w:rPr>
                <w:rStyle w:val="guidelinenumbering"/>
                <w:rFonts w:ascii="Arial" w:hAnsi="Arial" w:cs="Arial"/>
                <w:b w:val="0"/>
                <w:bCs w:val="0"/>
                <w:color w:val="auto"/>
                <w:spacing w:val="3"/>
                <w:w w:val="105"/>
                <w:sz w:val="18"/>
                <w:szCs w:val="18"/>
              </w:rPr>
              <w:t>Plan for a range of high-frequency and high-capacity public transport solutions to be developed in the short to long term, including:</w:t>
            </w:r>
          </w:p>
          <w:p w:rsidR="00E20B5B" w:rsidRPr="00E20B5B" w:rsidRDefault="00E20B5B" w:rsidP="00E20B5B">
            <w:pPr>
              <w:pStyle w:val="NoParagraphStyle"/>
              <w:tabs>
                <w:tab w:val="left" w:pos="0"/>
                <w:tab w:val="left" w:pos="1320"/>
                <w:tab w:val="left" w:pos="2320"/>
              </w:tabs>
              <w:spacing w:before="113"/>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a)</w:t>
            </w:r>
            <w:r w:rsidRPr="00E20B5B">
              <w:rPr>
                <w:rStyle w:val="guidelinenumbering"/>
                <w:rFonts w:ascii="Arial" w:hAnsi="Arial" w:cs="Arial"/>
                <w:b w:val="0"/>
                <w:bCs w:val="0"/>
                <w:color w:val="auto"/>
                <w:spacing w:val="3"/>
                <w:w w:val="105"/>
                <w:sz w:val="18"/>
                <w:szCs w:val="18"/>
              </w:rPr>
              <w:t xml:space="preserve">  Investigate high-capacity public transport options to serve Monash University as well as the associated health, education and research institutions, and the Monash Technology Precinct</w:t>
            </w:r>
            <w:r w:rsidR="00214090">
              <w:rPr>
                <w:rStyle w:val="guidelinenumbering"/>
                <w:rFonts w:ascii="Arial" w:hAnsi="Arial" w:cs="Arial"/>
                <w:b w:val="0"/>
                <w:bCs w:val="0"/>
                <w:color w:val="auto"/>
                <w:spacing w:val="3"/>
                <w:w w:val="105"/>
                <w:sz w:val="18"/>
                <w:szCs w:val="18"/>
              </w:rPr>
              <w:t>;</w:t>
            </w:r>
          </w:p>
          <w:p w:rsidR="00E20B5B" w:rsidRPr="00E20B5B" w:rsidRDefault="00E20B5B" w:rsidP="00E20B5B">
            <w:pPr>
              <w:pStyle w:val="NoParagraphStyle"/>
              <w:tabs>
                <w:tab w:val="left" w:pos="0"/>
                <w:tab w:val="left" w:pos="1320"/>
                <w:tab w:val="left" w:pos="2320"/>
              </w:tabs>
              <w:spacing w:before="113"/>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b)</w:t>
            </w:r>
            <w:r w:rsidRPr="00E20B5B">
              <w:rPr>
                <w:rStyle w:val="guidelinenumbering"/>
                <w:rFonts w:ascii="Arial" w:hAnsi="Arial" w:cs="Arial"/>
                <w:b w:val="0"/>
                <w:bCs w:val="0"/>
                <w:color w:val="auto"/>
                <w:spacing w:val="3"/>
                <w:w w:val="105"/>
                <w:sz w:val="18"/>
                <w:szCs w:val="18"/>
              </w:rPr>
              <w:t xml:space="preserve">  Boost bus services along key arterial roads and connect major destinations (employment areas, activity centres and residential areas); </w:t>
            </w:r>
          </w:p>
          <w:p w:rsidR="00E20B5B" w:rsidRPr="00E20B5B" w:rsidRDefault="00E20B5B" w:rsidP="00E20B5B">
            <w:pPr>
              <w:pStyle w:val="NoParagraphStyle"/>
              <w:tabs>
                <w:tab w:val="left" w:pos="0"/>
                <w:tab w:val="left" w:pos="1320"/>
                <w:tab w:val="left" w:pos="2320"/>
              </w:tabs>
              <w:spacing w:before="113"/>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c)</w:t>
            </w:r>
            <w:r w:rsidRPr="00E20B5B">
              <w:rPr>
                <w:rStyle w:val="guidelinenumbering"/>
                <w:rFonts w:ascii="Arial" w:hAnsi="Arial" w:cs="Arial"/>
                <w:b w:val="0"/>
                <w:bCs w:val="0"/>
                <w:color w:val="auto"/>
                <w:spacing w:val="3"/>
                <w:w w:val="105"/>
                <w:sz w:val="18"/>
                <w:szCs w:val="18"/>
              </w:rPr>
              <w:t xml:space="preserve">  Prioritise links between key employment, retail and residential areas with the broader rail network; and</w:t>
            </w:r>
          </w:p>
          <w:p w:rsidR="00E20B5B" w:rsidRPr="00724839" w:rsidRDefault="00E20B5B" w:rsidP="00E20B5B">
            <w:pPr>
              <w:pStyle w:val="NoParagraphStyle"/>
              <w:spacing w:before="170"/>
              <w:rPr>
                <w:rFonts w:ascii="Arial" w:hAnsi="Arial" w:cs="Arial"/>
                <w:color w:val="auto"/>
                <w:spacing w:val="4"/>
                <w:w w:val="105"/>
                <w:sz w:val="18"/>
                <w:szCs w:val="18"/>
              </w:rPr>
            </w:pPr>
            <w:r w:rsidRPr="00E20B5B">
              <w:rPr>
                <w:rStyle w:val="guidelinenumbering"/>
                <w:rFonts w:ascii="Arial" w:hAnsi="Arial" w:cs="Arial"/>
                <w:color w:val="auto"/>
                <w:spacing w:val="3"/>
                <w:w w:val="105"/>
                <w:sz w:val="18"/>
                <w:szCs w:val="18"/>
              </w:rPr>
              <w:t>d)</w:t>
            </w:r>
            <w:r w:rsidRPr="00E20B5B">
              <w:rPr>
                <w:rStyle w:val="guidelinenumbering"/>
                <w:rFonts w:ascii="Arial" w:hAnsi="Arial" w:cs="Arial"/>
                <w:b w:val="0"/>
                <w:bCs w:val="0"/>
                <w:color w:val="auto"/>
                <w:spacing w:val="3"/>
                <w:w w:val="105"/>
                <w:sz w:val="18"/>
                <w:szCs w:val="18"/>
              </w:rPr>
              <w:t xml:space="preserve">  High-quality modal interchanges at railway stations and key destinations</w:t>
            </w:r>
            <w:r w:rsidR="00214090">
              <w:rPr>
                <w:rStyle w:val="guidelinenumbering"/>
                <w:rFonts w:ascii="Arial" w:hAnsi="Arial" w:cs="Arial"/>
                <w:b w:val="0"/>
                <w:bCs w:val="0"/>
                <w:color w:val="auto"/>
                <w:spacing w:val="3"/>
                <w:w w:val="105"/>
                <w:sz w:val="18"/>
                <w:szCs w:val="18"/>
              </w:rPr>
              <w:t>.</w:t>
            </w:r>
          </w:p>
        </w:tc>
        <w:tc>
          <w:tcPr>
            <w:tcW w:w="1403" w:type="dxa"/>
          </w:tcPr>
          <w:p w:rsidR="00E20B5B" w:rsidRPr="00724839" w:rsidRDefault="00E20B5B"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r>
              <w:rPr>
                <w:rStyle w:val="guidelinenumbering"/>
                <w:rFonts w:ascii="Arial" w:hAnsi="Arial" w:cs="Arial"/>
                <w:b w:val="0"/>
                <w:color w:val="auto"/>
                <w:spacing w:val="3"/>
                <w:w w:val="105"/>
                <w:sz w:val="18"/>
                <w:szCs w:val="18"/>
              </w:rPr>
              <w:t>-</w:t>
            </w:r>
            <w:r>
              <w:rPr>
                <w:rStyle w:val="guidelinenumbering"/>
                <w:rFonts w:ascii="Arial" w:hAnsi="Arial" w:cs="Arial"/>
                <w:b w:val="0"/>
                <w:color w:val="auto"/>
                <w:spacing w:val="3"/>
                <w:w w:val="105"/>
                <w:sz w:val="18"/>
                <w:szCs w:val="18"/>
              </w:rPr>
              <w:br/>
              <w:t>Long</w:t>
            </w:r>
          </w:p>
        </w:tc>
        <w:tc>
          <w:tcPr>
            <w:tcW w:w="1665" w:type="dxa"/>
          </w:tcPr>
          <w:p w:rsidR="00E20B5B" w:rsidRPr="00724839" w:rsidRDefault="00E20B5B"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TfV</w:t>
            </w:r>
            <w:r>
              <w:rPr>
                <w:rStyle w:val="guidelinenumbering"/>
                <w:rFonts w:ascii="Arial" w:hAnsi="Arial" w:cs="Arial"/>
                <w:b w:val="0"/>
                <w:color w:val="auto"/>
                <w:spacing w:val="3"/>
                <w:w w:val="105"/>
                <w:sz w:val="18"/>
                <w:szCs w:val="18"/>
              </w:rPr>
              <w:br/>
              <w:t>VPA</w:t>
            </w:r>
          </w:p>
        </w:tc>
      </w:tr>
      <w:tr w:rsidR="00E20B5B" w:rsidTr="00E20B5B">
        <w:tc>
          <w:tcPr>
            <w:tcW w:w="958" w:type="dxa"/>
          </w:tcPr>
          <w:p w:rsidR="00E20B5B" w:rsidRDefault="00E20B5B" w:rsidP="006315D0">
            <w:pPr>
              <w:pStyle w:val="Caption"/>
            </w:pPr>
            <w:r>
              <w:t>3.2</w:t>
            </w:r>
          </w:p>
        </w:tc>
        <w:tc>
          <w:tcPr>
            <w:tcW w:w="4472" w:type="dxa"/>
          </w:tcPr>
          <w:p w:rsidR="00E20B5B" w:rsidRPr="00724839" w:rsidRDefault="00E20B5B" w:rsidP="006315D0">
            <w:pPr>
              <w:pStyle w:val="NoParagraphStyle"/>
              <w:spacing w:before="170"/>
              <w:rPr>
                <w:rFonts w:ascii="Arial" w:hAnsi="Arial" w:cs="Arial"/>
                <w:color w:val="auto"/>
                <w:spacing w:val="3"/>
                <w:w w:val="105"/>
                <w:sz w:val="18"/>
                <w:szCs w:val="18"/>
              </w:rPr>
            </w:pPr>
            <w:r w:rsidRPr="00E20B5B">
              <w:rPr>
                <w:rStyle w:val="guidelinenumbering"/>
                <w:rFonts w:ascii="Arial" w:hAnsi="Arial" w:cs="Arial"/>
                <w:b w:val="0"/>
                <w:bCs w:val="0"/>
                <w:color w:val="auto"/>
                <w:spacing w:val="3"/>
                <w:w w:val="105"/>
                <w:sz w:val="18"/>
                <w:szCs w:val="18"/>
              </w:rPr>
              <w:t>Accelerate the Westall Road preferred freight route connection to Monash Freeway, ensuring adequate levels of access in order to support the growth of local jobs.</w:t>
            </w:r>
          </w:p>
        </w:tc>
        <w:tc>
          <w:tcPr>
            <w:tcW w:w="1403" w:type="dxa"/>
          </w:tcPr>
          <w:p w:rsidR="00E20B5B" w:rsidRPr="00724839" w:rsidRDefault="00E20B5B"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65" w:type="dxa"/>
          </w:tcPr>
          <w:p w:rsidR="00E20B5B" w:rsidRPr="00724839" w:rsidRDefault="00E20B5B"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VicRoads</w:t>
            </w:r>
          </w:p>
        </w:tc>
      </w:tr>
      <w:tr w:rsidR="00E20B5B" w:rsidTr="00E20B5B">
        <w:tc>
          <w:tcPr>
            <w:tcW w:w="958" w:type="dxa"/>
          </w:tcPr>
          <w:p w:rsidR="00E20B5B" w:rsidRDefault="00E20B5B" w:rsidP="006315D0">
            <w:pPr>
              <w:pStyle w:val="Caption"/>
            </w:pPr>
            <w:r>
              <w:t>3.3</w:t>
            </w:r>
          </w:p>
        </w:tc>
        <w:tc>
          <w:tcPr>
            <w:tcW w:w="4472" w:type="dxa"/>
          </w:tcPr>
          <w:p w:rsidR="00E20B5B" w:rsidRPr="00E20B5B" w:rsidRDefault="00E20B5B" w:rsidP="00E20B5B">
            <w:pPr>
              <w:pStyle w:val="NoParagraphStyle"/>
              <w:spacing w:before="170"/>
              <w:rPr>
                <w:rStyle w:val="guidelinenumbering"/>
                <w:rFonts w:ascii="Arial" w:hAnsi="Arial" w:cs="Arial"/>
                <w:b w:val="0"/>
                <w:bCs w:val="0"/>
                <w:color w:val="auto"/>
                <w:spacing w:val="3"/>
                <w:w w:val="105"/>
                <w:sz w:val="18"/>
                <w:szCs w:val="18"/>
              </w:rPr>
            </w:pPr>
            <w:r w:rsidRPr="00E20B5B">
              <w:rPr>
                <w:rStyle w:val="guidelinenumbering"/>
                <w:rFonts w:ascii="Arial" w:hAnsi="Arial" w:cs="Arial"/>
                <w:b w:val="0"/>
                <w:bCs w:val="0"/>
                <w:color w:val="auto"/>
                <w:spacing w:val="3"/>
                <w:w w:val="105"/>
                <w:sz w:val="18"/>
                <w:szCs w:val="18"/>
              </w:rPr>
              <w:t xml:space="preserve">Develop a high quality walking and cycling network to achieve the following: </w:t>
            </w:r>
          </w:p>
          <w:p w:rsidR="00E20B5B" w:rsidRPr="00E20B5B" w:rsidRDefault="00E20B5B" w:rsidP="00E20B5B">
            <w:pPr>
              <w:pStyle w:val="NoParagraphStyle"/>
              <w:tabs>
                <w:tab w:val="left" w:pos="0"/>
                <w:tab w:val="left" w:pos="1320"/>
                <w:tab w:val="left" w:pos="2320"/>
              </w:tabs>
              <w:spacing w:before="113"/>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a)</w:t>
            </w:r>
            <w:r w:rsidRPr="00E20B5B">
              <w:rPr>
                <w:rStyle w:val="guidelinenumbering"/>
                <w:rFonts w:ascii="Arial" w:hAnsi="Arial" w:cs="Arial"/>
                <w:b w:val="0"/>
                <w:bCs w:val="0"/>
                <w:color w:val="auto"/>
                <w:spacing w:val="3"/>
                <w:w w:val="105"/>
                <w:sz w:val="18"/>
                <w:szCs w:val="18"/>
              </w:rPr>
              <w:t xml:space="preserve">  Connect high demand destinations; </w:t>
            </w:r>
          </w:p>
          <w:p w:rsidR="00E20B5B" w:rsidRPr="00E20B5B" w:rsidRDefault="00E20B5B" w:rsidP="00E20B5B">
            <w:pPr>
              <w:pStyle w:val="NoParagraphStyle"/>
              <w:tabs>
                <w:tab w:val="left" w:pos="0"/>
                <w:tab w:val="left" w:pos="1320"/>
                <w:tab w:val="left" w:pos="2320"/>
              </w:tabs>
              <w:spacing w:before="113"/>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b)</w:t>
            </w:r>
            <w:r w:rsidRPr="00E20B5B">
              <w:rPr>
                <w:rStyle w:val="guidelinenumbering"/>
                <w:rFonts w:ascii="Arial" w:hAnsi="Arial" w:cs="Arial"/>
                <w:b w:val="0"/>
                <w:bCs w:val="0"/>
                <w:color w:val="auto"/>
                <w:spacing w:val="3"/>
                <w:w w:val="105"/>
                <w:sz w:val="18"/>
                <w:szCs w:val="18"/>
              </w:rPr>
              <w:t xml:space="preserve">  Recreational and commuter routes including continuous Cranbourne-Pakenham railway line shared path and along arterial routes connecting to the broader region; and</w:t>
            </w:r>
          </w:p>
          <w:p w:rsidR="00E20B5B" w:rsidRPr="00724839" w:rsidRDefault="00E20B5B" w:rsidP="00E20B5B">
            <w:pPr>
              <w:pStyle w:val="NoParagraphStyle"/>
              <w:spacing w:before="170"/>
              <w:rPr>
                <w:rStyle w:val="guidelinenumbering"/>
                <w:rFonts w:ascii="Arial" w:hAnsi="Arial" w:cs="Arial"/>
                <w:b w:val="0"/>
                <w:bCs w:val="0"/>
                <w:color w:val="auto"/>
                <w:spacing w:val="3"/>
                <w:w w:val="105"/>
                <w:sz w:val="18"/>
                <w:szCs w:val="18"/>
              </w:rPr>
            </w:pPr>
            <w:r w:rsidRPr="00E20B5B">
              <w:rPr>
                <w:rStyle w:val="guidelinenumbering"/>
                <w:rFonts w:ascii="Arial" w:hAnsi="Arial" w:cs="Arial"/>
                <w:color w:val="auto"/>
                <w:spacing w:val="3"/>
                <w:w w:val="105"/>
                <w:sz w:val="18"/>
                <w:szCs w:val="18"/>
              </w:rPr>
              <w:t>c)</w:t>
            </w:r>
            <w:r w:rsidRPr="00E20B5B">
              <w:rPr>
                <w:rStyle w:val="guidelinenumbering"/>
                <w:rFonts w:ascii="Arial" w:hAnsi="Arial" w:cs="Arial"/>
                <w:b w:val="0"/>
                <w:bCs w:val="0"/>
                <w:color w:val="auto"/>
                <w:spacing w:val="3"/>
                <w:w w:val="105"/>
                <w:sz w:val="18"/>
                <w:szCs w:val="18"/>
              </w:rPr>
              <w:t xml:space="preserve">  Expanding the local bike share scheme from Monash University to the surrounding areas to enable efficient and low-cost movement between key destinations</w:t>
            </w:r>
            <w:r w:rsidR="00214090">
              <w:rPr>
                <w:rStyle w:val="guidelinenumbering"/>
                <w:rFonts w:ascii="Arial" w:hAnsi="Arial" w:cs="Arial"/>
                <w:b w:val="0"/>
                <w:bCs w:val="0"/>
                <w:color w:val="auto"/>
                <w:spacing w:val="3"/>
                <w:w w:val="105"/>
                <w:sz w:val="18"/>
                <w:szCs w:val="18"/>
              </w:rPr>
              <w:t>.</w:t>
            </w:r>
          </w:p>
        </w:tc>
        <w:tc>
          <w:tcPr>
            <w:tcW w:w="1403" w:type="dxa"/>
          </w:tcPr>
          <w:p w:rsidR="00E20B5B" w:rsidRPr="00724839" w:rsidRDefault="00E20B5B"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r>
              <w:rPr>
                <w:rStyle w:val="guidelinenumbering"/>
                <w:rFonts w:ascii="Arial" w:hAnsi="Arial" w:cs="Arial"/>
                <w:b w:val="0"/>
                <w:color w:val="auto"/>
                <w:spacing w:val="3"/>
                <w:w w:val="105"/>
                <w:sz w:val="18"/>
                <w:szCs w:val="18"/>
              </w:rPr>
              <w:t>-</w:t>
            </w:r>
            <w:r>
              <w:rPr>
                <w:rStyle w:val="guidelinenumbering"/>
                <w:rFonts w:ascii="Arial" w:hAnsi="Arial" w:cs="Arial"/>
                <w:b w:val="0"/>
                <w:color w:val="auto"/>
                <w:spacing w:val="3"/>
                <w:w w:val="105"/>
                <w:sz w:val="18"/>
                <w:szCs w:val="18"/>
              </w:rPr>
              <w:br/>
              <w:t>Medium</w:t>
            </w:r>
          </w:p>
        </w:tc>
        <w:tc>
          <w:tcPr>
            <w:tcW w:w="1665" w:type="dxa"/>
          </w:tcPr>
          <w:p w:rsidR="00E20B5B" w:rsidRPr="00724839" w:rsidRDefault="00E20B5B" w:rsidP="00E20B5B">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TfV</w:t>
            </w:r>
            <w:r>
              <w:rPr>
                <w:rStyle w:val="guidelinenumbering"/>
                <w:rFonts w:ascii="Arial" w:hAnsi="Arial" w:cs="Arial"/>
                <w:b w:val="0"/>
                <w:color w:val="auto"/>
                <w:spacing w:val="3"/>
                <w:w w:val="105"/>
                <w:sz w:val="18"/>
                <w:szCs w:val="18"/>
              </w:rPr>
              <w:br/>
              <w:t>MCC</w:t>
            </w:r>
            <w:r>
              <w:rPr>
                <w:rStyle w:val="guidelinenumbering"/>
                <w:rFonts w:ascii="Arial" w:hAnsi="Arial" w:cs="Arial"/>
                <w:b w:val="0"/>
                <w:color w:val="auto"/>
                <w:spacing w:val="3"/>
                <w:w w:val="105"/>
                <w:sz w:val="18"/>
                <w:szCs w:val="18"/>
              </w:rPr>
              <w:br/>
              <w:t>KCC</w:t>
            </w:r>
            <w:r>
              <w:rPr>
                <w:rStyle w:val="guidelinenumbering"/>
                <w:rFonts w:ascii="Arial" w:hAnsi="Arial" w:cs="Arial"/>
                <w:b w:val="0"/>
                <w:color w:val="auto"/>
                <w:spacing w:val="3"/>
                <w:w w:val="105"/>
                <w:sz w:val="18"/>
                <w:szCs w:val="18"/>
              </w:rPr>
              <w:br/>
              <w:t>GDCC</w:t>
            </w:r>
          </w:p>
        </w:tc>
      </w:tr>
    </w:tbl>
    <w:p w:rsidR="00AC6C61" w:rsidRDefault="00AC6C61" w:rsidP="000F4148">
      <w:pPr>
        <w:pStyle w:val="Caption"/>
        <w:rPr>
          <w:rFonts w:ascii="Arial" w:hAnsi="Arial" w:cs="Arial"/>
          <w:b/>
          <w:color w:val="auto"/>
        </w:rPr>
      </w:pPr>
      <w:r>
        <w:rPr>
          <w:rFonts w:ascii="Arial" w:hAnsi="Arial" w:cs="Arial"/>
          <w:b/>
          <w:color w:val="auto"/>
        </w:rPr>
        <w:br w:type="page"/>
      </w:r>
    </w:p>
    <w:p w:rsidR="000F4148" w:rsidRPr="000F4148" w:rsidRDefault="000F4148" w:rsidP="000F4148">
      <w:pPr>
        <w:pStyle w:val="Caption"/>
        <w:rPr>
          <w:b/>
        </w:rPr>
      </w:pPr>
      <w:bookmarkStart w:id="14" w:name="_Toc477870543"/>
      <w:r w:rsidRPr="000F4148">
        <w:rPr>
          <w:rFonts w:ascii="Arial" w:hAnsi="Arial" w:cs="Arial"/>
          <w:b/>
          <w:color w:val="auto"/>
        </w:rPr>
        <w:lastRenderedPageBreak/>
        <w:t xml:space="preserve">Figure </w:t>
      </w:r>
      <w:r w:rsidRPr="000F4148">
        <w:rPr>
          <w:rFonts w:ascii="Arial" w:hAnsi="Arial" w:cs="Arial"/>
          <w:b/>
          <w:color w:val="auto"/>
        </w:rPr>
        <w:fldChar w:fldCharType="begin"/>
      </w:r>
      <w:r w:rsidRPr="000F4148">
        <w:rPr>
          <w:rFonts w:ascii="Arial" w:hAnsi="Arial" w:cs="Arial"/>
          <w:b/>
          <w:color w:val="auto"/>
        </w:rPr>
        <w:instrText xml:space="preserve"> SEQ Figure \* ARABIC </w:instrText>
      </w:r>
      <w:r w:rsidRPr="000F4148">
        <w:rPr>
          <w:rFonts w:ascii="Arial" w:hAnsi="Arial" w:cs="Arial"/>
          <w:b/>
          <w:color w:val="auto"/>
        </w:rPr>
        <w:fldChar w:fldCharType="separate"/>
      </w:r>
      <w:r w:rsidR="001C633A">
        <w:rPr>
          <w:rFonts w:ascii="Arial" w:hAnsi="Arial" w:cs="Arial"/>
          <w:b/>
          <w:noProof/>
          <w:color w:val="auto"/>
        </w:rPr>
        <w:t>5</w:t>
      </w:r>
      <w:r w:rsidRPr="000F4148">
        <w:rPr>
          <w:rFonts w:ascii="Arial" w:hAnsi="Arial" w:cs="Arial"/>
          <w:b/>
          <w:color w:val="auto"/>
        </w:rPr>
        <w:fldChar w:fldCharType="end"/>
      </w:r>
      <w:r w:rsidRPr="000F4148">
        <w:rPr>
          <w:b/>
        </w:rPr>
        <w:t xml:space="preserve">  </w:t>
      </w:r>
      <w:r w:rsidRPr="000F4148">
        <w:rPr>
          <w:rStyle w:val="guidelinenumbering"/>
          <w:rFonts w:ascii="Arial" w:hAnsi="Arial" w:cs="Arial"/>
          <w:b w:val="0"/>
          <w:color w:val="auto"/>
          <w:w w:val="105"/>
          <w:sz w:val="18"/>
          <w:szCs w:val="18"/>
          <w:lang w:val="en-GB"/>
        </w:rPr>
        <w:t>Transport plan</w:t>
      </w:r>
      <w:bookmarkEnd w:id="14"/>
    </w:p>
    <w:p w:rsidR="00BA6B46" w:rsidRDefault="00AE582F" w:rsidP="00E20B5B">
      <w:pPr>
        <w:rPr>
          <w:rStyle w:val="guidelinenumbering"/>
          <w:rFonts w:ascii="Arial" w:hAnsi="Arial" w:cs="Arial"/>
          <w:b w:val="0"/>
          <w:color w:val="auto"/>
          <w:w w:val="105"/>
          <w:sz w:val="18"/>
          <w:szCs w:val="18"/>
          <w:lang w:val="en-GB"/>
        </w:rPr>
      </w:pPr>
      <w:r>
        <w:rPr>
          <w:noProof/>
        </w:rPr>
        <w:drawing>
          <wp:inline distT="0" distB="0" distL="0" distR="0" wp14:anchorId="7A8FFFEB" wp14:editId="602BE2AF">
            <wp:extent cx="5286375" cy="6524625"/>
            <wp:effectExtent l="0" t="0" r="9525" b="9525"/>
            <wp:docPr id="18" name="Picture 18" descr="This map shows the actions that are described in Strategic Outcome 3" title="Transpor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86375" cy="6524625"/>
                    </a:xfrm>
                    <a:prstGeom prst="rect">
                      <a:avLst/>
                    </a:prstGeom>
                  </pic:spPr>
                </pic:pic>
              </a:graphicData>
            </a:graphic>
          </wp:inline>
        </w:drawing>
      </w:r>
    </w:p>
    <w:p w:rsidR="00BA6B46" w:rsidRPr="00C04134" w:rsidRDefault="00BA6B46" w:rsidP="006315D0">
      <w:pPr>
        <w:pStyle w:val="Heading1nonumbers"/>
        <w:rPr>
          <w:rStyle w:val="guidelinenumbering"/>
          <w:rFonts w:cs="Arial"/>
          <w:b w:val="0"/>
          <w:bCs w:val="0"/>
          <w:color w:val="auto"/>
          <w:spacing w:val="3"/>
          <w:w w:val="105"/>
          <w:sz w:val="32"/>
          <w:szCs w:val="18"/>
        </w:rPr>
      </w:pPr>
      <w:bookmarkStart w:id="15" w:name="_Toc477870456"/>
      <w:r>
        <w:rPr>
          <w:rStyle w:val="guidelinenumbering"/>
          <w:rFonts w:cs="Arial"/>
          <w:b w:val="0"/>
          <w:bCs w:val="0"/>
          <w:color w:val="auto"/>
          <w:spacing w:val="3"/>
          <w:w w:val="105"/>
          <w:sz w:val="32"/>
          <w:szCs w:val="18"/>
        </w:rPr>
        <w:lastRenderedPageBreak/>
        <w:t>Strategic Outcome 4: develop open space and community infrastructure</w:t>
      </w:r>
      <w:bookmarkEnd w:id="15"/>
      <w:r>
        <w:rPr>
          <w:rStyle w:val="guidelinenumbering"/>
          <w:rFonts w:cs="Arial"/>
          <w:b w:val="0"/>
          <w:bCs w:val="0"/>
          <w:color w:val="auto"/>
          <w:spacing w:val="3"/>
          <w:w w:val="105"/>
          <w:sz w:val="32"/>
          <w:szCs w:val="18"/>
        </w:rPr>
        <w:t xml:space="preserve"> </w:t>
      </w:r>
    </w:p>
    <w:p w:rsidR="00BA6B46" w:rsidRPr="00BA6B46" w:rsidRDefault="00BA6B46" w:rsidP="00BA6B46">
      <w:pPr>
        <w:pStyle w:val="NoParagraphStyle"/>
        <w:suppressAutoHyphens/>
        <w:spacing w:before="170"/>
        <w:rPr>
          <w:rStyle w:val="guidelinenumbering"/>
          <w:rFonts w:ascii="Arial" w:hAnsi="Arial" w:cs="Arial"/>
          <w:b w:val="0"/>
          <w:bCs w:val="0"/>
          <w:color w:val="auto"/>
          <w:w w:val="105"/>
          <w:sz w:val="18"/>
          <w:szCs w:val="18"/>
        </w:rPr>
      </w:pPr>
      <w:r w:rsidRPr="00BA6B46">
        <w:rPr>
          <w:rStyle w:val="guidelinenumbering"/>
          <w:rFonts w:ascii="Arial" w:hAnsi="Arial" w:cs="Arial"/>
          <w:b w:val="0"/>
          <w:bCs w:val="0"/>
          <w:color w:val="auto"/>
          <w:w w:val="105"/>
          <w:sz w:val="18"/>
          <w:szCs w:val="18"/>
        </w:rPr>
        <w:t>A large part of the amenity and social life of the cluster is derived from the public places, buildings and services that support the needs of the local community.  They offer places of respite, cultural expression and help to meet every day needs for childcare, health centres, libraries and education.  Open spaces and landscaped streets also contribute to sustainability and resilience against the effects of climate change.</w:t>
      </w:r>
    </w:p>
    <w:p w:rsidR="00BA6B46" w:rsidRDefault="00BA6B46" w:rsidP="00BA6B46">
      <w:pPr>
        <w:pStyle w:val="NoParagraphStyle"/>
        <w:suppressAutoHyphens/>
        <w:spacing w:before="170"/>
        <w:rPr>
          <w:rStyle w:val="guidelinenumbering"/>
          <w:rFonts w:ascii="Arial" w:hAnsi="Arial" w:cs="Arial"/>
          <w:b w:val="0"/>
          <w:bCs w:val="0"/>
          <w:color w:val="auto"/>
          <w:w w:val="105"/>
          <w:sz w:val="18"/>
          <w:szCs w:val="18"/>
        </w:rPr>
      </w:pPr>
      <w:r w:rsidRPr="00BA6B46">
        <w:rPr>
          <w:rStyle w:val="guidelinenumbering"/>
          <w:rFonts w:ascii="Arial" w:hAnsi="Arial" w:cs="Arial"/>
          <w:b w:val="0"/>
          <w:bCs w:val="0"/>
          <w:color w:val="auto"/>
          <w:w w:val="105"/>
          <w:sz w:val="18"/>
          <w:szCs w:val="18"/>
        </w:rPr>
        <w:t>Community infrastructure is delivered by both the public and private sector to support the needs of the community, including workers, visitors, students and residents. Areas of higher change will require a concerted effort to plan for and deliver the types of places that meet the needs for a good quality of life.  This is essential as an attractor for people who live, work in, or visit the cluster.</w:t>
      </w:r>
    </w:p>
    <w:p w:rsidR="00BA6B46" w:rsidRPr="00E20B5B" w:rsidRDefault="00BA6B46" w:rsidP="00BA6B46">
      <w:pPr>
        <w:pStyle w:val="NoParagraphStyle"/>
        <w:suppressAutoHyphens/>
        <w:spacing w:before="170"/>
        <w:rPr>
          <w:rStyle w:val="guidelinenumbering"/>
          <w:rFonts w:ascii="Arial" w:hAnsi="Arial" w:cs="Arial"/>
          <w:b w:val="0"/>
          <w:bCs w:val="0"/>
          <w:color w:val="auto"/>
          <w:w w:val="105"/>
          <w:sz w:val="18"/>
          <w:szCs w:val="18"/>
        </w:rPr>
      </w:pPr>
    </w:p>
    <w:tbl>
      <w:tblPr>
        <w:tblStyle w:val="TableGrid"/>
        <w:tblW w:w="0" w:type="auto"/>
        <w:tblLook w:val="04A0" w:firstRow="1" w:lastRow="0" w:firstColumn="1" w:lastColumn="0" w:noHBand="0" w:noVBand="1"/>
        <w:tblCaption w:val="Strategic Outcome 4 - Actions"/>
        <w:tblDescription w:val="1. Plan for infrastructure and open spaces within employment areas to assist in creating a sense of community and meeting worker needs such as health and fitness facilities, co-working spaces and meeting places. Short term, responsibility MCC, KCC and GDCC&#10;2. Identify community infrastructure priorities as the basis for developing an Infrastructure Contribution Plan.  Short term, responsibility MCC, KCC and GDCC&#10;3. Establish public open space contribution rates that will ensure open space improvements, support anticipated change in employment, resident and visitor population needs and mitigate the urban heat island effect.Short-Medium term, responsibility MCC, KCC and GDCC&#10;4. Develop a future education growth plan to support local population changes with appropriate expansion or upgrades to primary and secondary schools. Short-Medium term, responsibility DET&#10;"/>
      </w:tblPr>
      <w:tblGrid>
        <w:gridCol w:w="958"/>
        <w:gridCol w:w="4472"/>
        <w:gridCol w:w="1403"/>
        <w:gridCol w:w="1665"/>
      </w:tblGrid>
      <w:tr w:rsidR="00BA6B46" w:rsidTr="006315D0">
        <w:tc>
          <w:tcPr>
            <w:tcW w:w="958" w:type="dxa"/>
          </w:tcPr>
          <w:p w:rsidR="00BA6B46" w:rsidRDefault="00BA6B46" w:rsidP="006315D0">
            <w:pPr>
              <w:pStyle w:val="Caption"/>
            </w:pPr>
          </w:p>
        </w:tc>
        <w:tc>
          <w:tcPr>
            <w:tcW w:w="4472" w:type="dxa"/>
          </w:tcPr>
          <w:p w:rsidR="00BA6B46" w:rsidRDefault="00BA6B46" w:rsidP="006315D0">
            <w:pPr>
              <w:pStyle w:val="Caption"/>
            </w:pPr>
            <w:r>
              <w:t>Actions</w:t>
            </w:r>
          </w:p>
        </w:tc>
        <w:tc>
          <w:tcPr>
            <w:tcW w:w="1403" w:type="dxa"/>
          </w:tcPr>
          <w:p w:rsidR="00BA6B46" w:rsidRDefault="00BA6B46" w:rsidP="006315D0">
            <w:pPr>
              <w:pStyle w:val="Caption"/>
            </w:pPr>
            <w:r>
              <w:t>Time frame</w:t>
            </w:r>
          </w:p>
        </w:tc>
        <w:tc>
          <w:tcPr>
            <w:tcW w:w="1665" w:type="dxa"/>
          </w:tcPr>
          <w:p w:rsidR="00BA6B46" w:rsidRDefault="00BA6B46" w:rsidP="006315D0">
            <w:pPr>
              <w:pStyle w:val="Caption"/>
            </w:pPr>
            <w:r>
              <w:t>Lead agencies</w:t>
            </w:r>
          </w:p>
        </w:tc>
      </w:tr>
      <w:tr w:rsidR="00BA6B46" w:rsidTr="006315D0">
        <w:tc>
          <w:tcPr>
            <w:tcW w:w="958" w:type="dxa"/>
          </w:tcPr>
          <w:p w:rsidR="00BA6B46" w:rsidRDefault="00BA6B46" w:rsidP="006315D0">
            <w:pPr>
              <w:pStyle w:val="Caption"/>
            </w:pPr>
            <w:r>
              <w:t>4.1</w:t>
            </w:r>
          </w:p>
        </w:tc>
        <w:tc>
          <w:tcPr>
            <w:tcW w:w="4472" w:type="dxa"/>
          </w:tcPr>
          <w:p w:rsidR="00BA6B46" w:rsidRPr="00724839" w:rsidRDefault="00BA6B46" w:rsidP="006315D0">
            <w:pPr>
              <w:pStyle w:val="NoParagraphStyle"/>
              <w:spacing w:before="170"/>
              <w:rPr>
                <w:rFonts w:ascii="Arial" w:hAnsi="Arial" w:cs="Arial"/>
                <w:color w:val="auto"/>
                <w:spacing w:val="4"/>
                <w:w w:val="105"/>
                <w:sz w:val="18"/>
                <w:szCs w:val="18"/>
              </w:rPr>
            </w:pPr>
            <w:r w:rsidRPr="00E20B5B">
              <w:rPr>
                <w:rStyle w:val="guidelinenumbering"/>
                <w:rFonts w:ascii="Arial" w:hAnsi="Arial" w:cs="Arial"/>
                <w:b w:val="0"/>
                <w:bCs w:val="0"/>
                <w:color w:val="auto"/>
                <w:spacing w:val="3"/>
                <w:w w:val="105"/>
                <w:sz w:val="18"/>
                <w:szCs w:val="18"/>
              </w:rPr>
              <w:t xml:space="preserve">Plan for </w:t>
            </w:r>
            <w:r>
              <w:rPr>
                <w:rStyle w:val="guidelinenumbering"/>
                <w:rFonts w:ascii="Arial" w:hAnsi="Arial" w:cs="Arial"/>
                <w:b w:val="0"/>
                <w:bCs w:val="0"/>
                <w:color w:val="auto"/>
                <w:spacing w:val="3"/>
                <w:w w:val="105"/>
                <w:sz w:val="18"/>
                <w:szCs w:val="18"/>
              </w:rPr>
              <w:t>infrastructure and open spaces within employment areas to assist in creating a sense of community and meeting worker needs such as health and fitness facilities, co-working spaces and meeting places.</w:t>
            </w:r>
          </w:p>
        </w:tc>
        <w:tc>
          <w:tcPr>
            <w:tcW w:w="1403" w:type="dxa"/>
          </w:tcPr>
          <w:p w:rsidR="00BA6B46" w:rsidRPr="00724839" w:rsidRDefault="00BA6B46" w:rsidP="00BA6B46">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65" w:type="dxa"/>
          </w:tcPr>
          <w:p w:rsidR="00BA6B46" w:rsidRPr="00724839" w:rsidRDefault="00BA6B46" w:rsidP="006315D0">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MCC</w:t>
            </w:r>
            <w:r>
              <w:rPr>
                <w:rStyle w:val="guidelinenumbering"/>
                <w:rFonts w:ascii="Arial" w:hAnsi="Arial" w:cs="Arial"/>
                <w:b w:val="0"/>
                <w:color w:val="auto"/>
                <w:spacing w:val="3"/>
                <w:w w:val="105"/>
                <w:sz w:val="18"/>
                <w:szCs w:val="18"/>
              </w:rPr>
              <w:br/>
              <w:t>KCC</w:t>
            </w:r>
            <w:r>
              <w:rPr>
                <w:rStyle w:val="guidelinenumbering"/>
                <w:rFonts w:ascii="Arial" w:hAnsi="Arial" w:cs="Arial"/>
                <w:b w:val="0"/>
                <w:color w:val="auto"/>
                <w:spacing w:val="3"/>
                <w:w w:val="105"/>
                <w:sz w:val="18"/>
                <w:szCs w:val="18"/>
              </w:rPr>
              <w:br/>
              <w:t>GDCC</w:t>
            </w:r>
          </w:p>
        </w:tc>
      </w:tr>
      <w:tr w:rsidR="00BA6B46" w:rsidTr="006315D0">
        <w:tc>
          <w:tcPr>
            <w:tcW w:w="958" w:type="dxa"/>
          </w:tcPr>
          <w:p w:rsidR="00BA6B46" w:rsidRDefault="00BA6B46" w:rsidP="006315D0">
            <w:pPr>
              <w:pStyle w:val="Caption"/>
            </w:pPr>
            <w:r>
              <w:t>4.2</w:t>
            </w:r>
          </w:p>
        </w:tc>
        <w:tc>
          <w:tcPr>
            <w:tcW w:w="4472" w:type="dxa"/>
          </w:tcPr>
          <w:p w:rsidR="00BA6B46" w:rsidRPr="00724839" w:rsidRDefault="00BA6B46" w:rsidP="00BA6B46">
            <w:pPr>
              <w:pStyle w:val="NoParagraphStyle"/>
              <w:spacing w:before="170"/>
              <w:rPr>
                <w:rFonts w:ascii="Arial" w:hAnsi="Arial" w:cs="Arial"/>
                <w:color w:val="auto"/>
                <w:spacing w:val="3"/>
                <w:w w:val="105"/>
                <w:sz w:val="18"/>
                <w:szCs w:val="18"/>
              </w:rPr>
            </w:pPr>
            <w:r>
              <w:rPr>
                <w:rStyle w:val="guidelinenumbering"/>
                <w:rFonts w:ascii="Arial" w:hAnsi="Arial" w:cs="Arial"/>
                <w:b w:val="0"/>
                <w:bCs w:val="0"/>
                <w:color w:val="auto"/>
                <w:spacing w:val="3"/>
                <w:w w:val="105"/>
                <w:sz w:val="18"/>
                <w:szCs w:val="18"/>
              </w:rPr>
              <w:t xml:space="preserve">Identify community infrastructure priorities as the basis for developing an Infrastructure Contribution Plan. </w:t>
            </w:r>
          </w:p>
        </w:tc>
        <w:tc>
          <w:tcPr>
            <w:tcW w:w="1403" w:type="dxa"/>
          </w:tcPr>
          <w:p w:rsidR="00BA6B46" w:rsidRPr="00724839" w:rsidRDefault="00BA6B46"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p>
        </w:tc>
        <w:tc>
          <w:tcPr>
            <w:tcW w:w="1665" w:type="dxa"/>
          </w:tcPr>
          <w:p w:rsidR="00BA6B46" w:rsidRPr="00724839" w:rsidRDefault="00BA6B46" w:rsidP="006315D0">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MCC</w:t>
            </w:r>
            <w:r>
              <w:rPr>
                <w:rStyle w:val="guidelinenumbering"/>
                <w:rFonts w:ascii="Arial" w:hAnsi="Arial" w:cs="Arial"/>
                <w:b w:val="0"/>
                <w:color w:val="auto"/>
                <w:spacing w:val="3"/>
                <w:w w:val="105"/>
                <w:sz w:val="18"/>
                <w:szCs w:val="18"/>
              </w:rPr>
              <w:br/>
              <w:t>KCC</w:t>
            </w:r>
            <w:r>
              <w:rPr>
                <w:rStyle w:val="guidelinenumbering"/>
                <w:rFonts w:ascii="Arial" w:hAnsi="Arial" w:cs="Arial"/>
                <w:b w:val="0"/>
                <w:color w:val="auto"/>
                <w:spacing w:val="3"/>
                <w:w w:val="105"/>
                <w:sz w:val="18"/>
                <w:szCs w:val="18"/>
              </w:rPr>
              <w:br/>
              <w:t>GDCC</w:t>
            </w:r>
          </w:p>
        </w:tc>
      </w:tr>
      <w:tr w:rsidR="00BA6B46" w:rsidTr="006315D0">
        <w:tc>
          <w:tcPr>
            <w:tcW w:w="958" w:type="dxa"/>
          </w:tcPr>
          <w:p w:rsidR="00BA6B46" w:rsidRDefault="00BA6B46" w:rsidP="006315D0">
            <w:pPr>
              <w:pStyle w:val="Caption"/>
            </w:pPr>
            <w:r>
              <w:t>4.3</w:t>
            </w:r>
          </w:p>
        </w:tc>
        <w:tc>
          <w:tcPr>
            <w:tcW w:w="4472" w:type="dxa"/>
          </w:tcPr>
          <w:p w:rsidR="00BA6B46" w:rsidRPr="00724839" w:rsidRDefault="00BA6B46" w:rsidP="006315D0">
            <w:pPr>
              <w:pStyle w:val="NoParagraphStyle"/>
              <w:spacing w:before="170"/>
              <w:rPr>
                <w:rStyle w:val="guidelinenumbering"/>
                <w:rFonts w:ascii="Arial" w:hAnsi="Arial" w:cs="Arial"/>
                <w:b w:val="0"/>
                <w:bCs w:val="0"/>
                <w:color w:val="auto"/>
                <w:spacing w:val="3"/>
                <w:w w:val="105"/>
                <w:sz w:val="18"/>
                <w:szCs w:val="18"/>
              </w:rPr>
            </w:pPr>
            <w:r>
              <w:rPr>
                <w:rStyle w:val="guidelinenumbering"/>
                <w:rFonts w:ascii="Arial" w:hAnsi="Arial" w:cs="Arial"/>
                <w:b w:val="0"/>
                <w:bCs w:val="0"/>
                <w:color w:val="auto"/>
                <w:spacing w:val="3"/>
                <w:w w:val="105"/>
                <w:sz w:val="18"/>
                <w:szCs w:val="18"/>
              </w:rPr>
              <w:t>Establish public open space contribution rates that will ensure open space improvements, support anticipated change in employment, resident and visitor population needs and mitigate the urban heat island effect.</w:t>
            </w:r>
          </w:p>
        </w:tc>
        <w:tc>
          <w:tcPr>
            <w:tcW w:w="1403" w:type="dxa"/>
          </w:tcPr>
          <w:p w:rsidR="00BA6B46" w:rsidRPr="00724839" w:rsidRDefault="00BA6B46"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r>
              <w:rPr>
                <w:rStyle w:val="guidelinenumbering"/>
                <w:rFonts w:ascii="Arial" w:hAnsi="Arial" w:cs="Arial"/>
                <w:b w:val="0"/>
                <w:color w:val="auto"/>
                <w:spacing w:val="3"/>
                <w:w w:val="105"/>
                <w:sz w:val="18"/>
                <w:szCs w:val="18"/>
              </w:rPr>
              <w:t>-</w:t>
            </w:r>
            <w:r>
              <w:rPr>
                <w:rStyle w:val="guidelinenumbering"/>
                <w:rFonts w:ascii="Arial" w:hAnsi="Arial" w:cs="Arial"/>
                <w:b w:val="0"/>
                <w:color w:val="auto"/>
                <w:spacing w:val="3"/>
                <w:w w:val="105"/>
                <w:sz w:val="18"/>
                <w:szCs w:val="18"/>
              </w:rPr>
              <w:br/>
              <w:t>Medium</w:t>
            </w:r>
          </w:p>
        </w:tc>
        <w:tc>
          <w:tcPr>
            <w:tcW w:w="1665" w:type="dxa"/>
          </w:tcPr>
          <w:p w:rsidR="00BA6B46" w:rsidRPr="00724839" w:rsidRDefault="00BA6B46" w:rsidP="00BA6B46">
            <w:pPr>
              <w:pStyle w:val="NoParagraphStyle"/>
              <w:tabs>
                <w:tab w:val="left" w:pos="0"/>
                <w:tab w:val="left" w:pos="1320"/>
                <w:tab w:val="left" w:pos="2320"/>
              </w:tabs>
              <w:spacing w:before="170"/>
              <w:ind w:left="425"/>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MCC</w:t>
            </w:r>
            <w:r>
              <w:rPr>
                <w:rStyle w:val="guidelinenumbering"/>
                <w:rFonts w:ascii="Arial" w:hAnsi="Arial" w:cs="Arial"/>
                <w:b w:val="0"/>
                <w:color w:val="auto"/>
                <w:spacing w:val="3"/>
                <w:w w:val="105"/>
                <w:sz w:val="18"/>
                <w:szCs w:val="18"/>
              </w:rPr>
              <w:br/>
              <w:t>KCC</w:t>
            </w:r>
            <w:r>
              <w:rPr>
                <w:rStyle w:val="guidelinenumbering"/>
                <w:rFonts w:ascii="Arial" w:hAnsi="Arial" w:cs="Arial"/>
                <w:b w:val="0"/>
                <w:color w:val="auto"/>
                <w:spacing w:val="3"/>
                <w:w w:val="105"/>
                <w:sz w:val="18"/>
                <w:szCs w:val="18"/>
              </w:rPr>
              <w:br/>
              <w:t>GDCC</w:t>
            </w:r>
          </w:p>
        </w:tc>
      </w:tr>
      <w:tr w:rsidR="00BA6B46" w:rsidTr="006315D0">
        <w:tc>
          <w:tcPr>
            <w:tcW w:w="958" w:type="dxa"/>
          </w:tcPr>
          <w:p w:rsidR="00BA6B46" w:rsidRDefault="00BA6B46" w:rsidP="006315D0">
            <w:pPr>
              <w:pStyle w:val="Caption"/>
            </w:pPr>
            <w:r>
              <w:t>4.4</w:t>
            </w:r>
          </w:p>
        </w:tc>
        <w:tc>
          <w:tcPr>
            <w:tcW w:w="4472" w:type="dxa"/>
          </w:tcPr>
          <w:p w:rsidR="00BA6B46" w:rsidRPr="00E20B5B" w:rsidRDefault="00BA6B46" w:rsidP="006315D0">
            <w:pPr>
              <w:pStyle w:val="NoParagraphStyle"/>
              <w:spacing w:before="170"/>
              <w:rPr>
                <w:rStyle w:val="guidelinenumbering"/>
                <w:rFonts w:ascii="Arial" w:hAnsi="Arial" w:cs="Arial"/>
                <w:b w:val="0"/>
                <w:bCs w:val="0"/>
                <w:color w:val="auto"/>
                <w:spacing w:val="3"/>
                <w:w w:val="105"/>
                <w:sz w:val="18"/>
                <w:szCs w:val="18"/>
              </w:rPr>
            </w:pPr>
            <w:r>
              <w:rPr>
                <w:rStyle w:val="guidelinenumbering"/>
                <w:rFonts w:ascii="Arial" w:hAnsi="Arial" w:cs="Arial"/>
                <w:b w:val="0"/>
                <w:bCs w:val="0"/>
                <w:color w:val="auto"/>
                <w:spacing w:val="3"/>
                <w:w w:val="105"/>
                <w:sz w:val="18"/>
                <w:szCs w:val="18"/>
              </w:rPr>
              <w:t xml:space="preserve">Develop a future education growth plan to support local population changes with appropriate expansion or upgrades to primary and secondary schools. </w:t>
            </w:r>
          </w:p>
        </w:tc>
        <w:tc>
          <w:tcPr>
            <w:tcW w:w="1403" w:type="dxa"/>
          </w:tcPr>
          <w:p w:rsidR="00BA6B46" w:rsidRPr="00724839" w:rsidRDefault="00BA6B46" w:rsidP="006315D0">
            <w:pPr>
              <w:pStyle w:val="NoParagraphStyle"/>
              <w:tabs>
                <w:tab w:val="left" w:pos="0"/>
                <w:tab w:val="left" w:pos="1320"/>
                <w:tab w:val="left" w:pos="2320"/>
              </w:tabs>
              <w:spacing w:before="170"/>
              <w:ind w:left="283"/>
              <w:rPr>
                <w:rStyle w:val="guidelinenumbering"/>
                <w:rFonts w:ascii="Arial" w:hAnsi="Arial" w:cs="Arial"/>
                <w:b w:val="0"/>
                <w:color w:val="auto"/>
                <w:spacing w:val="3"/>
                <w:w w:val="105"/>
                <w:sz w:val="18"/>
                <w:szCs w:val="18"/>
              </w:rPr>
            </w:pPr>
            <w:r w:rsidRPr="00724839">
              <w:rPr>
                <w:rStyle w:val="guidelinenumbering"/>
                <w:rFonts w:ascii="Arial" w:hAnsi="Arial" w:cs="Arial"/>
                <w:b w:val="0"/>
                <w:color w:val="auto"/>
                <w:spacing w:val="3"/>
                <w:w w:val="105"/>
                <w:sz w:val="18"/>
                <w:szCs w:val="18"/>
              </w:rPr>
              <w:t>Short</w:t>
            </w:r>
            <w:r>
              <w:rPr>
                <w:rStyle w:val="guidelinenumbering"/>
                <w:rFonts w:ascii="Arial" w:hAnsi="Arial" w:cs="Arial"/>
                <w:b w:val="0"/>
                <w:color w:val="auto"/>
                <w:spacing w:val="3"/>
                <w:w w:val="105"/>
                <w:sz w:val="18"/>
                <w:szCs w:val="18"/>
              </w:rPr>
              <w:t>-</w:t>
            </w:r>
            <w:r>
              <w:rPr>
                <w:rStyle w:val="guidelinenumbering"/>
                <w:rFonts w:ascii="Arial" w:hAnsi="Arial" w:cs="Arial"/>
                <w:b w:val="0"/>
                <w:color w:val="auto"/>
                <w:spacing w:val="3"/>
                <w:w w:val="105"/>
                <w:sz w:val="18"/>
                <w:szCs w:val="18"/>
              </w:rPr>
              <w:br/>
              <w:t>Medium</w:t>
            </w:r>
          </w:p>
        </w:tc>
        <w:tc>
          <w:tcPr>
            <w:tcW w:w="1665" w:type="dxa"/>
          </w:tcPr>
          <w:p w:rsidR="00BA6B46" w:rsidRDefault="00BA6B46" w:rsidP="006315D0">
            <w:pPr>
              <w:pStyle w:val="NoParagraphStyle"/>
              <w:tabs>
                <w:tab w:val="left" w:pos="0"/>
                <w:tab w:val="left" w:pos="1320"/>
                <w:tab w:val="left" w:pos="2320"/>
              </w:tabs>
              <w:spacing w:before="170"/>
              <w:ind w:left="283"/>
              <w:jc w:val="center"/>
              <w:rPr>
                <w:rStyle w:val="guidelinenumbering"/>
                <w:rFonts w:ascii="Arial" w:hAnsi="Arial" w:cs="Arial"/>
                <w:b w:val="0"/>
                <w:color w:val="auto"/>
                <w:spacing w:val="3"/>
                <w:w w:val="105"/>
                <w:sz w:val="18"/>
                <w:szCs w:val="18"/>
              </w:rPr>
            </w:pPr>
            <w:r>
              <w:rPr>
                <w:rStyle w:val="guidelinenumbering"/>
                <w:rFonts w:ascii="Arial" w:hAnsi="Arial" w:cs="Arial"/>
                <w:b w:val="0"/>
                <w:color w:val="auto"/>
                <w:spacing w:val="3"/>
                <w:w w:val="105"/>
                <w:sz w:val="18"/>
                <w:szCs w:val="18"/>
              </w:rPr>
              <w:t>DET</w:t>
            </w:r>
          </w:p>
        </w:tc>
      </w:tr>
    </w:tbl>
    <w:p w:rsidR="00AC6C61" w:rsidRDefault="00AC6C61" w:rsidP="000F4148">
      <w:pPr>
        <w:pStyle w:val="NoParagraphStyle"/>
        <w:rPr>
          <w:rFonts w:ascii="Arial" w:hAnsi="Arial" w:cs="Arial"/>
          <w:b/>
          <w:sz w:val="18"/>
        </w:rPr>
      </w:pPr>
      <w:r>
        <w:rPr>
          <w:rFonts w:ascii="Arial" w:hAnsi="Arial" w:cs="Arial"/>
          <w:b/>
          <w:sz w:val="18"/>
        </w:rPr>
        <w:br w:type="page"/>
      </w:r>
    </w:p>
    <w:p w:rsidR="000F4148" w:rsidRPr="000F4148" w:rsidRDefault="000F4148" w:rsidP="000F4148">
      <w:pPr>
        <w:pStyle w:val="NoParagraphStyle"/>
        <w:rPr>
          <w:rFonts w:ascii="Arial" w:hAnsi="Arial" w:cs="Arial"/>
          <w:color w:val="auto"/>
          <w:sz w:val="18"/>
          <w:szCs w:val="18"/>
        </w:rPr>
      </w:pPr>
      <w:bookmarkStart w:id="16" w:name="_Toc477870544"/>
      <w:r w:rsidRPr="000F4148">
        <w:rPr>
          <w:rFonts w:ascii="Arial" w:hAnsi="Arial" w:cs="Arial"/>
          <w:b/>
          <w:sz w:val="18"/>
        </w:rPr>
        <w:lastRenderedPageBreak/>
        <w:t xml:space="preserve">Figure </w:t>
      </w:r>
      <w:r w:rsidRPr="000F4148">
        <w:rPr>
          <w:rFonts w:ascii="Arial" w:hAnsi="Arial" w:cs="Arial"/>
          <w:b/>
          <w:sz w:val="18"/>
        </w:rPr>
        <w:fldChar w:fldCharType="begin"/>
      </w:r>
      <w:r w:rsidRPr="000F4148">
        <w:rPr>
          <w:rFonts w:ascii="Arial" w:hAnsi="Arial" w:cs="Arial"/>
          <w:b/>
          <w:sz w:val="18"/>
        </w:rPr>
        <w:instrText xml:space="preserve"> SEQ Figure \* ARABIC </w:instrText>
      </w:r>
      <w:r w:rsidRPr="000F4148">
        <w:rPr>
          <w:rFonts w:ascii="Arial" w:hAnsi="Arial" w:cs="Arial"/>
          <w:b/>
          <w:sz w:val="18"/>
        </w:rPr>
        <w:fldChar w:fldCharType="separate"/>
      </w:r>
      <w:r w:rsidR="001C633A">
        <w:rPr>
          <w:rFonts w:ascii="Arial" w:hAnsi="Arial" w:cs="Arial"/>
          <w:b/>
          <w:noProof/>
          <w:sz w:val="18"/>
        </w:rPr>
        <w:t>6</w:t>
      </w:r>
      <w:r w:rsidRPr="000F4148">
        <w:rPr>
          <w:rFonts w:ascii="Arial" w:hAnsi="Arial" w:cs="Arial"/>
          <w:b/>
          <w:sz w:val="18"/>
        </w:rPr>
        <w:fldChar w:fldCharType="end"/>
      </w:r>
      <w:r>
        <w:t xml:space="preserve"> </w:t>
      </w:r>
      <w:r w:rsidRPr="006315D0">
        <w:rPr>
          <w:rStyle w:val="guidelinenumbering"/>
          <w:rFonts w:ascii="Arial" w:hAnsi="Arial" w:cs="Arial"/>
          <w:b w:val="0"/>
          <w:bCs w:val="0"/>
          <w:color w:val="auto"/>
          <w:sz w:val="18"/>
          <w:szCs w:val="18"/>
        </w:rPr>
        <w:t>Open Space and Community Infrastructure Plan</w:t>
      </w:r>
      <w:bookmarkEnd w:id="16"/>
    </w:p>
    <w:p w:rsidR="006315D0" w:rsidRDefault="00AE582F" w:rsidP="00E20B5B">
      <w:pPr>
        <w:rPr>
          <w:rStyle w:val="guidelinenumbering"/>
          <w:rFonts w:ascii="Arial" w:hAnsi="Arial" w:cs="Arial"/>
          <w:b w:val="0"/>
          <w:color w:val="auto"/>
          <w:w w:val="105"/>
          <w:sz w:val="18"/>
          <w:szCs w:val="18"/>
          <w:lang w:val="en-GB"/>
        </w:rPr>
      </w:pPr>
      <w:r>
        <w:rPr>
          <w:noProof/>
        </w:rPr>
        <w:drawing>
          <wp:inline distT="0" distB="0" distL="0" distR="0" wp14:anchorId="75FBA907" wp14:editId="79407766">
            <wp:extent cx="5396230" cy="6133465"/>
            <wp:effectExtent l="0" t="0" r="0" b="635"/>
            <wp:docPr id="19" name="Picture 19" descr="This map shows the actions described within Strategic Outcome 4" title="Open Space and Community Infrastructur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96230" cy="6133465"/>
                    </a:xfrm>
                    <a:prstGeom prst="rect">
                      <a:avLst/>
                    </a:prstGeom>
                  </pic:spPr>
                </pic:pic>
              </a:graphicData>
            </a:graphic>
          </wp:inline>
        </w:drawing>
      </w:r>
    </w:p>
    <w:p w:rsidR="006315D0" w:rsidRPr="00C04134" w:rsidRDefault="006315D0" w:rsidP="006315D0">
      <w:pPr>
        <w:pStyle w:val="Heading1nonumbers"/>
        <w:rPr>
          <w:rStyle w:val="guidelinenumbering"/>
          <w:rFonts w:cs="Arial"/>
          <w:b w:val="0"/>
          <w:bCs w:val="0"/>
          <w:color w:val="auto"/>
          <w:spacing w:val="3"/>
          <w:w w:val="105"/>
          <w:sz w:val="32"/>
          <w:szCs w:val="18"/>
        </w:rPr>
      </w:pPr>
      <w:bookmarkStart w:id="17" w:name="_Toc477870457"/>
      <w:r>
        <w:rPr>
          <w:rStyle w:val="guidelinenumbering"/>
          <w:rFonts w:cs="Arial"/>
          <w:b w:val="0"/>
          <w:bCs w:val="0"/>
          <w:color w:val="auto"/>
          <w:spacing w:val="3"/>
          <w:w w:val="105"/>
          <w:sz w:val="32"/>
          <w:szCs w:val="18"/>
        </w:rPr>
        <w:lastRenderedPageBreak/>
        <w:t>Strategic Outcome 5: Plan and deliver urban renewal projects and strategic sites</w:t>
      </w:r>
      <w:bookmarkEnd w:id="17"/>
      <w:r>
        <w:rPr>
          <w:rStyle w:val="guidelinenumbering"/>
          <w:rFonts w:cs="Arial"/>
          <w:b w:val="0"/>
          <w:bCs w:val="0"/>
          <w:color w:val="auto"/>
          <w:spacing w:val="3"/>
          <w:w w:val="105"/>
          <w:sz w:val="32"/>
          <w:szCs w:val="18"/>
        </w:rPr>
        <w:t xml:space="preserve"> </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Urban renewal projects offer significant opportunities for integrated planning at the local level to address the goals of this plan and resolve specific opportunities and challenges. Planning will be delivered in a coordinated manner in the short term with development taking place in the medium to long term.</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Precincts such as activity centres and underutilised industrial land offer opportunities for urban renewal.</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These areas will be reimagined from segregated strip shopping centres to integrated mixed use precincts that offer a range of lifestyle activities across a larger proportion of the day and more diverse housing. Highly accessible residential areas with good access to services and facilities also offer opportunity for increased diversity of housing.</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Strategic sites are places that have come to the end of Monash’s post-war manufacturing economy and are available for reinvestment. These sites require a new ‘vision’ or purpose to guide change in a way that can support the cluster.</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 xml:space="preserve">Key precincts and strategic sites </w:t>
      </w:r>
      <w:r w:rsidR="00214090">
        <w:rPr>
          <w:rStyle w:val="guidelinenumbering"/>
          <w:rFonts w:ascii="Arial" w:hAnsi="Arial" w:cs="Arial"/>
          <w:b w:val="0"/>
          <w:bCs w:val="0"/>
          <w:color w:val="000000"/>
          <w:spacing w:val="3"/>
          <w:w w:val="105"/>
          <w:sz w:val="18"/>
          <w:szCs w:val="18"/>
        </w:rPr>
        <w:t>are further outlined on pages 18-30</w:t>
      </w:r>
      <w:r>
        <w:rPr>
          <w:rStyle w:val="guidelinenumbering"/>
          <w:rFonts w:ascii="Arial" w:hAnsi="Arial" w:cs="Arial"/>
          <w:b w:val="0"/>
          <w:bCs w:val="0"/>
          <w:color w:val="000000"/>
          <w:spacing w:val="3"/>
          <w:w w:val="105"/>
          <w:sz w:val="18"/>
          <w:szCs w:val="18"/>
        </w:rPr>
        <w:t>. Further work will be undertaken to scope and deliver these projects with the involvement of local communities and stakeholders.</w:t>
      </w:r>
    </w:p>
    <w:p w:rsidR="006315D0" w:rsidRDefault="006315D0" w:rsidP="006315D0">
      <w:pPr>
        <w:pStyle w:val="NoParagraphStyle"/>
        <w:suppressAutoHyphens/>
        <w:spacing w:before="170"/>
        <w:rPr>
          <w:rStyle w:val="guidelinenumbering"/>
          <w:rFonts w:ascii="Arial" w:hAnsi="Arial" w:cs="Arial"/>
          <w:b w:val="0"/>
          <w:bCs w:val="0"/>
          <w:color w:val="000000"/>
          <w:spacing w:val="3"/>
          <w:w w:val="105"/>
          <w:sz w:val="18"/>
          <w:szCs w:val="18"/>
        </w:rPr>
      </w:pPr>
      <w:r>
        <w:rPr>
          <w:rStyle w:val="guidelinenumbering"/>
          <w:rFonts w:ascii="Arial" w:hAnsi="Arial" w:cs="Arial"/>
          <w:b w:val="0"/>
          <w:bCs w:val="0"/>
          <w:color w:val="000000"/>
          <w:spacing w:val="3"/>
          <w:w w:val="105"/>
          <w:sz w:val="18"/>
          <w:szCs w:val="18"/>
        </w:rPr>
        <w:t>This detailed planning work should be undertaken on the basis of the following principles:</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Optimise economic and social participation of local communities through development of ongoing local employment opportunities and new housing choices;</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Prioritise contemporary approaches to integrated mixed use development founded on walking and cycling access, and where possible maximising public transport integration;</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Establish a high standard of urban design that can contribute positively to the image and identity of the cluster;</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Plan for open spaces and landscaping that can transform the image of the precinct, mitigate the urban heat island effect, provide water retention and address recreational needs;</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Future proofing development through early planning for utilities and service provision that optimise long term efficiency and affordability;</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Social, cultural and entertainment needs of the growing and changing population are met;</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New and diverse housing around existing activity centres, in proximity to the Health Education and Research precinct, Monash Technology Precinct and at strategic sites are a priority;</w:t>
      </w:r>
    </w:p>
    <w:p w:rsidR="006315D0" w:rsidRDefault="006315D0" w:rsidP="006315D0">
      <w:pPr>
        <w:pStyle w:val="List1bullet"/>
        <w:rPr>
          <w:rStyle w:val="guidelinenumbering"/>
          <w:rFonts w:ascii="Arial" w:hAnsi="Arial"/>
          <w:b w:val="0"/>
          <w:bCs w:val="0"/>
          <w:color w:val="000000"/>
          <w:spacing w:val="3"/>
          <w:sz w:val="18"/>
        </w:rPr>
      </w:pPr>
      <w:r>
        <w:rPr>
          <w:rStyle w:val="guidelinenumbering"/>
          <w:rFonts w:ascii="Arial" w:hAnsi="Arial"/>
          <w:b w:val="0"/>
          <w:bCs w:val="0"/>
          <w:color w:val="000000"/>
          <w:spacing w:val="3"/>
          <w:sz w:val="18"/>
        </w:rPr>
        <w:t xml:space="preserve">A range of housing options that provide accommodation locally for workers, students, visitors to key institutions and those choosing to age in place; and </w:t>
      </w:r>
    </w:p>
    <w:p w:rsidR="00AC6C61" w:rsidRPr="00AC6C61" w:rsidRDefault="006315D0" w:rsidP="00AC6C61">
      <w:pPr>
        <w:pStyle w:val="List1bullet"/>
        <w:rPr>
          <w:rStyle w:val="guidelinenumbering"/>
          <w:rFonts w:ascii="Arial" w:hAnsi="Arial" w:cs="Arial"/>
          <w:b w:val="0"/>
          <w:bCs w:val="0"/>
          <w:color w:val="auto"/>
          <w:sz w:val="18"/>
          <w:szCs w:val="18"/>
        </w:rPr>
      </w:pPr>
      <w:r>
        <w:rPr>
          <w:rStyle w:val="guidelinenumbering"/>
          <w:rFonts w:ascii="Arial" w:hAnsi="Arial"/>
          <w:b w:val="0"/>
          <w:bCs w:val="0"/>
          <w:color w:val="000000"/>
          <w:spacing w:val="3"/>
          <w:sz w:val="18"/>
        </w:rPr>
        <w:t>Address the potential risk of community displacement through the provision of social and affordable housing within the cluster.</w:t>
      </w:r>
      <w:r w:rsidR="00AC6C61" w:rsidRPr="00AC6C61">
        <w:rPr>
          <w:rStyle w:val="guidelinenumbering"/>
          <w:rFonts w:ascii="Arial" w:hAnsi="Arial"/>
          <w:b w:val="0"/>
          <w:bCs w:val="0"/>
          <w:color w:val="000000"/>
          <w:spacing w:val="3"/>
          <w:sz w:val="18"/>
        </w:rPr>
        <w:br w:type="page"/>
      </w:r>
    </w:p>
    <w:p w:rsidR="000F4148" w:rsidRPr="000F4148" w:rsidRDefault="00AC6C61" w:rsidP="00AC6C61">
      <w:pPr>
        <w:pStyle w:val="List1bullet"/>
        <w:numPr>
          <w:ilvl w:val="0"/>
          <w:numId w:val="0"/>
        </w:numPr>
        <w:ind w:left="284"/>
      </w:pPr>
      <w:r w:rsidRPr="006315D0">
        <w:rPr>
          <w:rStyle w:val="guidelinenumbering"/>
          <w:rFonts w:ascii="Arial" w:hAnsi="Arial" w:cs="Arial"/>
          <w:color w:val="auto"/>
          <w:sz w:val="18"/>
          <w:szCs w:val="18"/>
        </w:rPr>
        <w:lastRenderedPageBreak/>
        <w:t xml:space="preserve"> </w:t>
      </w:r>
      <w:r w:rsidR="000F4148" w:rsidRPr="006315D0">
        <w:rPr>
          <w:rStyle w:val="guidelinenumbering"/>
          <w:rFonts w:ascii="Arial" w:hAnsi="Arial" w:cs="Arial"/>
          <w:color w:val="auto"/>
          <w:sz w:val="18"/>
          <w:szCs w:val="18"/>
        </w:rPr>
        <w:t xml:space="preserve">Figure 7   </w:t>
      </w:r>
      <w:r w:rsidR="000F4148" w:rsidRPr="006315D0">
        <w:rPr>
          <w:rStyle w:val="guidelinenumbering"/>
          <w:rFonts w:ascii="Arial" w:hAnsi="Arial" w:cs="Arial"/>
          <w:b w:val="0"/>
          <w:bCs w:val="0"/>
          <w:color w:val="auto"/>
          <w:sz w:val="18"/>
          <w:szCs w:val="18"/>
        </w:rPr>
        <w:t>Urban Renewal Precincts and Strategic Sites Plan</w:t>
      </w:r>
    </w:p>
    <w:p w:rsidR="006315D0" w:rsidRDefault="00AE582F" w:rsidP="00E20B5B">
      <w:pPr>
        <w:rPr>
          <w:rStyle w:val="guidelinenumbering"/>
          <w:rFonts w:ascii="Arial" w:hAnsi="Arial" w:cs="Arial"/>
          <w:b w:val="0"/>
          <w:color w:val="auto"/>
          <w:w w:val="105"/>
          <w:sz w:val="18"/>
          <w:szCs w:val="18"/>
          <w:lang w:val="en-GB"/>
        </w:rPr>
      </w:pPr>
      <w:r>
        <w:rPr>
          <w:noProof/>
        </w:rPr>
        <w:drawing>
          <wp:inline distT="0" distB="0" distL="0" distR="0" wp14:anchorId="11792368" wp14:editId="629FCE79">
            <wp:extent cx="5396230" cy="5974715"/>
            <wp:effectExtent l="0" t="0" r="0" b="6985"/>
            <wp:docPr id="20" name="Picture 20" descr="This map shows the urban renewal precincts and strategic sites that are described on the following pages" title="Urban Renewal Precincts and Strategic Site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96230" cy="5974715"/>
                    </a:xfrm>
                    <a:prstGeom prst="rect">
                      <a:avLst/>
                    </a:prstGeom>
                  </pic:spPr>
                </pic:pic>
              </a:graphicData>
            </a:graphic>
          </wp:inline>
        </w:drawing>
      </w:r>
    </w:p>
    <w:p w:rsidR="006315D0" w:rsidRPr="00C04134" w:rsidRDefault="006315D0" w:rsidP="006315D0">
      <w:pPr>
        <w:pStyle w:val="Heading1nonumbers"/>
        <w:rPr>
          <w:rStyle w:val="guidelinenumbering"/>
          <w:rFonts w:cs="Arial"/>
          <w:b w:val="0"/>
          <w:bCs w:val="0"/>
          <w:color w:val="auto"/>
          <w:spacing w:val="3"/>
          <w:w w:val="105"/>
          <w:sz w:val="32"/>
          <w:szCs w:val="18"/>
        </w:rPr>
      </w:pPr>
      <w:bookmarkStart w:id="18" w:name="_Toc477870458"/>
      <w:r>
        <w:rPr>
          <w:rStyle w:val="guidelinenumbering"/>
          <w:rFonts w:cs="Arial"/>
          <w:b w:val="0"/>
          <w:bCs w:val="0"/>
          <w:color w:val="auto"/>
          <w:spacing w:val="3"/>
          <w:w w:val="105"/>
          <w:sz w:val="32"/>
          <w:szCs w:val="18"/>
        </w:rPr>
        <w:lastRenderedPageBreak/>
        <w:t>5.1 – huntingdale activity centre</w:t>
      </w:r>
      <w:bookmarkEnd w:id="18"/>
    </w:p>
    <w:p w:rsidR="006315D0" w:rsidRPr="00DD6555" w:rsidRDefault="006315D0" w:rsidP="006315D0">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Key Elements</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238 Hectares</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Huntingdale Train Station</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Hunting</w:t>
      </w:r>
      <w:r w:rsidR="00214090">
        <w:rPr>
          <w:rStyle w:val="guidelinenumbering"/>
          <w:rFonts w:ascii="Arial" w:hAnsi="Arial" w:cs="Arial"/>
          <w:b w:val="0"/>
          <w:bCs w:val="0"/>
          <w:color w:val="auto"/>
          <w:sz w:val="18"/>
          <w:szCs w:val="18"/>
        </w:rPr>
        <w:t>dale Road strip shopping centre</w:t>
      </w:r>
      <w:r w:rsidRPr="006315D0">
        <w:rPr>
          <w:rStyle w:val="guidelinenumbering"/>
          <w:rFonts w:ascii="Arial" w:hAnsi="Arial" w:cs="Arial"/>
          <w:b w:val="0"/>
          <w:bCs w:val="0"/>
          <w:color w:val="auto"/>
          <w:sz w:val="18"/>
          <w:szCs w:val="18"/>
        </w:rPr>
        <w:t xml:space="preserve"> </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Industrial precincts aligned to the railway and North Road</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Huntingdale bus interchange</w:t>
      </w:r>
    </w:p>
    <w:p w:rsidR="006315D0" w:rsidRPr="006315D0" w:rsidRDefault="006315D0" w:rsidP="006315D0">
      <w:pPr>
        <w:pStyle w:val="List1bullet"/>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z w:val="18"/>
          <w:szCs w:val="18"/>
        </w:rPr>
        <w:t>Substantial industrial areas provide local employment</w:t>
      </w:r>
    </w:p>
    <w:p w:rsidR="006315D0" w:rsidRPr="00DD6555" w:rsidRDefault="006315D0" w:rsidP="006315D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 xml:space="preserve">Long Term Objectives </w:t>
      </w:r>
    </w:p>
    <w:p w:rsidR="006315D0" w:rsidRPr="006315D0" w:rsidRDefault="006315D0" w:rsidP="006315D0">
      <w:pPr>
        <w:pStyle w:val="NoParagraphStyle"/>
        <w:suppressAutoHyphens/>
        <w:spacing w:before="170"/>
        <w:rPr>
          <w:rStyle w:val="guidelinenumbering"/>
          <w:rFonts w:ascii="Arial" w:hAnsi="Arial" w:cs="Arial"/>
          <w:b w:val="0"/>
          <w:bCs w:val="0"/>
          <w:color w:val="auto"/>
          <w:sz w:val="18"/>
          <w:szCs w:val="18"/>
        </w:rPr>
      </w:pPr>
      <w:r w:rsidRPr="006315D0">
        <w:rPr>
          <w:rStyle w:val="guidelinenumbering"/>
          <w:rFonts w:ascii="Arial" w:hAnsi="Arial" w:cs="Arial"/>
          <w:b w:val="0"/>
          <w:bCs w:val="0"/>
          <w:color w:val="auto"/>
          <w:spacing w:val="3"/>
          <w:w w:val="105"/>
          <w:sz w:val="18"/>
          <w:szCs w:val="18"/>
        </w:rPr>
        <w:t>The Huntingdale Activity Centre is an important gateway, transit interchange and node of activity for Monash University and the local community. A greatly improved public realm will change the feel of the area as a destination rather than simply acting as a transport interchange. Renewal of industrial precincts will boost local economic performance and expand the array of jobs in the cluster. Increased dwelling diversity and density will support a range of successful community, retail and recreational infrastructure.</w:t>
      </w:r>
    </w:p>
    <w:p w:rsidR="006315D0" w:rsidRPr="00DD6555" w:rsidRDefault="006315D0" w:rsidP="006315D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Action</w:t>
      </w:r>
    </w:p>
    <w:p w:rsidR="006315D0" w:rsidRPr="006315D0" w:rsidRDefault="006315D0" w:rsidP="006315D0">
      <w:pPr>
        <w:pStyle w:val="NoParagraphStyle"/>
        <w:suppressAutoHyphens/>
        <w:spacing w:before="170"/>
        <w:rPr>
          <w:rStyle w:val="guidelinenumbering"/>
          <w:rFonts w:ascii="Arial" w:hAnsi="Arial" w:cs="Arial"/>
          <w:b w:val="0"/>
          <w:bCs w:val="0"/>
          <w:color w:val="auto"/>
          <w:spacing w:val="3"/>
          <w:w w:val="105"/>
          <w:sz w:val="18"/>
          <w:szCs w:val="18"/>
        </w:rPr>
      </w:pPr>
      <w:r w:rsidRPr="006315D0">
        <w:rPr>
          <w:rStyle w:val="guidelinenumbering"/>
          <w:rFonts w:ascii="Arial" w:hAnsi="Arial" w:cs="Arial"/>
          <w:b w:val="0"/>
          <w:bCs w:val="0"/>
          <w:color w:val="auto"/>
          <w:spacing w:val="3"/>
          <w:w w:val="105"/>
          <w:sz w:val="18"/>
          <w:szCs w:val="18"/>
        </w:rPr>
        <w:t xml:space="preserve">City of Monash to prepare a structure plan for the Huntingdale Activity Centre to foster the creation of a successful transport interchange, address barriers caused by road and rail infrastructure and to support renewal achieving commercial growth and residential diversity in the area. </w:t>
      </w:r>
    </w:p>
    <w:p w:rsidR="006315D0" w:rsidRPr="00DD6555" w:rsidRDefault="006315D0" w:rsidP="006315D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Timing</w:t>
      </w:r>
    </w:p>
    <w:p w:rsidR="006315D0" w:rsidRPr="006315D0" w:rsidRDefault="006315D0" w:rsidP="006315D0">
      <w:pPr>
        <w:pStyle w:val="NoParagraphStyle"/>
        <w:suppressAutoHyphens/>
        <w:spacing w:before="170"/>
        <w:rPr>
          <w:rStyle w:val="guidelinenumbering"/>
          <w:rFonts w:ascii="Arial" w:hAnsi="Arial" w:cs="Arial"/>
          <w:b w:val="0"/>
          <w:bCs w:val="0"/>
          <w:color w:val="auto"/>
          <w:spacing w:val="3"/>
          <w:w w:val="105"/>
          <w:sz w:val="18"/>
          <w:szCs w:val="18"/>
        </w:rPr>
      </w:pPr>
      <w:r w:rsidRPr="006315D0">
        <w:rPr>
          <w:rStyle w:val="guidelinenumbering"/>
          <w:rFonts w:ascii="Arial" w:hAnsi="Arial" w:cs="Arial"/>
          <w:b w:val="0"/>
          <w:bCs w:val="0"/>
          <w:color w:val="auto"/>
          <w:spacing w:val="3"/>
          <w:w w:val="105"/>
          <w:sz w:val="18"/>
          <w:szCs w:val="18"/>
        </w:rPr>
        <w:t>Short term (1-5 years)</w:t>
      </w:r>
    </w:p>
    <w:p w:rsidR="006315D0" w:rsidRPr="00DD6555" w:rsidRDefault="006315D0" w:rsidP="006315D0">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Current Status</w:t>
      </w:r>
    </w:p>
    <w:p w:rsidR="006315D0" w:rsidRDefault="006315D0" w:rsidP="006315D0">
      <w:pPr>
        <w:rPr>
          <w:rStyle w:val="guidelinenumbering"/>
          <w:rFonts w:ascii="Arial" w:hAnsi="Arial" w:cs="Arial"/>
          <w:b w:val="0"/>
          <w:bCs w:val="0"/>
          <w:color w:val="auto"/>
          <w:spacing w:val="3"/>
          <w:w w:val="105"/>
          <w:sz w:val="18"/>
        </w:rPr>
      </w:pPr>
      <w:r w:rsidRPr="006315D0">
        <w:rPr>
          <w:rStyle w:val="guidelinenumbering"/>
          <w:rFonts w:ascii="Arial" w:hAnsi="Arial" w:cs="Arial"/>
          <w:b w:val="0"/>
          <w:bCs w:val="0"/>
          <w:color w:val="auto"/>
          <w:spacing w:val="3"/>
          <w:w w:val="105"/>
          <w:sz w:val="18"/>
        </w:rPr>
        <w:t>City of Monash is preparing a project scope for future planning of the Huntingdale Activity Centre and surrounding industrial precinct. The City of Monash’s Industrial Strategy identifies the Huntingdale / Oakleigh South employment land as a future business park commercial development. Under consideration in the Monash Planning Scheme Amendment C125 is application of the General Residential Zone to much of the area, however precincts closest to the Station are identified for further work under the Monash Housing Strategy.</w:t>
      </w:r>
    </w:p>
    <w:p w:rsidR="00284D50" w:rsidRDefault="00284D50" w:rsidP="006315D0">
      <w:pPr>
        <w:rPr>
          <w:rStyle w:val="guidelinenumbering"/>
          <w:rFonts w:ascii="Arial" w:hAnsi="Arial" w:cs="Arial"/>
          <w:b w:val="0"/>
          <w:bCs w:val="0"/>
          <w:color w:val="auto"/>
          <w:spacing w:val="3"/>
          <w:w w:val="105"/>
          <w:sz w:val="18"/>
        </w:rPr>
      </w:pPr>
    </w:p>
    <w:p w:rsidR="00284D50" w:rsidRDefault="00AC6C61" w:rsidP="006315D0">
      <w:pPr>
        <w:rPr>
          <w:rStyle w:val="guidelinenumbering"/>
          <w:rFonts w:ascii="Arial" w:hAnsi="Arial" w:cs="Arial"/>
          <w:b w:val="0"/>
          <w:bCs w:val="0"/>
          <w:color w:val="auto"/>
          <w:spacing w:val="3"/>
          <w:w w:val="105"/>
          <w:sz w:val="18"/>
        </w:rPr>
      </w:pPr>
      <w:r>
        <w:rPr>
          <w:rStyle w:val="guidelinenumbering"/>
          <w:rFonts w:ascii="Arial" w:hAnsi="Arial" w:cs="Arial"/>
          <w:b w:val="0"/>
          <w:bCs w:val="0"/>
          <w:color w:val="auto"/>
          <w:spacing w:val="3"/>
          <w:w w:val="105"/>
          <w:sz w:val="18"/>
        </w:rPr>
        <w:lastRenderedPageBreak/>
        <w:br w:type="page"/>
      </w:r>
      <w:r w:rsidR="00AE582F">
        <w:rPr>
          <w:noProof/>
        </w:rPr>
        <w:drawing>
          <wp:anchor distT="0" distB="0" distL="114300" distR="114300" simplePos="0" relativeHeight="251656189" behindDoc="0" locked="0" layoutInCell="1" allowOverlap="1" wp14:anchorId="75E6E168" wp14:editId="35624E1D">
            <wp:simplePos x="0" y="0"/>
            <wp:positionH relativeFrom="margin">
              <wp:align>left</wp:align>
            </wp:positionH>
            <wp:positionV relativeFrom="paragraph">
              <wp:posOffset>435861</wp:posOffset>
            </wp:positionV>
            <wp:extent cx="5396230" cy="4693920"/>
            <wp:effectExtent l="0" t="0" r="0" b="0"/>
            <wp:wrapSquare wrapText="bothSides"/>
            <wp:docPr id="21" name="Picture 21" descr="This is an aerial photograph of the Huntingdale Activity Centre, with the location of the activity centre shown in a context map below" title="Huntingdale Activit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396230" cy="4693920"/>
                    </a:xfrm>
                    <a:prstGeom prst="rect">
                      <a:avLst/>
                    </a:prstGeom>
                  </pic:spPr>
                </pic:pic>
              </a:graphicData>
            </a:graphic>
          </wp:anchor>
        </w:drawing>
      </w:r>
      <w:r w:rsidR="009548CB">
        <w:rPr>
          <w:rFonts w:cs="Arial"/>
          <w:b/>
          <w:bCs/>
          <w:noProof/>
          <w:spacing w:val="3"/>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alt="Diagram of key areas described in the above plan. " style="position:absolute;left:0;text-align:left;margin-left:91.75pt;margin-top:371.35pt;width:228.6pt;height:323.35pt;z-index:251685888;mso-position-horizontal-relative:text;mso-position-vertical-relative:text;mso-width-relative:page;mso-height-relative:page">
            <v:imagedata r:id="rId32" o:title=""/>
            <w10:wrap type="square"/>
          </v:shape>
          <o:OLEObject Type="Embed" ProgID="Acrobat.Document.DC" ShapeID="_x0000_s1038" DrawAspect="Content" ObjectID="_1551685516" r:id="rId33"/>
        </w:object>
      </w:r>
      <w:r w:rsidR="001C633A">
        <w:rPr>
          <w:noProof/>
        </w:rPr>
        <mc:AlternateContent>
          <mc:Choice Requires="wps">
            <w:drawing>
              <wp:anchor distT="0" distB="0" distL="114300" distR="114300" simplePos="0" relativeHeight="251689984" behindDoc="0" locked="0" layoutInCell="1" allowOverlap="1" wp14:anchorId="6ACCFC6F" wp14:editId="54FD1340">
                <wp:simplePos x="0" y="0"/>
                <wp:positionH relativeFrom="column">
                  <wp:posOffset>0</wp:posOffset>
                </wp:positionH>
                <wp:positionV relativeFrom="paragraph">
                  <wp:posOffset>0</wp:posOffset>
                </wp:positionV>
                <wp:extent cx="5638800" cy="4572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638800"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bCs/>
                                <w:noProof/>
                                <w:color w:val="auto"/>
                                <w:spacing w:val="3"/>
                              </w:rPr>
                            </w:pPr>
                            <w:bookmarkStart w:id="19" w:name="_Toc477870545"/>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7</w:t>
                            </w:r>
                            <w:r w:rsidRPr="001C633A">
                              <w:rPr>
                                <w:rFonts w:ascii="Arial" w:hAnsi="Arial" w:cs="Arial"/>
                                <w:b/>
                                <w:color w:val="auto"/>
                              </w:rPr>
                              <w:fldChar w:fldCharType="end"/>
                            </w:r>
                            <w:r w:rsidRPr="001C633A">
                              <w:rPr>
                                <w:rFonts w:ascii="Arial" w:hAnsi="Arial" w:cs="Arial"/>
                                <w:color w:val="auto"/>
                              </w:rPr>
                              <w:t xml:space="preserve"> Huntingdale</w:t>
                            </w:r>
                            <w:r>
                              <w:rPr>
                                <w:rFonts w:ascii="Arial" w:hAnsi="Arial" w:cs="Arial"/>
                                <w:color w:val="auto"/>
                              </w:rPr>
                              <w:t xml:space="preserve"> Activity Centre</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ACCFC6F" id="Text Box 3" o:spid="_x0000_s1027" type="#_x0000_t202" style="position:absolute;left:0;text-align:left;margin-left:0;margin-top:0;width:444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" stroked="f">
                <v:textbox inset="0,0,0,0">
                  <w:txbxContent>
                    <w:p w:rsidR="0058515B" w:rsidRPr="001C633A" w:rsidRDefault="0058515B" w:rsidP="001C633A">
                      <w:pPr>
                        <w:pStyle w:val="Caption"/>
                        <w:rPr>
                          <w:rFonts w:ascii="Arial" w:hAnsi="Arial" w:cs="Arial"/>
                          <w:bCs/>
                          <w:noProof/>
                          <w:color w:val="auto"/>
                          <w:spacing w:val="3"/>
                        </w:rPr>
                      </w:pPr>
                      <w:bookmarkStart w:id="20" w:name="_Toc477870545"/>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7</w:t>
                      </w:r>
                      <w:r w:rsidRPr="001C633A">
                        <w:rPr>
                          <w:rFonts w:ascii="Arial" w:hAnsi="Arial" w:cs="Arial"/>
                          <w:b/>
                          <w:color w:val="auto"/>
                        </w:rPr>
                        <w:fldChar w:fldCharType="end"/>
                      </w:r>
                      <w:r w:rsidRPr="001C633A">
                        <w:rPr>
                          <w:rFonts w:ascii="Arial" w:hAnsi="Arial" w:cs="Arial"/>
                          <w:color w:val="auto"/>
                        </w:rPr>
                        <w:t xml:space="preserve"> Huntingdale</w:t>
                      </w:r>
                      <w:r>
                        <w:rPr>
                          <w:rFonts w:ascii="Arial" w:hAnsi="Arial" w:cs="Arial"/>
                          <w:color w:val="auto"/>
                        </w:rPr>
                        <w:t xml:space="preserve"> Activity Centre</w:t>
                      </w:r>
                      <w:bookmarkEnd w:id="20"/>
                    </w:p>
                  </w:txbxContent>
                </v:textbox>
                <w10:wrap type="square"/>
              </v:shape>
            </w:pict>
          </mc:Fallback>
        </mc:AlternateContent>
      </w:r>
    </w:p>
    <w:p w:rsidR="00284D50" w:rsidRPr="00C04134" w:rsidRDefault="00284D50" w:rsidP="00284D50">
      <w:pPr>
        <w:pStyle w:val="Heading1nonumbers"/>
        <w:rPr>
          <w:rStyle w:val="guidelinenumbering"/>
          <w:rFonts w:cs="Arial"/>
          <w:b w:val="0"/>
          <w:bCs w:val="0"/>
          <w:color w:val="auto"/>
          <w:spacing w:val="3"/>
          <w:w w:val="105"/>
          <w:sz w:val="32"/>
          <w:szCs w:val="18"/>
        </w:rPr>
      </w:pPr>
      <w:bookmarkStart w:id="20" w:name="_Toc477870459"/>
      <w:r>
        <w:rPr>
          <w:rStyle w:val="guidelinenumbering"/>
          <w:rFonts w:cs="Arial"/>
          <w:b w:val="0"/>
          <w:bCs w:val="0"/>
          <w:color w:val="auto"/>
          <w:spacing w:val="3"/>
          <w:w w:val="105"/>
          <w:sz w:val="32"/>
          <w:szCs w:val="18"/>
        </w:rPr>
        <w:lastRenderedPageBreak/>
        <w:t>5.2 – Clayton activity centre</w:t>
      </w:r>
      <w:bookmarkEnd w:id="20"/>
    </w:p>
    <w:p w:rsidR="00284D50" w:rsidRPr="00DD6555" w:rsidRDefault="00284D50" w:rsidP="00284D50">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Key Elements</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125 Hectares</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Clayton Train Station (to be rebuilt as part of Cranbourne-Pakenham rail upgrades)</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Monash Medical Centre and Children’s Hospital</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Clayton Road shopping strip</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Proposed level crossing removals on Clayton Road and Centre Road</w:t>
      </w:r>
    </w:p>
    <w:p w:rsidR="00284D50" w:rsidRPr="00284D50" w:rsidRDefault="00284D50" w:rsidP="00284D50">
      <w:pPr>
        <w:pStyle w:val="List1bullet"/>
        <w:rPr>
          <w:rStyle w:val="guidelinenumbering"/>
          <w:rFonts w:ascii="Arial" w:hAnsi="Arial" w:cs="Arial"/>
          <w:b w:val="0"/>
          <w:bCs w:val="0"/>
          <w:color w:val="auto"/>
          <w:sz w:val="18"/>
        </w:rPr>
      </w:pPr>
      <w:r w:rsidRPr="00284D50">
        <w:rPr>
          <w:rStyle w:val="guidelinenumbering"/>
          <w:rFonts w:ascii="Arial" w:hAnsi="Arial" w:cs="Arial"/>
          <w:b w:val="0"/>
          <w:bCs w:val="0"/>
          <w:color w:val="auto"/>
          <w:sz w:val="18"/>
        </w:rPr>
        <w:t>Clayton Community Centre</w:t>
      </w:r>
    </w:p>
    <w:p w:rsidR="00284D50" w:rsidRPr="00284D50" w:rsidRDefault="00284D50" w:rsidP="00284D50">
      <w:pPr>
        <w:pStyle w:val="List1bullet"/>
        <w:rPr>
          <w:rStyle w:val="guidelinenumbering"/>
          <w:rFonts w:ascii="Arial" w:hAnsi="Arial" w:cs="Arial"/>
          <w:b w:val="0"/>
          <w:bCs w:val="0"/>
          <w:color w:val="auto"/>
          <w:sz w:val="18"/>
        </w:rPr>
      </w:pPr>
      <w:r>
        <w:rPr>
          <w:rStyle w:val="guidelinenumbering"/>
          <w:rFonts w:ascii="Arial" w:hAnsi="Arial" w:cs="Arial"/>
          <w:b w:val="0"/>
          <w:bCs w:val="0"/>
          <w:color w:val="auto"/>
          <w:sz w:val="18"/>
        </w:rPr>
        <w:t>Fre</w:t>
      </w:r>
      <w:r w:rsidRPr="00284D50">
        <w:rPr>
          <w:rStyle w:val="guidelinenumbering"/>
          <w:rFonts w:ascii="Arial" w:hAnsi="Arial" w:cs="Arial"/>
          <w:b w:val="0"/>
          <w:bCs w:val="0"/>
          <w:color w:val="auto"/>
          <w:sz w:val="18"/>
        </w:rPr>
        <w:t>gon Reserve and Meade Reserve</w:t>
      </w:r>
    </w:p>
    <w:p w:rsidR="00284D50" w:rsidRPr="00DD6555" w:rsidRDefault="00284D50" w:rsidP="00284D5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Long Term Objectives</w:t>
      </w:r>
    </w:p>
    <w:p w:rsidR="00284D50" w:rsidRPr="00284D50" w:rsidRDefault="00284D50" w:rsidP="00284D50">
      <w:pPr>
        <w:pStyle w:val="NoParagraphStyle"/>
        <w:suppressAutoHyphens/>
        <w:spacing w:before="170"/>
        <w:rPr>
          <w:rStyle w:val="guidelinenumbering"/>
          <w:rFonts w:ascii="Arial" w:hAnsi="Arial" w:cs="Arial"/>
          <w:b w:val="0"/>
          <w:bCs w:val="0"/>
          <w:color w:val="auto"/>
          <w:sz w:val="18"/>
          <w:szCs w:val="18"/>
        </w:rPr>
      </w:pPr>
      <w:r w:rsidRPr="00284D50">
        <w:rPr>
          <w:rStyle w:val="guidelinenumbering"/>
          <w:rFonts w:ascii="Arial" w:hAnsi="Arial" w:cs="Arial"/>
          <w:b w:val="0"/>
          <w:bCs w:val="0"/>
          <w:color w:val="auto"/>
          <w:spacing w:val="3"/>
          <w:w w:val="105"/>
          <w:sz w:val="18"/>
          <w:szCs w:val="18"/>
        </w:rPr>
        <w:t>Clayton Activity Centre will be one of a series of centres in the Monash Cluster. It will be home to a diverse mix of uses that will support the local and regional community. Increased access to services and facilities, improved housing diversity and vastly improved public spaces will elevate the importance of this centre as a major destination. The level crossing removals on Clayton Road and Centre Road, provision of new public open spaces and upgrades to the railway station will be leveraged to catalyse changes nearby. These changes will further support the establishment of the Clayton Train Station transport interchange and shopping centre as a pivotal hub for the nearby Health, Education and Research Precinct.</w:t>
      </w:r>
    </w:p>
    <w:p w:rsidR="00284D50" w:rsidRPr="00DD6555" w:rsidRDefault="00284D50" w:rsidP="00284D5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Action</w:t>
      </w:r>
    </w:p>
    <w:p w:rsidR="00284D50" w:rsidRPr="00284D50" w:rsidRDefault="00284D50" w:rsidP="00284D50">
      <w:pPr>
        <w:pStyle w:val="NoParagraphStyle"/>
        <w:suppressAutoHyphens/>
        <w:spacing w:before="170"/>
        <w:rPr>
          <w:rStyle w:val="guidelinenumbering"/>
          <w:rFonts w:ascii="Arial" w:hAnsi="Arial" w:cs="Arial"/>
          <w:b w:val="0"/>
          <w:bCs w:val="0"/>
          <w:color w:val="auto"/>
          <w:spacing w:val="3"/>
          <w:w w:val="105"/>
          <w:sz w:val="18"/>
          <w:szCs w:val="18"/>
        </w:rPr>
      </w:pPr>
      <w:r w:rsidRPr="00284D50">
        <w:rPr>
          <w:rStyle w:val="guidelinenumbering"/>
          <w:rFonts w:ascii="Arial" w:hAnsi="Arial" w:cs="Arial"/>
          <w:b w:val="0"/>
          <w:bCs w:val="0"/>
          <w:color w:val="auto"/>
          <w:spacing w:val="3"/>
          <w:w w:val="105"/>
          <w:sz w:val="18"/>
          <w:szCs w:val="18"/>
        </w:rPr>
        <w:t xml:space="preserve">VPA (in collaboration with the Cities of Monash and Kingston) to prepare a structure plan and streetscape master plan for the Clayton Activity Centre to grow retail and employment, improve the public realm, support a greater mix of housing and develop a network of open spaces.  </w:t>
      </w:r>
    </w:p>
    <w:p w:rsidR="00284D50" w:rsidRPr="00DD6555" w:rsidRDefault="00284D50" w:rsidP="00284D50">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Timing</w:t>
      </w:r>
    </w:p>
    <w:p w:rsidR="00284D50" w:rsidRPr="00284D50" w:rsidRDefault="00284D50" w:rsidP="00284D50">
      <w:pPr>
        <w:pStyle w:val="NoParagraphStyle"/>
        <w:suppressAutoHyphens/>
        <w:spacing w:before="170"/>
        <w:rPr>
          <w:rStyle w:val="guidelinenumbering"/>
          <w:rFonts w:ascii="Arial" w:hAnsi="Arial" w:cs="Arial"/>
          <w:b w:val="0"/>
          <w:bCs w:val="0"/>
          <w:color w:val="auto"/>
          <w:spacing w:val="3"/>
          <w:w w:val="105"/>
          <w:sz w:val="18"/>
          <w:szCs w:val="18"/>
        </w:rPr>
      </w:pPr>
      <w:r w:rsidRPr="00284D50">
        <w:rPr>
          <w:rStyle w:val="guidelinenumbering"/>
          <w:rFonts w:ascii="Arial" w:hAnsi="Arial" w:cs="Arial"/>
          <w:b w:val="0"/>
          <w:bCs w:val="0"/>
          <w:color w:val="auto"/>
          <w:spacing w:val="3"/>
          <w:w w:val="105"/>
          <w:sz w:val="18"/>
          <w:szCs w:val="18"/>
        </w:rPr>
        <w:t xml:space="preserve">Short term (1-5 years) </w:t>
      </w:r>
    </w:p>
    <w:p w:rsidR="00284D50" w:rsidRPr="00DD6555" w:rsidRDefault="00284D50" w:rsidP="00284D50">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Current Status</w:t>
      </w:r>
    </w:p>
    <w:p w:rsidR="00284D50" w:rsidRDefault="00284D50" w:rsidP="00284D50">
      <w:pPr>
        <w:rPr>
          <w:rStyle w:val="guidelinenumbering"/>
          <w:rFonts w:ascii="Arial" w:hAnsi="Arial" w:cs="Arial"/>
          <w:b w:val="0"/>
          <w:bCs w:val="0"/>
          <w:color w:val="auto"/>
          <w:spacing w:val="3"/>
          <w:w w:val="105"/>
          <w:sz w:val="18"/>
        </w:rPr>
      </w:pPr>
      <w:r w:rsidRPr="00284D50">
        <w:rPr>
          <w:rStyle w:val="guidelinenumbering"/>
          <w:rFonts w:ascii="Arial" w:hAnsi="Arial" w:cs="Arial"/>
          <w:b w:val="0"/>
          <w:bCs w:val="0"/>
          <w:color w:val="auto"/>
          <w:spacing w:val="3"/>
          <w:w w:val="105"/>
          <w:sz w:val="18"/>
        </w:rPr>
        <w:t>The VPA is currently leading the preparation of a precinct structure plan for the Clayton Activity Centre.</w:t>
      </w:r>
    </w:p>
    <w:p w:rsidR="00284D50" w:rsidRDefault="00AC6C61" w:rsidP="00284D50">
      <w:pPr>
        <w:rPr>
          <w:rStyle w:val="guidelinenumbering"/>
          <w:rFonts w:ascii="Arial" w:hAnsi="Arial" w:cs="Arial"/>
          <w:b w:val="0"/>
          <w:bCs w:val="0"/>
          <w:color w:val="auto"/>
          <w:spacing w:val="3"/>
          <w:w w:val="105"/>
          <w:sz w:val="18"/>
        </w:rPr>
      </w:pPr>
      <w:r>
        <w:rPr>
          <w:rStyle w:val="guidelinenumbering"/>
          <w:rFonts w:ascii="Arial" w:hAnsi="Arial" w:cs="Arial"/>
          <w:b w:val="0"/>
          <w:bCs w:val="0"/>
          <w:color w:val="auto"/>
          <w:spacing w:val="3"/>
          <w:w w:val="105"/>
          <w:sz w:val="18"/>
        </w:rPr>
        <w:br w:type="page"/>
      </w:r>
      <w:r w:rsidR="000A2025">
        <w:rPr>
          <w:noProof/>
        </w:rPr>
        <w:lastRenderedPageBreak/>
        <w:drawing>
          <wp:anchor distT="0" distB="0" distL="114300" distR="114300" simplePos="0" relativeHeight="251704320" behindDoc="0" locked="0" layoutInCell="1" allowOverlap="1">
            <wp:simplePos x="0" y="0"/>
            <wp:positionH relativeFrom="margin">
              <wp:align>left</wp:align>
            </wp:positionH>
            <wp:positionV relativeFrom="paragraph">
              <wp:posOffset>248359</wp:posOffset>
            </wp:positionV>
            <wp:extent cx="5396230" cy="4139565"/>
            <wp:effectExtent l="0" t="0" r="0" b="0"/>
            <wp:wrapSquare wrapText="bothSides"/>
            <wp:docPr id="22" name="Picture 22" descr="This is an aerial photograph of the Clayton Activity Centre, with the location of the activity centre shown in a context map below" title="Clayton Activit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396230" cy="4139565"/>
                    </a:xfrm>
                    <a:prstGeom prst="rect">
                      <a:avLst/>
                    </a:prstGeom>
                  </pic:spPr>
                </pic:pic>
              </a:graphicData>
            </a:graphic>
          </wp:anchor>
        </w:drawing>
      </w:r>
      <w:r w:rsidR="000A2025">
        <w:rPr>
          <w:noProof/>
        </w:rPr>
        <w:t xml:space="preserve"> </w:t>
      </w:r>
      <w:r w:rsidR="001C633A">
        <w:rPr>
          <w:noProof/>
        </w:rPr>
        <mc:AlternateContent>
          <mc:Choice Requires="wps">
            <w:drawing>
              <wp:anchor distT="0" distB="0" distL="114300" distR="114300" simplePos="0" relativeHeight="251692032" behindDoc="0" locked="0" layoutInCell="1" allowOverlap="1" wp14:anchorId="6316C40B" wp14:editId="7B6BB435">
                <wp:simplePos x="0" y="0"/>
                <wp:positionH relativeFrom="column">
                  <wp:posOffset>-3175</wp:posOffset>
                </wp:positionH>
                <wp:positionV relativeFrom="paragraph">
                  <wp:posOffset>-3810</wp:posOffset>
                </wp:positionV>
                <wp:extent cx="5295900" cy="457200"/>
                <wp:effectExtent l="0" t="0" r="0" b="0"/>
                <wp:wrapNone/>
                <wp:docPr id="4" name="Text Box 4"/>
                <wp:cNvGraphicFramePr/>
                <a:graphic xmlns:a="http://schemas.openxmlformats.org/drawingml/2006/main">
                  <a:graphicData uri="http://schemas.microsoft.com/office/word/2010/wordprocessingShape">
                    <wps:wsp>
                      <wps:cNvSpPr txBox="1"/>
                      <wps:spPr>
                        <a:xfrm>
                          <a:off x="0" y="0"/>
                          <a:ext cx="5295900"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b/>
                                <w:bCs/>
                                <w:noProof/>
                                <w:color w:val="auto"/>
                                <w:spacing w:val="3"/>
                              </w:rPr>
                            </w:pPr>
                            <w:bookmarkStart w:id="21" w:name="_Toc477870546"/>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8</w:t>
                            </w:r>
                            <w:r w:rsidRPr="001C633A">
                              <w:rPr>
                                <w:rFonts w:ascii="Arial" w:hAnsi="Arial" w:cs="Arial"/>
                                <w:b/>
                                <w:color w:val="auto"/>
                              </w:rPr>
                              <w:fldChar w:fldCharType="end"/>
                            </w:r>
                            <w:r w:rsidRPr="001C633A">
                              <w:rPr>
                                <w:rFonts w:ascii="Arial" w:hAnsi="Arial" w:cs="Arial"/>
                                <w:color w:val="auto"/>
                              </w:rPr>
                              <w:t xml:space="preserve"> Clayton Activity Centre</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316C40B" id="Text Box 4" o:spid="_x0000_s1028" type="#_x0000_t202" style="position:absolute;left:0;text-align:left;margin-left:-.25pt;margin-top:-.3pt;width:417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" stroked="f">
                <v:textbox inset="0,0,0,0">
                  <w:txbxContent>
                    <w:p w:rsidR="0058515B" w:rsidRPr="001C633A" w:rsidRDefault="0058515B" w:rsidP="001C633A">
                      <w:pPr>
                        <w:pStyle w:val="Caption"/>
                        <w:rPr>
                          <w:rFonts w:ascii="Arial" w:hAnsi="Arial" w:cs="Arial"/>
                          <w:b/>
                          <w:bCs/>
                          <w:noProof/>
                          <w:color w:val="auto"/>
                          <w:spacing w:val="3"/>
                        </w:rPr>
                      </w:pPr>
                      <w:bookmarkStart w:id="23" w:name="_Toc477870546"/>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8</w:t>
                      </w:r>
                      <w:r w:rsidRPr="001C633A">
                        <w:rPr>
                          <w:rFonts w:ascii="Arial" w:hAnsi="Arial" w:cs="Arial"/>
                          <w:b/>
                          <w:color w:val="auto"/>
                        </w:rPr>
                        <w:fldChar w:fldCharType="end"/>
                      </w:r>
                      <w:r w:rsidRPr="001C633A">
                        <w:rPr>
                          <w:rFonts w:ascii="Arial" w:hAnsi="Arial" w:cs="Arial"/>
                          <w:color w:val="auto"/>
                        </w:rPr>
                        <w:t xml:space="preserve"> Clayton Activity Centre</w:t>
                      </w:r>
                      <w:bookmarkEnd w:id="23"/>
                    </w:p>
                  </w:txbxContent>
                </v:textbox>
              </v:shape>
            </w:pict>
          </mc:Fallback>
        </mc:AlternateContent>
      </w:r>
    </w:p>
    <w:p w:rsidR="00284D50" w:rsidRDefault="00284D50" w:rsidP="00284D50">
      <w:pPr>
        <w:rPr>
          <w:rStyle w:val="guidelinenumbering"/>
          <w:rFonts w:ascii="Arial" w:hAnsi="Arial" w:cs="Arial"/>
          <w:b w:val="0"/>
          <w:bCs w:val="0"/>
          <w:color w:val="auto"/>
          <w:spacing w:val="3"/>
          <w:w w:val="105"/>
          <w:sz w:val="18"/>
        </w:rPr>
      </w:pPr>
    </w:p>
    <w:p w:rsidR="00284D50" w:rsidRDefault="009548CB" w:rsidP="00284D50">
      <w:pPr>
        <w:rPr>
          <w:rStyle w:val="guidelinenumbering"/>
          <w:rFonts w:ascii="Arial" w:hAnsi="Arial" w:cs="Arial"/>
          <w:b w:val="0"/>
          <w:bCs w:val="0"/>
          <w:color w:val="auto"/>
          <w:spacing w:val="3"/>
          <w:w w:val="105"/>
          <w:sz w:val="18"/>
        </w:rPr>
      </w:pPr>
      <w:r>
        <w:rPr>
          <w:rFonts w:cs="Arial"/>
          <w:b/>
          <w:bCs/>
          <w:noProof/>
          <w:spacing w:val="3"/>
        </w:rPr>
        <w:object w:dxaOrig="1440" w:dyaOrig="1440">
          <v:shape id="_x0000_s1036" type="#_x0000_t75" alt="Diagram of key areas described in the above plan. " style="position:absolute;left:0;text-align:left;margin-left:82.5pt;margin-top:5.1pt;width:228.75pt;height:323.9pt;z-index:251681792;mso-position-horizontal-relative:text;mso-position-vertical-relative:text;mso-width-relative:page;mso-height-relative:page">
            <v:imagedata r:id="rId35" o:title=""/>
            <w10:wrap type="square"/>
          </v:shape>
          <o:OLEObject Type="Embed" ProgID="Acrobat.Document.DC" ShapeID="_x0000_s1036" DrawAspect="Content" ObjectID="_1551685517" r:id="rId36"/>
        </w:object>
      </w:r>
    </w:p>
    <w:p w:rsidR="00284D50" w:rsidRDefault="00284D50" w:rsidP="00284D50">
      <w:pPr>
        <w:rPr>
          <w:rStyle w:val="guidelinenumbering"/>
          <w:rFonts w:ascii="Arial" w:hAnsi="Arial" w:cs="Arial"/>
          <w:b w:val="0"/>
          <w:bCs w:val="0"/>
          <w:color w:val="auto"/>
          <w:spacing w:val="3"/>
          <w:w w:val="105"/>
          <w:sz w:val="18"/>
        </w:rPr>
      </w:pPr>
    </w:p>
    <w:p w:rsidR="00284D50" w:rsidRDefault="00284D50" w:rsidP="00284D50">
      <w:pPr>
        <w:rPr>
          <w:rStyle w:val="guidelinenumbering"/>
          <w:rFonts w:ascii="Arial" w:hAnsi="Arial" w:cs="Arial"/>
          <w:b w:val="0"/>
          <w:bCs w:val="0"/>
          <w:color w:val="auto"/>
          <w:spacing w:val="3"/>
          <w:w w:val="105"/>
          <w:sz w:val="18"/>
        </w:rPr>
      </w:pPr>
    </w:p>
    <w:p w:rsidR="00284D50" w:rsidRPr="00C04134" w:rsidRDefault="00284D50" w:rsidP="00284D50">
      <w:pPr>
        <w:pStyle w:val="Heading1nonumbers"/>
        <w:rPr>
          <w:rStyle w:val="guidelinenumbering"/>
          <w:rFonts w:cs="Arial"/>
          <w:b w:val="0"/>
          <w:bCs w:val="0"/>
          <w:color w:val="auto"/>
          <w:spacing w:val="3"/>
          <w:w w:val="105"/>
          <w:sz w:val="32"/>
          <w:szCs w:val="18"/>
        </w:rPr>
      </w:pPr>
      <w:bookmarkStart w:id="22" w:name="_Toc477870460"/>
      <w:r>
        <w:rPr>
          <w:rStyle w:val="guidelinenumbering"/>
          <w:rFonts w:cs="Arial"/>
          <w:b w:val="0"/>
          <w:bCs w:val="0"/>
          <w:color w:val="auto"/>
          <w:spacing w:val="3"/>
          <w:w w:val="105"/>
          <w:sz w:val="32"/>
          <w:szCs w:val="18"/>
        </w:rPr>
        <w:lastRenderedPageBreak/>
        <w:t>5.3 – springvale activity centre</w:t>
      </w:r>
      <w:bookmarkEnd w:id="22"/>
    </w:p>
    <w:p w:rsidR="00284D50" w:rsidRPr="00DD6555" w:rsidRDefault="00284D50" w:rsidP="00284D50">
      <w:pPr>
        <w:autoSpaceDE w:val="0"/>
        <w:autoSpaceDN w:val="0"/>
        <w:adjustRightInd w:val="0"/>
        <w:spacing w:before="170" w:line="288" w:lineRule="auto"/>
        <w:jc w:val="left"/>
        <w:textAlignment w:val="center"/>
        <w:rPr>
          <w:rFonts w:ascii="VIC" w:hAnsi="VIC" w:cs="VIC"/>
          <w:bCs/>
          <w:spacing w:val="3"/>
          <w:w w:val="105"/>
          <w:sz w:val="22"/>
          <w:szCs w:val="22"/>
          <w:lang w:val="en-GB"/>
        </w:rPr>
      </w:pPr>
      <w:r w:rsidRPr="00DD6555">
        <w:rPr>
          <w:rFonts w:ascii="VIC" w:hAnsi="VIC" w:cs="VIC"/>
          <w:bCs/>
          <w:spacing w:val="3"/>
          <w:w w:val="105"/>
          <w:sz w:val="22"/>
          <w:szCs w:val="22"/>
          <w:lang w:val="en-GB"/>
        </w:rPr>
        <w:t>Key Elements</w:t>
      </w:r>
    </w:p>
    <w:p w:rsidR="00284D50" w:rsidRPr="00284D50" w:rsidRDefault="00284D50" w:rsidP="00284D50">
      <w:pPr>
        <w:pStyle w:val="List1bullet"/>
        <w:rPr>
          <w:lang w:val="en-GB"/>
        </w:rPr>
      </w:pPr>
      <w:r w:rsidRPr="00284D50">
        <w:rPr>
          <w:lang w:val="en-GB"/>
        </w:rPr>
        <w:t>220 Hectares</w:t>
      </w:r>
    </w:p>
    <w:p w:rsidR="00284D50" w:rsidRPr="00284D50" w:rsidRDefault="00284D50" w:rsidP="00284D50">
      <w:pPr>
        <w:pStyle w:val="List1bullet"/>
        <w:rPr>
          <w:lang w:val="en-GB"/>
        </w:rPr>
      </w:pPr>
      <w:r w:rsidRPr="00284D50">
        <w:rPr>
          <w:lang w:val="en-GB"/>
        </w:rPr>
        <w:t>Springvale Train Station</w:t>
      </w:r>
    </w:p>
    <w:p w:rsidR="00284D50" w:rsidRPr="00284D50" w:rsidRDefault="00284D50" w:rsidP="00284D50">
      <w:pPr>
        <w:pStyle w:val="List1bullet"/>
        <w:rPr>
          <w:lang w:val="en-GB"/>
        </w:rPr>
      </w:pPr>
      <w:r w:rsidRPr="00284D50">
        <w:rPr>
          <w:lang w:val="en-GB"/>
        </w:rPr>
        <w:t xml:space="preserve">Growing night time economy and retail diversity </w:t>
      </w:r>
    </w:p>
    <w:p w:rsidR="00284D50" w:rsidRPr="00284D50" w:rsidRDefault="00284D50" w:rsidP="00284D50">
      <w:pPr>
        <w:pStyle w:val="List1bullet"/>
        <w:rPr>
          <w:lang w:val="en-GB"/>
        </w:rPr>
      </w:pPr>
      <w:r w:rsidRPr="00284D50">
        <w:rPr>
          <w:lang w:val="en-GB"/>
        </w:rPr>
        <w:t>Springvale Community Precinct</w:t>
      </w:r>
    </w:p>
    <w:p w:rsidR="00284D50" w:rsidRPr="00284D50" w:rsidRDefault="00284D50" w:rsidP="00284D50">
      <w:pPr>
        <w:pStyle w:val="List1bullet"/>
        <w:rPr>
          <w:lang w:val="en-GB"/>
        </w:rPr>
      </w:pPr>
      <w:r w:rsidRPr="00284D50">
        <w:rPr>
          <w:lang w:val="en-GB"/>
        </w:rPr>
        <w:t>Springvale Road Boulevard upgrade</w:t>
      </w:r>
    </w:p>
    <w:p w:rsidR="00284D50" w:rsidRPr="00284D50" w:rsidRDefault="00284D50" w:rsidP="00284D50">
      <w:pPr>
        <w:pStyle w:val="List1bullet"/>
        <w:rPr>
          <w:lang w:val="en-GB"/>
        </w:rPr>
      </w:pPr>
      <w:r w:rsidRPr="00284D50">
        <w:rPr>
          <w:lang w:val="en-GB"/>
        </w:rPr>
        <w:t>Asian Cultural Precinct</w:t>
      </w:r>
    </w:p>
    <w:p w:rsidR="00284D50" w:rsidRPr="00DD6555" w:rsidRDefault="00284D50" w:rsidP="00284D50">
      <w:pPr>
        <w:autoSpaceDE w:val="0"/>
        <w:autoSpaceDN w:val="0"/>
        <w:adjustRightInd w:val="0"/>
        <w:spacing w:before="170" w:line="288" w:lineRule="auto"/>
        <w:jc w:val="left"/>
        <w:textAlignment w:val="center"/>
        <w:rPr>
          <w:rFonts w:ascii="VIC" w:hAnsi="VIC" w:cs="VIC"/>
          <w:bCs/>
          <w:spacing w:val="3"/>
          <w:w w:val="105"/>
          <w:sz w:val="22"/>
          <w:szCs w:val="22"/>
          <w:lang w:val="en-GB"/>
        </w:rPr>
      </w:pPr>
      <w:r w:rsidRPr="00DD6555">
        <w:rPr>
          <w:rFonts w:ascii="VIC" w:hAnsi="VIC" w:cs="VIC"/>
          <w:bCs/>
          <w:spacing w:val="3"/>
          <w:w w:val="105"/>
          <w:sz w:val="22"/>
          <w:szCs w:val="22"/>
          <w:lang w:val="en-GB"/>
        </w:rPr>
        <w:t>Long Term Objectives</w:t>
      </w:r>
    </w:p>
    <w:p w:rsidR="00284D50" w:rsidRPr="00284D50" w:rsidRDefault="00284D50" w:rsidP="00284D50">
      <w:pPr>
        <w:autoSpaceDE w:val="0"/>
        <w:autoSpaceDN w:val="0"/>
        <w:adjustRightInd w:val="0"/>
        <w:spacing w:before="170" w:line="288" w:lineRule="auto"/>
        <w:jc w:val="left"/>
        <w:textAlignment w:val="center"/>
        <w:rPr>
          <w:rFonts w:cs="Arial"/>
          <w:lang w:val="en-GB"/>
        </w:rPr>
      </w:pPr>
      <w:r w:rsidRPr="00284D50">
        <w:rPr>
          <w:rFonts w:cs="Arial"/>
          <w:spacing w:val="3"/>
          <w:w w:val="105"/>
          <w:lang w:val="en-GB"/>
        </w:rPr>
        <w:t xml:space="preserve">Building on its unique cultural and food retailing strengths, Springvale Activity Centre will increasingly become a place of business growth and local employment opportunities supporting local living. A high degree of connectivity and accessibility for pedestrians and cyclists will improve movement and access. Greater housing choices </w:t>
      </w:r>
      <w:r w:rsidR="00214090">
        <w:rPr>
          <w:rFonts w:cs="Arial"/>
          <w:spacing w:val="3"/>
          <w:w w:val="105"/>
          <w:lang w:val="en-GB"/>
        </w:rPr>
        <w:t xml:space="preserve">and </w:t>
      </w:r>
      <w:r w:rsidRPr="00284D50">
        <w:rPr>
          <w:rFonts w:cs="Arial"/>
          <w:spacing w:val="3"/>
          <w:w w:val="105"/>
          <w:lang w:val="en-GB"/>
        </w:rPr>
        <w:t>safe</w:t>
      </w:r>
      <w:r w:rsidR="00214090">
        <w:rPr>
          <w:rFonts w:cs="Arial"/>
          <w:spacing w:val="3"/>
          <w:w w:val="105"/>
          <w:lang w:val="en-GB"/>
        </w:rPr>
        <w:t>r,</w:t>
      </w:r>
      <w:r w:rsidRPr="00284D50">
        <w:rPr>
          <w:rFonts w:cs="Arial"/>
          <w:spacing w:val="3"/>
          <w:w w:val="105"/>
          <w:lang w:val="en-GB"/>
        </w:rPr>
        <w:t xml:space="preserve"> more attractive streets will enliven the area. Site responsive and innovative development that achieves environmentally sustainable design outcomes and distinctive, safe and green open spaces will be provided for residents, workers and visitors to enjoy.</w:t>
      </w:r>
    </w:p>
    <w:p w:rsidR="00284D50" w:rsidRPr="00DD6555" w:rsidRDefault="00284D50" w:rsidP="00284D50">
      <w:pPr>
        <w:autoSpaceDE w:val="0"/>
        <w:autoSpaceDN w:val="0"/>
        <w:adjustRightInd w:val="0"/>
        <w:spacing w:before="170" w:line="288" w:lineRule="auto"/>
        <w:jc w:val="left"/>
        <w:textAlignment w:val="center"/>
        <w:rPr>
          <w:rFonts w:cs="Arial"/>
          <w:spacing w:val="3"/>
          <w:w w:val="105"/>
          <w:lang w:val="en-GB"/>
        </w:rPr>
      </w:pPr>
      <w:r w:rsidRPr="00DD6555">
        <w:rPr>
          <w:rFonts w:ascii="VIC" w:hAnsi="VIC" w:cs="VIC"/>
          <w:bCs/>
          <w:spacing w:val="3"/>
          <w:w w:val="105"/>
          <w:sz w:val="22"/>
          <w:szCs w:val="22"/>
          <w:lang w:val="en-GB"/>
        </w:rPr>
        <w:t>Action</w:t>
      </w:r>
    </w:p>
    <w:p w:rsidR="00284D50" w:rsidRPr="00284D50" w:rsidRDefault="00284D50" w:rsidP="00284D50">
      <w:pPr>
        <w:autoSpaceDE w:val="0"/>
        <w:autoSpaceDN w:val="0"/>
        <w:adjustRightInd w:val="0"/>
        <w:spacing w:before="170" w:line="288" w:lineRule="auto"/>
        <w:jc w:val="left"/>
        <w:textAlignment w:val="center"/>
        <w:rPr>
          <w:rFonts w:cs="Arial"/>
          <w:spacing w:val="3"/>
          <w:w w:val="105"/>
          <w:lang w:val="en-GB"/>
        </w:rPr>
      </w:pPr>
      <w:r w:rsidRPr="00284D50">
        <w:rPr>
          <w:rFonts w:cs="Arial"/>
          <w:spacing w:val="3"/>
          <w:w w:val="105"/>
          <w:lang w:val="en-GB"/>
        </w:rPr>
        <w:t>City of Greater Dandenong to prepare a structure plan and implement public realm improvements to support the growth and vitality of the activity centre</w:t>
      </w:r>
    </w:p>
    <w:p w:rsidR="00284D50" w:rsidRPr="00DD6555" w:rsidRDefault="00284D50" w:rsidP="00284D50">
      <w:pPr>
        <w:autoSpaceDE w:val="0"/>
        <w:autoSpaceDN w:val="0"/>
        <w:adjustRightInd w:val="0"/>
        <w:spacing w:before="170" w:line="288" w:lineRule="auto"/>
        <w:jc w:val="left"/>
        <w:textAlignment w:val="center"/>
        <w:rPr>
          <w:rFonts w:ascii="VIC" w:hAnsi="VIC" w:cs="VIC"/>
          <w:bCs/>
          <w:spacing w:val="3"/>
          <w:w w:val="105"/>
          <w:sz w:val="22"/>
          <w:szCs w:val="22"/>
          <w:lang w:val="en-GB"/>
        </w:rPr>
      </w:pPr>
      <w:r w:rsidRPr="00DD6555">
        <w:rPr>
          <w:rFonts w:ascii="VIC" w:hAnsi="VIC" w:cs="VIC"/>
          <w:bCs/>
          <w:spacing w:val="3"/>
          <w:w w:val="105"/>
          <w:sz w:val="22"/>
          <w:szCs w:val="22"/>
          <w:lang w:val="en-GB"/>
        </w:rPr>
        <w:t>Timing</w:t>
      </w:r>
    </w:p>
    <w:p w:rsidR="00284D50" w:rsidRPr="00284D50" w:rsidRDefault="00284D50" w:rsidP="00284D50">
      <w:pPr>
        <w:autoSpaceDE w:val="0"/>
        <w:autoSpaceDN w:val="0"/>
        <w:adjustRightInd w:val="0"/>
        <w:spacing w:before="170" w:line="288" w:lineRule="auto"/>
        <w:jc w:val="left"/>
        <w:textAlignment w:val="center"/>
        <w:rPr>
          <w:rFonts w:cs="Arial"/>
          <w:spacing w:val="3"/>
          <w:w w:val="105"/>
          <w:lang w:val="en-GB"/>
        </w:rPr>
      </w:pPr>
      <w:r w:rsidRPr="00284D50">
        <w:rPr>
          <w:rFonts w:cs="Arial"/>
          <w:spacing w:val="3"/>
          <w:w w:val="105"/>
          <w:lang w:val="en-GB"/>
        </w:rPr>
        <w:t xml:space="preserve">Short term (1-5 years) </w:t>
      </w:r>
    </w:p>
    <w:p w:rsidR="00284D50" w:rsidRPr="00DD6555" w:rsidRDefault="00284D50" w:rsidP="00284D50">
      <w:pPr>
        <w:autoSpaceDE w:val="0"/>
        <w:autoSpaceDN w:val="0"/>
        <w:adjustRightInd w:val="0"/>
        <w:spacing w:before="170" w:line="288" w:lineRule="auto"/>
        <w:jc w:val="left"/>
        <w:textAlignment w:val="center"/>
        <w:rPr>
          <w:rFonts w:cs="Arial"/>
          <w:spacing w:val="3"/>
          <w:w w:val="105"/>
          <w:lang w:val="en-GB"/>
        </w:rPr>
      </w:pPr>
      <w:r w:rsidRPr="00DD6555">
        <w:rPr>
          <w:rFonts w:ascii="VIC" w:hAnsi="VIC" w:cs="VIC"/>
          <w:bCs/>
          <w:spacing w:val="3"/>
          <w:w w:val="105"/>
          <w:sz w:val="22"/>
          <w:szCs w:val="22"/>
          <w:lang w:val="en-GB"/>
        </w:rPr>
        <w:t>Current Status</w:t>
      </w:r>
    </w:p>
    <w:p w:rsidR="00284D50" w:rsidRDefault="00284D50" w:rsidP="00284D50">
      <w:pPr>
        <w:rPr>
          <w:rFonts w:cs="Arial"/>
          <w:spacing w:val="3"/>
          <w:w w:val="105"/>
          <w:lang w:val="en-GB"/>
        </w:rPr>
      </w:pPr>
      <w:r w:rsidRPr="00284D50">
        <w:rPr>
          <w:rFonts w:cs="Arial"/>
          <w:spacing w:val="3"/>
          <w:w w:val="105"/>
          <w:lang w:val="en-GB"/>
        </w:rPr>
        <w:t>City of Greater Dandenong are leading the preparation of the Springvale Structure Plan update. This will be finalised in 2017.</w:t>
      </w:r>
    </w:p>
    <w:p w:rsidR="00284D50" w:rsidRDefault="00AC6C61" w:rsidP="00284D50">
      <w:pPr>
        <w:rPr>
          <w:rFonts w:cs="Arial"/>
          <w:spacing w:val="3"/>
          <w:w w:val="105"/>
          <w:lang w:val="en-GB"/>
        </w:rPr>
      </w:pPr>
      <w:r>
        <w:rPr>
          <w:rFonts w:cs="Arial"/>
          <w:spacing w:val="3"/>
          <w:w w:val="105"/>
          <w:lang w:val="en-GB"/>
        </w:rPr>
        <w:lastRenderedPageBreak/>
        <w:br w:type="page"/>
      </w:r>
      <w:r w:rsidR="000A2025">
        <w:rPr>
          <w:noProof/>
        </w:rPr>
        <w:drawing>
          <wp:anchor distT="0" distB="0" distL="114300" distR="114300" simplePos="0" relativeHeight="251655164" behindDoc="0" locked="0" layoutInCell="1" allowOverlap="1" wp14:anchorId="71966699" wp14:editId="31EAE4C8">
            <wp:simplePos x="0" y="0"/>
            <wp:positionH relativeFrom="margin">
              <wp:align>center</wp:align>
            </wp:positionH>
            <wp:positionV relativeFrom="paragraph">
              <wp:posOffset>487</wp:posOffset>
            </wp:positionV>
            <wp:extent cx="4986655" cy="5323840"/>
            <wp:effectExtent l="0" t="0" r="4445" b="0"/>
            <wp:wrapSquare wrapText="bothSides"/>
            <wp:docPr id="23" name="Picture 23" descr="This is an aerial photograph of the Springvale Activity Centre, with the location of the activity centre shown in a context map below" title="Springvale Activit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986655" cy="5323840"/>
                    </a:xfrm>
                    <a:prstGeom prst="rect">
                      <a:avLst/>
                    </a:prstGeom>
                  </pic:spPr>
                </pic:pic>
              </a:graphicData>
            </a:graphic>
            <wp14:sizeRelH relativeFrom="margin">
              <wp14:pctWidth>0</wp14:pctWidth>
            </wp14:sizeRelH>
            <wp14:sizeRelV relativeFrom="margin">
              <wp14:pctHeight>0</wp14:pctHeight>
            </wp14:sizeRelV>
          </wp:anchor>
        </w:drawing>
      </w:r>
      <w:r w:rsidR="009548CB">
        <w:rPr>
          <w:rFonts w:cs="Arial"/>
          <w:b/>
          <w:bCs/>
          <w:noProof/>
          <w:spacing w:val="3"/>
          <w:sz w:val="32"/>
        </w:rPr>
        <w:object w:dxaOrig="1440" w:dyaOrig="1440">
          <v:shape id="_x0000_s1035" type="#_x0000_t75" alt="Diagram of key areas described in the above plan. " style="position:absolute;left:0;text-align:left;margin-left:73.95pt;margin-top:408.6pt;width:228.75pt;height:293.05pt;z-index:251679744;mso-position-horizontal-relative:text;mso-position-vertical-relative:text;mso-width-relative:page;mso-height-relative:page">
            <v:imagedata r:id="rId38" o:title="" cropbottom="6239f"/>
            <w10:wrap type="square"/>
          </v:shape>
          <o:OLEObject Type="Embed" ProgID="Acrobat.Document.DC" ShapeID="_x0000_s1035" DrawAspect="Content" ObjectID="_1551685518" r:id="rId39"/>
        </w:object>
      </w:r>
      <w:r w:rsidR="001C633A">
        <w:rPr>
          <w:noProof/>
        </w:rPr>
        <mc:AlternateContent>
          <mc:Choice Requires="wps">
            <w:drawing>
              <wp:anchor distT="0" distB="0" distL="114300" distR="114300" simplePos="0" relativeHeight="251694080" behindDoc="0" locked="0" layoutInCell="1" allowOverlap="1" wp14:anchorId="784D9708" wp14:editId="53A80AA9">
                <wp:simplePos x="0" y="0"/>
                <wp:positionH relativeFrom="column">
                  <wp:posOffset>0</wp:posOffset>
                </wp:positionH>
                <wp:positionV relativeFrom="paragraph">
                  <wp:posOffset>0</wp:posOffset>
                </wp:positionV>
                <wp:extent cx="5067300" cy="457200"/>
                <wp:effectExtent l="0" t="0" r="0" b="0"/>
                <wp:wrapSquare wrapText="bothSides"/>
                <wp:docPr id="5" name="Text Box 5" title="Springvale Activity Centre"/>
                <wp:cNvGraphicFramePr/>
                <a:graphic xmlns:a="http://schemas.openxmlformats.org/drawingml/2006/main">
                  <a:graphicData uri="http://schemas.microsoft.com/office/word/2010/wordprocessingShape">
                    <wps:wsp>
                      <wps:cNvSpPr txBox="1"/>
                      <wps:spPr>
                        <a:xfrm>
                          <a:off x="0" y="0"/>
                          <a:ext cx="5067300"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b/>
                                <w:bCs/>
                                <w:noProof/>
                                <w:color w:val="auto"/>
                                <w:spacing w:val="3"/>
                                <w:sz w:val="32"/>
                              </w:rPr>
                            </w:pPr>
                            <w:bookmarkStart w:id="23" w:name="_Toc477870547"/>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9</w:t>
                            </w:r>
                            <w:r w:rsidRPr="001C633A">
                              <w:rPr>
                                <w:rFonts w:ascii="Arial" w:hAnsi="Arial" w:cs="Arial"/>
                                <w:b/>
                                <w:color w:val="auto"/>
                              </w:rPr>
                              <w:fldChar w:fldCharType="end"/>
                            </w:r>
                            <w:r w:rsidRPr="001C633A">
                              <w:rPr>
                                <w:rFonts w:ascii="Arial" w:hAnsi="Arial" w:cs="Arial"/>
                                <w:color w:val="auto"/>
                              </w:rPr>
                              <w:t xml:space="preserve"> Springvale Activity Centre</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84D9708" id="Text Box 5" o:spid="_x0000_s1029" type="#_x0000_t202" alt="Title: Springvale Activity Centre" style="position:absolute;left:0;text-align:left;margin-left:0;margin-top:0;width:399pt;height:3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" stroked="f">
                <v:textbox inset="0,0,0,0">
                  <w:txbxContent>
                    <w:p w:rsidR="0058515B" w:rsidRPr="001C633A" w:rsidRDefault="0058515B" w:rsidP="001C633A">
                      <w:pPr>
                        <w:pStyle w:val="Caption"/>
                        <w:rPr>
                          <w:rFonts w:ascii="Arial" w:hAnsi="Arial" w:cs="Arial"/>
                          <w:b/>
                          <w:bCs/>
                          <w:noProof/>
                          <w:color w:val="auto"/>
                          <w:spacing w:val="3"/>
                          <w:sz w:val="32"/>
                        </w:rPr>
                      </w:pPr>
                      <w:bookmarkStart w:id="26" w:name="_Toc477870547"/>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9</w:t>
                      </w:r>
                      <w:r w:rsidRPr="001C633A">
                        <w:rPr>
                          <w:rFonts w:ascii="Arial" w:hAnsi="Arial" w:cs="Arial"/>
                          <w:b/>
                          <w:color w:val="auto"/>
                        </w:rPr>
                        <w:fldChar w:fldCharType="end"/>
                      </w:r>
                      <w:r w:rsidRPr="001C633A">
                        <w:rPr>
                          <w:rFonts w:ascii="Arial" w:hAnsi="Arial" w:cs="Arial"/>
                          <w:color w:val="auto"/>
                        </w:rPr>
                        <w:t xml:space="preserve"> Springvale Activity Centre</w:t>
                      </w:r>
                      <w:bookmarkEnd w:id="26"/>
                    </w:p>
                  </w:txbxContent>
                </v:textbox>
                <w10:wrap type="square"/>
              </v:shape>
            </w:pict>
          </mc:Fallback>
        </mc:AlternateContent>
      </w:r>
    </w:p>
    <w:p w:rsidR="00284D50" w:rsidRPr="00C04134" w:rsidRDefault="00284D50" w:rsidP="00284D50">
      <w:pPr>
        <w:pStyle w:val="Heading1nonumbers"/>
        <w:rPr>
          <w:rStyle w:val="guidelinenumbering"/>
          <w:rFonts w:cs="Arial"/>
          <w:b w:val="0"/>
          <w:bCs w:val="0"/>
          <w:color w:val="auto"/>
          <w:spacing w:val="3"/>
          <w:w w:val="105"/>
          <w:sz w:val="32"/>
          <w:szCs w:val="18"/>
        </w:rPr>
      </w:pPr>
      <w:bookmarkStart w:id="24" w:name="_Toc477870461"/>
      <w:r>
        <w:rPr>
          <w:rStyle w:val="guidelinenumbering"/>
          <w:rFonts w:cs="Arial"/>
          <w:b w:val="0"/>
          <w:bCs w:val="0"/>
          <w:color w:val="auto"/>
          <w:spacing w:val="3"/>
          <w:w w:val="105"/>
          <w:sz w:val="32"/>
          <w:szCs w:val="18"/>
        </w:rPr>
        <w:lastRenderedPageBreak/>
        <w:t>5.4 – PMP printing / centre road precinct</w:t>
      </w:r>
      <w:bookmarkEnd w:id="24"/>
    </w:p>
    <w:p w:rsidR="00284D50" w:rsidRPr="00DD6555" w:rsidRDefault="00284D50" w:rsidP="00284D50">
      <w:pPr>
        <w:autoSpaceDE w:val="0"/>
        <w:autoSpaceDN w:val="0"/>
        <w:adjustRightInd w:val="0"/>
        <w:spacing w:before="170" w:line="288" w:lineRule="auto"/>
        <w:jc w:val="left"/>
        <w:textAlignment w:val="center"/>
        <w:rPr>
          <w:rFonts w:ascii="VIC" w:hAnsi="VIC" w:cs="Arial"/>
          <w:spacing w:val="3"/>
          <w:w w:val="105"/>
          <w:lang w:val="en-GB"/>
        </w:rPr>
      </w:pPr>
      <w:r w:rsidRPr="00DD6555">
        <w:rPr>
          <w:rFonts w:ascii="VIC" w:hAnsi="VIC" w:cs="Arial"/>
          <w:bCs/>
          <w:spacing w:val="3"/>
          <w:w w:val="105"/>
          <w:sz w:val="22"/>
          <w:szCs w:val="22"/>
          <w:lang w:val="en-GB"/>
        </w:rPr>
        <w:t>Key Elements</w:t>
      </w:r>
    </w:p>
    <w:p w:rsidR="00284D50" w:rsidRPr="00284D50" w:rsidRDefault="00284D50" w:rsidP="00284D50">
      <w:pPr>
        <w:pStyle w:val="List1bullet"/>
        <w:rPr>
          <w:lang w:val="en-GB"/>
        </w:rPr>
      </w:pPr>
      <w:r w:rsidRPr="00284D50">
        <w:rPr>
          <w:lang w:val="en-GB"/>
        </w:rPr>
        <w:t>22 Hectares</w:t>
      </w:r>
    </w:p>
    <w:p w:rsidR="00284D50" w:rsidRPr="00284D50" w:rsidRDefault="00284D50" w:rsidP="00284D50">
      <w:pPr>
        <w:pStyle w:val="List1bullet"/>
        <w:rPr>
          <w:lang w:val="en-GB"/>
        </w:rPr>
      </w:pPr>
      <w:r w:rsidRPr="00284D50">
        <w:rPr>
          <w:lang w:val="en-GB"/>
        </w:rPr>
        <w:t>PMP Printing strategic site comprises 7ha (31-49 Browns Road) and 4ha (201-209 Carinish Road)</w:t>
      </w:r>
    </w:p>
    <w:p w:rsidR="00284D50" w:rsidRPr="00284D50" w:rsidRDefault="00284D50" w:rsidP="00284D50">
      <w:pPr>
        <w:pStyle w:val="List1bullet"/>
        <w:rPr>
          <w:lang w:val="en-GB"/>
        </w:rPr>
      </w:pPr>
      <w:r w:rsidRPr="00284D50">
        <w:rPr>
          <w:lang w:val="en-GB"/>
        </w:rPr>
        <w:t xml:space="preserve">Adjacent Centre Road/Browns Road with the Jackson Green urban renewal site located to the south </w:t>
      </w:r>
    </w:p>
    <w:p w:rsidR="00284D50" w:rsidRPr="00284D50" w:rsidRDefault="00284D50" w:rsidP="00284D50">
      <w:pPr>
        <w:pStyle w:val="List1bullet"/>
        <w:rPr>
          <w:lang w:val="en-GB"/>
        </w:rPr>
      </w:pPr>
      <w:r w:rsidRPr="00284D50">
        <w:rPr>
          <w:lang w:val="en-GB"/>
        </w:rPr>
        <w:t>Bendix Drive small lot industrial precinct</w:t>
      </w:r>
    </w:p>
    <w:p w:rsidR="00284D50" w:rsidRPr="00DD6555" w:rsidRDefault="00284D50" w:rsidP="00284D50">
      <w:pPr>
        <w:autoSpaceDE w:val="0"/>
        <w:autoSpaceDN w:val="0"/>
        <w:adjustRightInd w:val="0"/>
        <w:spacing w:before="170" w:line="288" w:lineRule="auto"/>
        <w:jc w:val="left"/>
        <w:textAlignment w:val="center"/>
        <w:rPr>
          <w:rFonts w:ascii="VIC" w:hAnsi="VIC" w:cs="Arial"/>
          <w:bCs/>
          <w:spacing w:val="3"/>
          <w:w w:val="105"/>
          <w:sz w:val="22"/>
          <w:szCs w:val="22"/>
          <w:lang w:val="en-GB"/>
        </w:rPr>
      </w:pPr>
      <w:r w:rsidRPr="00DD6555">
        <w:rPr>
          <w:rFonts w:ascii="VIC" w:hAnsi="VIC" w:cs="Arial"/>
          <w:bCs/>
          <w:spacing w:val="3"/>
          <w:w w:val="105"/>
          <w:sz w:val="22"/>
          <w:szCs w:val="22"/>
          <w:lang w:val="en-GB"/>
        </w:rPr>
        <w:t>Long Term Objectives</w:t>
      </w:r>
    </w:p>
    <w:p w:rsidR="00284D50" w:rsidRPr="00284D50" w:rsidRDefault="00284D50" w:rsidP="00284D50">
      <w:pPr>
        <w:autoSpaceDE w:val="0"/>
        <w:autoSpaceDN w:val="0"/>
        <w:adjustRightInd w:val="0"/>
        <w:spacing w:before="170" w:line="288" w:lineRule="auto"/>
        <w:jc w:val="left"/>
        <w:textAlignment w:val="center"/>
        <w:rPr>
          <w:rFonts w:cs="Arial"/>
          <w:lang w:val="en-GB"/>
        </w:rPr>
      </w:pPr>
      <w:r w:rsidRPr="00284D50">
        <w:rPr>
          <w:rFonts w:cs="Arial"/>
          <w:spacing w:val="3"/>
          <w:w w:val="105"/>
          <w:lang w:val="en-GB"/>
        </w:rPr>
        <w:t>Renewal of the industrial development to complement Clayton Activity Centre and the adjacent Centre Road commercial precinct with a range of employment opportunities, diverse housing and public open space will rejuvenate and enhance</w:t>
      </w:r>
      <w:r w:rsidR="00214090">
        <w:rPr>
          <w:rFonts w:cs="Arial"/>
          <w:spacing w:val="3"/>
          <w:w w:val="105"/>
          <w:lang w:val="en-GB"/>
        </w:rPr>
        <w:t xml:space="preserve"> the character of the precinct.</w:t>
      </w:r>
      <w:r w:rsidRPr="00284D50">
        <w:rPr>
          <w:rFonts w:cs="Arial"/>
          <w:spacing w:val="3"/>
          <w:w w:val="105"/>
          <w:lang w:val="en-GB"/>
        </w:rPr>
        <w:t xml:space="preserve"> Regeneration of the adjacent Commercial 1 Zone will encourage shop-top housing and retail that serves the local community.</w:t>
      </w:r>
    </w:p>
    <w:p w:rsidR="00284D50" w:rsidRPr="00DD6555" w:rsidRDefault="00284D50" w:rsidP="00284D50">
      <w:pPr>
        <w:autoSpaceDE w:val="0"/>
        <w:autoSpaceDN w:val="0"/>
        <w:adjustRightInd w:val="0"/>
        <w:spacing w:before="170" w:line="288" w:lineRule="auto"/>
        <w:jc w:val="left"/>
        <w:textAlignment w:val="center"/>
        <w:rPr>
          <w:rFonts w:ascii="VIC" w:hAnsi="VIC" w:cs="Arial"/>
          <w:bCs/>
          <w:spacing w:val="3"/>
          <w:w w:val="105"/>
          <w:sz w:val="22"/>
          <w:szCs w:val="22"/>
          <w:lang w:val="en-GB"/>
        </w:rPr>
      </w:pPr>
      <w:r w:rsidRPr="00DD6555">
        <w:rPr>
          <w:rFonts w:ascii="VIC" w:hAnsi="VIC" w:cs="Arial"/>
          <w:bCs/>
          <w:spacing w:val="3"/>
          <w:w w:val="105"/>
          <w:sz w:val="22"/>
          <w:szCs w:val="22"/>
          <w:lang w:val="en-GB"/>
        </w:rPr>
        <w:t>Action</w:t>
      </w:r>
    </w:p>
    <w:p w:rsidR="00284D50" w:rsidRPr="00284D50" w:rsidRDefault="00284D50" w:rsidP="00284D50">
      <w:pPr>
        <w:autoSpaceDE w:val="0"/>
        <w:autoSpaceDN w:val="0"/>
        <w:adjustRightInd w:val="0"/>
        <w:spacing w:before="170" w:line="288" w:lineRule="auto"/>
        <w:jc w:val="left"/>
        <w:textAlignment w:val="center"/>
        <w:rPr>
          <w:rFonts w:cs="Arial"/>
          <w:spacing w:val="3"/>
          <w:w w:val="105"/>
          <w:lang w:val="en-GB"/>
        </w:rPr>
      </w:pPr>
      <w:r w:rsidRPr="00284D50">
        <w:rPr>
          <w:rFonts w:cs="Arial"/>
          <w:spacing w:val="3"/>
          <w:w w:val="105"/>
          <w:lang w:val="en-GB"/>
        </w:rPr>
        <w:t>The VPA (in collaboration with City of Monash) to prepare a structure plan addressing the future of industrial land at the PMP Printing site and surrounds</w:t>
      </w:r>
    </w:p>
    <w:p w:rsidR="00284D50" w:rsidRPr="00DD6555" w:rsidRDefault="00284D50" w:rsidP="00284D50">
      <w:pPr>
        <w:autoSpaceDE w:val="0"/>
        <w:autoSpaceDN w:val="0"/>
        <w:adjustRightInd w:val="0"/>
        <w:spacing w:before="170" w:line="288" w:lineRule="auto"/>
        <w:jc w:val="left"/>
        <w:textAlignment w:val="center"/>
        <w:rPr>
          <w:rFonts w:ascii="VIC" w:hAnsi="VIC" w:cs="Arial"/>
          <w:bCs/>
          <w:spacing w:val="3"/>
          <w:w w:val="105"/>
          <w:sz w:val="22"/>
          <w:szCs w:val="22"/>
          <w:lang w:val="en-GB"/>
        </w:rPr>
      </w:pPr>
      <w:r w:rsidRPr="00DD6555">
        <w:rPr>
          <w:rFonts w:ascii="VIC" w:hAnsi="VIC" w:cs="Arial"/>
          <w:bCs/>
          <w:spacing w:val="3"/>
          <w:w w:val="105"/>
          <w:sz w:val="22"/>
          <w:szCs w:val="22"/>
          <w:lang w:val="en-GB"/>
        </w:rPr>
        <w:t>Timing</w:t>
      </w:r>
    </w:p>
    <w:p w:rsidR="00284D50" w:rsidRPr="00284D50" w:rsidRDefault="00284D50" w:rsidP="00284D50">
      <w:pPr>
        <w:autoSpaceDE w:val="0"/>
        <w:autoSpaceDN w:val="0"/>
        <w:adjustRightInd w:val="0"/>
        <w:spacing w:before="170" w:line="288" w:lineRule="auto"/>
        <w:jc w:val="left"/>
        <w:textAlignment w:val="center"/>
        <w:rPr>
          <w:rFonts w:cs="Arial"/>
          <w:spacing w:val="3"/>
          <w:w w:val="105"/>
          <w:lang w:val="en-GB"/>
        </w:rPr>
      </w:pPr>
      <w:r w:rsidRPr="00284D50">
        <w:rPr>
          <w:rFonts w:cs="Arial"/>
          <w:spacing w:val="3"/>
          <w:w w:val="105"/>
          <w:lang w:val="en-GB"/>
        </w:rPr>
        <w:t>Short term (1-5 years)</w:t>
      </w:r>
    </w:p>
    <w:p w:rsidR="00284D50" w:rsidRPr="00DD6555" w:rsidRDefault="00284D50" w:rsidP="00284D50">
      <w:pPr>
        <w:autoSpaceDE w:val="0"/>
        <w:autoSpaceDN w:val="0"/>
        <w:adjustRightInd w:val="0"/>
        <w:spacing w:before="170" w:line="288" w:lineRule="auto"/>
        <w:jc w:val="left"/>
        <w:textAlignment w:val="center"/>
        <w:rPr>
          <w:rFonts w:ascii="VIC" w:hAnsi="VIC" w:cs="Arial"/>
          <w:bCs/>
          <w:spacing w:val="3"/>
          <w:w w:val="105"/>
          <w:sz w:val="22"/>
          <w:szCs w:val="22"/>
          <w:lang w:val="en-GB"/>
        </w:rPr>
      </w:pPr>
      <w:r w:rsidRPr="00DD6555">
        <w:rPr>
          <w:rFonts w:ascii="VIC" w:hAnsi="VIC" w:cs="Arial"/>
          <w:bCs/>
          <w:spacing w:val="3"/>
          <w:w w:val="105"/>
          <w:sz w:val="22"/>
          <w:szCs w:val="22"/>
          <w:lang w:val="en-GB"/>
        </w:rPr>
        <w:t>Current Status</w:t>
      </w:r>
    </w:p>
    <w:p w:rsidR="00284D50" w:rsidRDefault="00284D50" w:rsidP="00284D50">
      <w:pPr>
        <w:rPr>
          <w:rFonts w:cs="Arial"/>
          <w:spacing w:val="3"/>
          <w:w w:val="105"/>
          <w:lang w:val="en-GB"/>
        </w:rPr>
      </w:pPr>
      <w:r w:rsidRPr="00284D50">
        <w:rPr>
          <w:rFonts w:cs="Arial"/>
          <w:spacing w:val="3"/>
          <w:w w:val="105"/>
          <w:lang w:val="en-GB"/>
        </w:rPr>
        <w:t>The Level Crossing Removal Authority is finalising the Centre Road level crossing removal site design. VPA has commenced a process to plan the precinct with City of Monash, landowners and other stakeholders.</w:t>
      </w:r>
    </w:p>
    <w:p w:rsidR="00E9553B" w:rsidRDefault="00E9553B" w:rsidP="00284D50">
      <w:pPr>
        <w:rPr>
          <w:rFonts w:cs="Arial"/>
          <w:spacing w:val="3"/>
          <w:w w:val="105"/>
          <w:lang w:val="en-GB"/>
        </w:rPr>
      </w:pPr>
    </w:p>
    <w:p w:rsidR="00E9553B" w:rsidRDefault="00AC6C61" w:rsidP="00284D50">
      <w:pPr>
        <w:rPr>
          <w:rFonts w:cs="Arial"/>
          <w:spacing w:val="3"/>
          <w:w w:val="105"/>
          <w:lang w:val="en-GB"/>
        </w:rPr>
      </w:pPr>
      <w:r>
        <w:rPr>
          <w:rFonts w:cs="Arial"/>
          <w:spacing w:val="3"/>
          <w:w w:val="105"/>
          <w:lang w:val="en-GB"/>
        </w:rPr>
        <w:br w:type="page"/>
      </w:r>
      <w:r w:rsidR="000A2025">
        <w:rPr>
          <w:noProof/>
        </w:rPr>
        <w:lastRenderedPageBreak/>
        <w:drawing>
          <wp:anchor distT="0" distB="0" distL="114300" distR="114300" simplePos="0" relativeHeight="251654139" behindDoc="0" locked="0" layoutInCell="1" allowOverlap="1" wp14:anchorId="3DDCABC0" wp14:editId="55B5B4B3">
            <wp:simplePos x="0" y="0"/>
            <wp:positionH relativeFrom="margin">
              <wp:align>left</wp:align>
            </wp:positionH>
            <wp:positionV relativeFrom="paragraph">
              <wp:posOffset>280256</wp:posOffset>
            </wp:positionV>
            <wp:extent cx="5396230" cy="4763135"/>
            <wp:effectExtent l="0" t="0" r="0" b="0"/>
            <wp:wrapSquare wrapText="bothSides"/>
            <wp:docPr id="24" name="Picture 24" descr="This is an aerial photograph of the PMP / Centre Road Precinct, with the location of the precinct shown in a context map below" title="PMP / Centre Road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396230" cy="4763135"/>
                    </a:xfrm>
                    <a:prstGeom prst="rect">
                      <a:avLst/>
                    </a:prstGeom>
                  </pic:spPr>
                </pic:pic>
              </a:graphicData>
            </a:graphic>
          </wp:anchor>
        </w:drawing>
      </w:r>
      <w:r w:rsidR="001C633A">
        <w:rPr>
          <w:noProof/>
        </w:rPr>
        <mc:AlternateContent>
          <mc:Choice Requires="wps">
            <w:drawing>
              <wp:anchor distT="0" distB="0" distL="114300" distR="114300" simplePos="0" relativeHeight="251696128" behindDoc="0" locked="0" layoutInCell="1" allowOverlap="1" wp14:anchorId="203C40F6" wp14:editId="4294F376">
                <wp:simplePos x="0" y="0"/>
                <wp:positionH relativeFrom="column">
                  <wp:posOffset>635</wp:posOffset>
                </wp:positionH>
                <wp:positionV relativeFrom="paragraph">
                  <wp:posOffset>0</wp:posOffset>
                </wp:positionV>
                <wp:extent cx="4808220" cy="4572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4808220"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noProof/>
                                <w:color w:val="auto"/>
                                <w:spacing w:val="3"/>
                              </w:rPr>
                            </w:pPr>
                            <w:bookmarkStart w:id="25" w:name="_Toc477870548"/>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10</w:t>
                            </w:r>
                            <w:r w:rsidRPr="001C633A">
                              <w:rPr>
                                <w:rFonts w:ascii="Arial" w:hAnsi="Arial" w:cs="Arial"/>
                                <w:b/>
                                <w:color w:val="auto"/>
                              </w:rPr>
                              <w:fldChar w:fldCharType="end"/>
                            </w:r>
                            <w:r w:rsidRPr="001C633A">
                              <w:rPr>
                                <w:rFonts w:ascii="Arial" w:hAnsi="Arial" w:cs="Arial"/>
                                <w:color w:val="auto"/>
                              </w:rPr>
                              <w:t xml:space="preserve"> PMP / Centre Road Precinct</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3C40F6" id="Text Box 6" o:spid="_x0000_s1030" type="#_x0000_t202" style="position:absolute;left:0;text-align:left;margin-left:.05pt;margin-top:0;width:378.6pt;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" stroked="f">
                <v:textbox inset="0,0,0,0">
                  <w:txbxContent>
                    <w:p w:rsidR="0058515B" w:rsidRPr="001C633A" w:rsidRDefault="0058515B" w:rsidP="001C633A">
                      <w:pPr>
                        <w:pStyle w:val="Caption"/>
                        <w:rPr>
                          <w:rFonts w:ascii="Arial" w:hAnsi="Arial" w:cs="Arial"/>
                          <w:noProof/>
                          <w:color w:val="auto"/>
                          <w:spacing w:val="3"/>
                        </w:rPr>
                      </w:pPr>
                      <w:bookmarkStart w:id="29" w:name="_Toc477870548"/>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10</w:t>
                      </w:r>
                      <w:r w:rsidRPr="001C633A">
                        <w:rPr>
                          <w:rFonts w:ascii="Arial" w:hAnsi="Arial" w:cs="Arial"/>
                          <w:b/>
                          <w:color w:val="auto"/>
                        </w:rPr>
                        <w:fldChar w:fldCharType="end"/>
                      </w:r>
                      <w:r w:rsidRPr="001C633A">
                        <w:rPr>
                          <w:rFonts w:ascii="Arial" w:hAnsi="Arial" w:cs="Arial"/>
                          <w:color w:val="auto"/>
                        </w:rPr>
                        <w:t xml:space="preserve"> PMP / Centre Road Precinct</w:t>
                      </w:r>
                      <w:bookmarkEnd w:id="29"/>
                    </w:p>
                  </w:txbxContent>
                </v:textbox>
                <w10:wrap type="square"/>
              </v:shape>
            </w:pict>
          </mc:Fallback>
        </mc:AlternateContent>
      </w:r>
      <w:r w:rsidR="000A2025" w:rsidRPr="000A2025">
        <w:rPr>
          <w:noProof/>
        </w:rPr>
        <w:t xml:space="preserve"> </w:t>
      </w:r>
    </w:p>
    <w:p w:rsidR="00E9553B" w:rsidRDefault="009548CB" w:rsidP="00284D50">
      <w:pPr>
        <w:rPr>
          <w:rFonts w:cs="Arial"/>
          <w:spacing w:val="3"/>
          <w:w w:val="105"/>
          <w:lang w:val="en-GB"/>
        </w:rPr>
      </w:pPr>
      <w:r>
        <w:rPr>
          <w:rFonts w:cs="Arial"/>
          <w:noProof/>
          <w:spacing w:val="3"/>
        </w:rPr>
        <w:object w:dxaOrig="1440" w:dyaOrig="1440">
          <v:shape id="_x0000_s1033" type="#_x0000_t75" alt="Diagram of key areas described in the above plan. " style="position:absolute;left:0;text-align:left;margin-left:89.05pt;margin-top:386.3pt;width:228.75pt;height:272.5pt;z-index:251675648;mso-position-horizontal-relative:text;mso-position-vertical-relative:text;mso-width-relative:page;mso-height-relative:page">
            <v:imagedata r:id="rId41" o:title="" croptop="2080f" cropbottom="8319f"/>
            <w10:wrap type="square"/>
          </v:shape>
          <o:OLEObject Type="Embed" ProgID="Acrobat.Document.DC" ShapeID="_x0000_s1033" DrawAspect="Content" ObjectID="_1551685519" r:id="rId42"/>
        </w:object>
      </w:r>
    </w:p>
    <w:p w:rsidR="00E9553B" w:rsidRPr="00C04134" w:rsidRDefault="00E9553B" w:rsidP="00E9553B">
      <w:pPr>
        <w:pStyle w:val="Heading1nonumbers"/>
        <w:rPr>
          <w:rStyle w:val="guidelinenumbering"/>
          <w:rFonts w:cs="Arial"/>
          <w:b w:val="0"/>
          <w:bCs w:val="0"/>
          <w:color w:val="auto"/>
          <w:spacing w:val="3"/>
          <w:w w:val="105"/>
          <w:sz w:val="32"/>
          <w:szCs w:val="18"/>
        </w:rPr>
      </w:pPr>
      <w:bookmarkStart w:id="26" w:name="_Toc477870462"/>
      <w:r>
        <w:rPr>
          <w:rStyle w:val="guidelinenumbering"/>
          <w:rFonts w:cs="Arial"/>
          <w:b w:val="0"/>
          <w:bCs w:val="0"/>
          <w:color w:val="auto"/>
          <w:spacing w:val="3"/>
          <w:w w:val="105"/>
          <w:sz w:val="32"/>
          <w:szCs w:val="18"/>
        </w:rPr>
        <w:lastRenderedPageBreak/>
        <w:t>5.5 – clayton business park</w:t>
      </w:r>
      <w:bookmarkEnd w:id="26"/>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Key Elements</w:t>
      </w:r>
    </w:p>
    <w:p w:rsidR="00E9553B" w:rsidRPr="00060341" w:rsidRDefault="00E9553B" w:rsidP="00E9553B">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31 Hectares</w:t>
      </w:r>
    </w:p>
    <w:p w:rsidR="00E9553B" w:rsidRPr="00060341" w:rsidRDefault="00E9553B" w:rsidP="00E9553B">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Westall Train Station</w:t>
      </w:r>
    </w:p>
    <w:p w:rsidR="00E9553B" w:rsidRPr="00060341" w:rsidRDefault="00E9553B" w:rsidP="00E9553B">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Westall Road frontage on the eastern boundary, preferred freight route</w:t>
      </w:r>
    </w:p>
    <w:p w:rsidR="00E9553B" w:rsidRPr="00060341" w:rsidRDefault="00E9553B" w:rsidP="00E9553B">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Large industrial area to the north and east</w:t>
      </w:r>
    </w:p>
    <w:p w:rsidR="00E9553B" w:rsidRPr="00060341" w:rsidRDefault="00E9553B" w:rsidP="00E9553B">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Westall Primary and Secondary Schools to the south</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Long Term Objectives</w:t>
      </w:r>
    </w:p>
    <w:p w:rsidR="00E9553B" w:rsidRPr="00060341" w:rsidRDefault="00E9553B" w:rsidP="00E9553B">
      <w:pPr>
        <w:pStyle w:val="NoParagraphStyle"/>
        <w:suppressAutoHyphens/>
        <w:spacing w:before="170"/>
        <w:rPr>
          <w:rStyle w:val="guidelinenumbering"/>
          <w:rFonts w:ascii="Arial" w:hAnsi="Arial" w:cs="Arial"/>
          <w:b w:val="0"/>
          <w:bCs w:val="0"/>
          <w:color w:val="auto"/>
          <w:spacing w:val="3"/>
          <w:w w:val="105"/>
          <w:sz w:val="18"/>
          <w:szCs w:val="18"/>
        </w:rPr>
      </w:pPr>
      <w:r w:rsidRPr="00060341">
        <w:rPr>
          <w:rStyle w:val="guidelinenumbering"/>
          <w:rFonts w:ascii="Arial" w:hAnsi="Arial" w:cs="Arial"/>
          <w:b w:val="0"/>
          <w:bCs w:val="0"/>
          <w:color w:val="auto"/>
          <w:spacing w:val="3"/>
          <w:w w:val="105"/>
          <w:sz w:val="18"/>
          <w:szCs w:val="18"/>
        </w:rPr>
        <w:t>Centred on a new high density business park with supporting retail and a mix of housing, redevelopment of the Clayton Business Park will create a contemporary mixed use precinct for the Monash Cluster. The site will offer increased access to employment, services, housing and public spaces adjacent to the Westall Train Station. The new business town centre will service the needs of the future community as well as local businesses and their employees.</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Action</w:t>
      </w:r>
    </w:p>
    <w:p w:rsidR="00E9553B" w:rsidRPr="00060341" w:rsidRDefault="00E9553B" w:rsidP="00E9553B">
      <w:pPr>
        <w:pStyle w:val="NoParagraphStyle"/>
        <w:suppressAutoHyphens/>
        <w:spacing w:before="170"/>
        <w:rPr>
          <w:rStyle w:val="guidelinenumbering"/>
          <w:rFonts w:ascii="Arial" w:hAnsi="Arial" w:cs="Arial"/>
          <w:b w:val="0"/>
          <w:bCs w:val="0"/>
          <w:color w:val="auto"/>
          <w:spacing w:val="3"/>
          <w:w w:val="105"/>
          <w:sz w:val="18"/>
          <w:szCs w:val="18"/>
        </w:rPr>
      </w:pPr>
      <w:r w:rsidRPr="00060341">
        <w:rPr>
          <w:rStyle w:val="guidelinenumbering"/>
          <w:rFonts w:ascii="Arial" w:hAnsi="Arial" w:cs="Arial"/>
          <w:b w:val="0"/>
          <w:bCs w:val="0"/>
          <w:color w:val="auto"/>
          <w:spacing w:val="3"/>
          <w:w w:val="105"/>
          <w:sz w:val="18"/>
          <w:szCs w:val="18"/>
        </w:rPr>
        <w:t>The VPA (in collaboration with City of Kingston and landowners) to prepare</w:t>
      </w:r>
      <w:r w:rsidR="00214090">
        <w:rPr>
          <w:rStyle w:val="guidelinenumbering"/>
          <w:rFonts w:ascii="Arial" w:hAnsi="Arial" w:cs="Arial"/>
          <w:b w:val="0"/>
          <w:bCs w:val="0"/>
          <w:color w:val="auto"/>
          <w:spacing w:val="3"/>
          <w:w w:val="105"/>
          <w:sz w:val="18"/>
          <w:szCs w:val="18"/>
        </w:rPr>
        <w:t xml:space="preserve"> a</w:t>
      </w:r>
      <w:r w:rsidRPr="00060341">
        <w:rPr>
          <w:rStyle w:val="guidelinenumbering"/>
          <w:rFonts w:ascii="Arial" w:hAnsi="Arial" w:cs="Arial"/>
          <w:b w:val="0"/>
          <w:bCs w:val="0"/>
          <w:color w:val="auto"/>
          <w:spacing w:val="3"/>
          <w:w w:val="105"/>
          <w:sz w:val="18"/>
          <w:szCs w:val="18"/>
        </w:rPr>
        <w:t xml:space="preserve"> Comprehensive Development Plan and planning scheme amendment.</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Timing</w:t>
      </w:r>
    </w:p>
    <w:p w:rsidR="00E9553B" w:rsidRPr="00060341" w:rsidRDefault="00E9553B" w:rsidP="00E9553B">
      <w:pPr>
        <w:pStyle w:val="NoParagraphStyle"/>
        <w:suppressAutoHyphens/>
        <w:spacing w:before="170"/>
        <w:rPr>
          <w:rStyle w:val="guidelinenumbering"/>
          <w:rFonts w:ascii="Arial" w:hAnsi="Arial" w:cs="Arial"/>
          <w:b w:val="0"/>
          <w:bCs w:val="0"/>
          <w:color w:val="auto"/>
          <w:spacing w:val="3"/>
          <w:w w:val="105"/>
          <w:sz w:val="18"/>
          <w:szCs w:val="18"/>
        </w:rPr>
      </w:pPr>
      <w:r w:rsidRPr="00060341">
        <w:rPr>
          <w:rStyle w:val="guidelinenumbering"/>
          <w:rFonts w:ascii="Arial" w:hAnsi="Arial" w:cs="Arial"/>
          <w:b w:val="0"/>
          <w:bCs w:val="0"/>
          <w:color w:val="auto"/>
          <w:spacing w:val="3"/>
          <w:w w:val="105"/>
          <w:sz w:val="18"/>
          <w:szCs w:val="18"/>
        </w:rPr>
        <w:t xml:space="preserve">Short term (1-5 years) </w:t>
      </w:r>
    </w:p>
    <w:p w:rsidR="00E9553B" w:rsidRPr="00DD6555" w:rsidRDefault="00E9553B" w:rsidP="00E9553B">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Current Status</w:t>
      </w:r>
    </w:p>
    <w:p w:rsidR="00E9553B" w:rsidRDefault="00E9553B" w:rsidP="00E9553B">
      <w:pPr>
        <w:rPr>
          <w:rStyle w:val="guidelinenumbering"/>
          <w:rFonts w:ascii="Arial" w:hAnsi="Arial" w:cs="Arial"/>
          <w:b w:val="0"/>
          <w:bCs w:val="0"/>
          <w:color w:val="auto"/>
          <w:spacing w:val="3"/>
          <w:w w:val="105"/>
          <w:sz w:val="18"/>
        </w:rPr>
      </w:pPr>
      <w:r w:rsidRPr="00060341">
        <w:rPr>
          <w:rStyle w:val="guidelinenumbering"/>
          <w:rFonts w:ascii="Arial" w:hAnsi="Arial" w:cs="Arial"/>
          <w:b w:val="0"/>
          <w:bCs w:val="0"/>
          <w:color w:val="auto"/>
          <w:spacing w:val="3"/>
          <w:w w:val="105"/>
          <w:sz w:val="18"/>
        </w:rPr>
        <w:t>The VPA is currently working with a range of government agencies, councils and the landowner to develop a Comprehensive Development Plan for the Clayton Business Park.</w:t>
      </w:r>
      <w:r w:rsidR="00AC6C61">
        <w:rPr>
          <w:rStyle w:val="guidelinenumbering"/>
          <w:rFonts w:ascii="Arial" w:hAnsi="Arial" w:cs="Arial"/>
          <w:b w:val="0"/>
          <w:bCs w:val="0"/>
          <w:color w:val="auto"/>
          <w:spacing w:val="3"/>
          <w:w w:val="105"/>
          <w:sz w:val="18"/>
        </w:rPr>
        <w:t xml:space="preserve"> </w:t>
      </w:r>
      <w:r w:rsidR="00AC6C61">
        <w:rPr>
          <w:rStyle w:val="guidelinenumbering"/>
          <w:rFonts w:ascii="Arial" w:hAnsi="Arial" w:cs="Arial"/>
          <w:b w:val="0"/>
          <w:bCs w:val="0"/>
          <w:color w:val="auto"/>
          <w:spacing w:val="3"/>
          <w:w w:val="105"/>
          <w:sz w:val="18"/>
        </w:rPr>
        <w:br w:type="page"/>
      </w:r>
      <w:r w:rsidR="000A2025">
        <w:rPr>
          <w:noProof/>
        </w:rPr>
        <w:lastRenderedPageBreak/>
        <w:drawing>
          <wp:anchor distT="0" distB="0" distL="114300" distR="114300" simplePos="0" relativeHeight="251653114" behindDoc="0" locked="0" layoutInCell="1" allowOverlap="1" wp14:anchorId="16F6C04E" wp14:editId="133C3DAA">
            <wp:simplePos x="0" y="0"/>
            <wp:positionH relativeFrom="margin">
              <wp:align>left</wp:align>
            </wp:positionH>
            <wp:positionV relativeFrom="paragraph">
              <wp:posOffset>0</wp:posOffset>
            </wp:positionV>
            <wp:extent cx="5396230" cy="5248910"/>
            <wp:effectExtent l="0" t="0" r="0" b="8890"/>
            <wp:wrapSquare wrapText="bothSides"/>
            <wp:docPr id="25" name="Picture 25" descr="This is an aerial photograph of the Clayton Business Park, with the location of the precinct shown in a context map below" title="Clayton Busines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396230" cy="5248910"/>
                    </a:xfrm>
                    <a:prstGeom prst="rect">
                      <a:avLst/>
                    </a:prstGeom>
                  </pic:spPr>
                </pic:pic>
              </a:graphicData>
            </a:graphic>
          </wp:anchor>
        </w:drawing>
      </w:r>
      <w:r w:rsidR="009548CB">
        <w:rPr>
          <w:rFonts w:cs="Arial"/>
          <w:b/>
          <w:bCs/>
          <w:noProof/>
          <w:spacing w:val="3"/>
        </w:rPr>
        <w:object w:dxaOrig="1440" w:dyaOrig="1440">
          <v:shape id="_x0000_s1030" type="#_x0000_t75" alt="Diagram of key areas described in the above plan. " style="position:absolute;left:0;text-align:left;margin-left:98.55pt;margin-top:418.9pt;width:228.2pt;height:282.7pt;z-index:251671552;mso-position-horizontal-relative:text;mso-position-vertical-relative:text;mso-width-relative:page;mso-height-relative:page">
            <v:imagedata r:id="rId44" o:title="" croptop="2080f" cropbottom="6239f"/>
            <w10:wrap type="square"/>
          </v:shape>
          <o:OLEObject Type="Embed" ProgID="Acrobat.Document.DC" ShapeID="_x0000_s1030" DrawAspect="Content" ObjectID="_1551685520" r:id="rId45"/>
        </w:object>
      </w:r>
      <w:r w:rsidR="001C633A">
        <w:rPr>
          <w:noProof/>
        </w:rPr>
        <mc:AlternateContent>
          <mc:Choice Requires="wps">
            <w:drawing>
              <wp:anchor distT="0" distB="0" distL="114300" distR="114300" simplePos="0" relativeHeight="251698176" behindDoc="0" locked="0" layoutInCell="1" allowOverlap="1" wp14:anchorId="4079313E" wp14:editId="0462DD96">
                <wp:simplePos x="0" y="0"/>
                <wp:positionH relativeFrom="column">
                  <wp:posOffset>635</wp:posOffset>
                </wp:positionH>
                <wp:positionV relativeFrom="paragraph">
                  <wp:posOffset>0</wp:posOffset>
                </wp:positionV>
                <wp:extent cx="5202555" cy="4572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5202555"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b/>
                                <w:bCs/>
                                <w:noProof/>
                                <w:color w:val="auto"/>
                                <w:spacing w:val="3"/>
                              </w:rPr>
                            </w:pPr>
                            <w:bookmarkStart w:id="27" w:name="_Toc477870549"/>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11</w:t>
                            </w:r>
                            <w:r w:rsidRPr="001C633A">
                              <w:rPr>
                                <w:rFonts w:ascii="Arial" w:hAnsi="Arial" w:cs="Arial"/>
                                <w:b/>
                                <w:color w:val="auto"/>
                              </w:rPr>
                              <w:fldChar w:fldCharType="end"/>
                            </w:r>
                            <w:r w:rsidRPr="001C633A">
                              <w:rPr>
                                <w:rFonts w:ascii="Arial" w:hAnsi="Arial" w:cs="Arial"/>
                                <w:color w:val="auto"/>
                              </w:rPr>
                              <w:t xml:space="preserve"> Clayton Business Park</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79313E" id="Text Box 7" o:spid="_x0000_s1031" type="#_x0000_t202" style="position:absolute;left:0;text-align:left;margin-left:.05pt;margin-top:0;width:409.65pt;height:36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" stroked="f">
                <v:textbox inset="0,0,0,0">
                  <w:txbxContent>
                    <w:p w:rsidR="0058515B" w:rsidRPr="001C633A" w:rsidRDefault="0058515B" w:rsidP="001C633A">
                      <w:pPr>
                        <w:pStyle w:val="Caption"/>
                        <w:rPr>
                          <w:rFonts w:ascii="Arial" w:hAnsi="Arial" w:cs="Arial"/>
                          <w:b/>
                          <w:bCs/>
                          <w:noProof/>
                          <w:color w:val="auto"/>
                          <w:spacing w:val="3"/>
                        </w:rPr>
                      </w:pPr>
                      <w:bookmarkStart w:id="32" w:name="_Toc477870549"/>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Pr>
                          <w:rFonts w:ascii="Arial" w:hAnsi="Arial" w:cs="Arial"/>
                          <w:b/>
                          <w:noProof/>
                          <w:color w:val="auto"/>
                        </w:rPr>
                        <w:t>11</w:t>
                      </w:r>
                      <w:r w:rsidRPr="001C633A">
                        <w:rPr>
                          <w:rFonts w:ascii="Arial" w:hAnsi="Arial" w:cs="Arial"/>
                          <w:b/>
                          <w:color w:val="auto"/>
                        </w:rPr>
                        <w:fldChar w:fldCharType="end"/>
                      </w:r>
                      <w:r w:rsidRPr="001C633A">
                        <w:rPr>
                          <w:rFonts w:ascii="Arial" w:hAnsi="Arial" w:cs="Arial"/>
                          <w:color w:val="auto"/>
                        </w:rPr>
                        <w:t xml:space="preserve"> Clayton Business Park</w:t>
                      </w:r>
                      <w:bookmarkEnd w:id="32"/>
                    </w:p>
                  </w:txbxContent>
                </v:textbox>
                <w10:wrap type="square"/>
              </v:shape>
            </w:pict>
          </mc:Fallback>
        </mc:AlternateContent>
      </w:r>
      <w:r w:rsidR="000A2025" w:rsidRPr="000A2025">
        <w:rPr>
          <w:noProof/>
        </w:rPr>
        <w:t xml:space="preserve"> </w:t>
      </w:r>
    </w:p>
    <w:p w:rsidR="00E9553B" w:rsidRPr="00C04134" w:rsidRDefault="00E9553B" w:rsidP="00E9553B">
      <w:pPr>
        <w:pStyle w:val="Heading1nonumbers"/>
        <w:rPr>
          <w:rStyle w:val="guidelinenumbering"/>
          <w:rFonts w:cs="Arial"/>
          <w:b w:val="0"/>
          <w:bCs w:val="0"/>
          <w:color w:val="auto"/>
          <w:spacing w:val="3"/>
          <w:w w:val="105"/>
          <w:sz w:val="32"/>
          <w:szCs w:val="18"/>
        </w:rPr>
      </w:pPr>
      <w:bookmarkStart w:id="28" w:name="_Toc477870463"/>
      <w:r>
        <w:rPr>
          <w:rStyle w:val="guidelinenumbering"/>
          <w:rFonts w:cs="Arial"/>
          <w:b w:val="0"/>
          <w:bCs w:val="0"/>
          <w:color w:val="auto"/>
          <w:spacing w:val="3"/>
          <w:w w:val="105"/>
          <w:sz w:val="32"/>
          <w:szCs w:val="18"/>
        </w:rPr>
        <w:lastRenderedPageBreak/>
        <w:t>5.5 – sandown park station precinct</w:t>
      </w:r>
      <w:bookmarkEnd w:id="28"/>
    </w:p>
    <w:p w:rsidR="00E9553B" w:rsidRPr="00DD6555" w:rsidRDefault="00E9553B" w:rsidP="00E9553B">
      <w:pPr>
        <w:pStyle w:val="NoParagraphStyle"/>
        <w:suppressAutoHyphens/>
        <w:spacing w:before="170"/>
        <w:rPr>
          <w:rStyle w:val="guidelinenumbering"/>
          <w:rFonts w:cs="Arial"/>
          <w:b w:val="0"/>
          <w:bCs w:val="0"/>
          <w:color w:val="auto"/>
          <w:spacing w:val="3"/>
          <w:w w:val="105"/>
          <w:sz w:val="18"/>
          <w:szCs w:val="18"/>
        </w:rPr>
      </w:pPr>
      <w:r w:rsidRPr="00DD6555">
        <w:rPr>
          <w:rStyle w:val="guidelinenumbering"/>
          <w:rFonts w:cs="Arial"/>
          <w:b w:val="0"/>
          <w:color w:val="auto"/>
          <w:spacing w:val="3"/>
          <w:w w:val="105"/>
          <w:sz w:val="22"/>
          <w:szCs w:val="22"/>
        </w:rPr>
        <w:t>Key Elements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150 Hectares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Sandown Park Train Station and Princes Highway access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Sandown Racecourse, 110ha major cultural destination for horse and car racing facilities and function centres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Sandown Park Greyhound, 8ha destination for greyhound racing and affiliated activities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Good access to both Springvale and Noble Park activity centres</w:t>
      </w:r>
    </w:p>
    <w:p w:rsidR="00E9553B" w:rsidRPr="00060341" w:rsidRDefault="00E9553B" w:rsidP="00060341">
      <w:pPr>
        <w:pStyle w:val="List1bullet"/>
        <w:rPr>
          <w:rStyle w:val="guidelinenumbering"/>
          <w:rFonts w:ascii="Arial" w:hAnsi="Arial" w:cs="Arial"/>
          <w:b w:val="0"/>
          <w:bCs w:val="0"/>
          <w:color w:val="auto"/>
          <w:sz w:val="18"/>
        </w:rPr>
      </w:pPr>
      <w:r w:rsidRPr="00060341">
        <w:rPr>
          <w:rStyle w:val="guidelinenumbering"/>
          <w:rFonts w:ascii="Arial" w:hAnsi="Arial" w:cs="Arial"/>
          <w:b w:val="0"/>
          <w:bCs w:val="0"/>
          <w:color w:val="auto"/>
          <w:sz w:val="18"/>
        </w:rPr>
        <w:t>Mile Creek and public reserves to the north-west and south-east</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Long Term Objectives</w:t>
      </w:r>
    </w:p>
    <w:p w:rsidR="00E9553B" w:rsidRPr="00060341" w:rsidRDefault="00E9553B" w:rsidP="00E9553B">
      <w:pPr>
        <w:pStyle w:val="NoParagraphStyle"/>
        <w:suppressAutoHyphens/>
        <w:spacing w:before="170"/>
        <w:rPr>
          <w:rStyle w:val="guidelinenumbering"/>
          <w:rFonts w:ascii="Arial" w:hAnsi="Arial" w:cs="Arial"/>
          <w:b w:val="0"/>
          <w:bCs w:val="0"/>
          <w:color w:val="auto"/>
          <w:sz w:val="18"/>
          <w:szCs w:val="18"/>
        </w:rPr>
      </w:pPr>
      <w:r w:rsidRPr="00060341">
        <w:rPr>
          <w:rStyle w:val="guidelinenumbering"/>
          <w:rFonts w:ascii="Arial" w:hAnsi="Arial" w:cs="Arial"/>
          <w:b w:val="0"/>
          <w:bCs w:val="0"/>
          <w:color w:val="auto"/>
          <w:spacing w:val="2"/>
          <w:w w:val="105"/>
          <w:sz w:val="18"/>
          <w:szCs w:val="18"/>
        </w:rPr>
        <w:t xml:space="preserve">Redevelopment within Sandown Park Station Precinct to accommodate a mix of residential, employment, retail and community uses which encourage local living and take advantage of proximity to other parts of the cluster. The Mile Creek riparian area and water management measures offer the potential to develop a distinctive urban precinct within a landscaped setting which takes advantage of the Cranbourne Pakenham railway corridor upgrades and new bus connections. The development of an activity centre, community infrastructure, open space and recreational facilities with convenient local access should be investigated. </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Action</w:t>
      </w:r>
    </w:p>
    <w:p w:rsidR="00E9553B" w:rsidRPr="00060341" w:rsidRDefault="00E9553B" w:rsidP="00E9553B">
      <w:pPr>
        <w:pStyle w:val="NoParagraphStyle"/>
        <w:suppressAutoHyphens/>
        <w:spacing w:before="170"/>
        <w:rPr>
          <w:rStyle w:val="guidelinenumbering"/>
          <w:rFonts w:ascii="Arial" w:hAnsi="Arial" w:cs="Arial"/>
          <w:b w:val="0"/>
          <w:bCs w:val="0"/>
          <w:color w:val="auto"/>
          <w:spacing w:val="3"/>
          <w:w w:val="105"/>
          <w:sz w:val="18"/>
          <w:szCs w:val="18"/>
        </w:rPr>
      </w:pPr>
      <w:r w:rsidRPr="00060341">
        <w:rPr>
          <w:rStyle w:val="guidelinenumbering"/>
          <w:rFonts w:ascii="Arial" w:hAnsi="Arial" w:cs="Arial"/>
          <w:b w:val="0"/>
          <w:bCs w:val="0"/>
          <w:color w:val="auto"/>
          <w:spacing w:val="3"/>
          <w:w w:val="105"/>
          <w:sz w:val="18"/>
          <w:szCs w:val="18"/>
        </w:rPr>
        <w:t>The VPA (in collaboration with City of Greater Dandenong) to prepare a structure plan for the overall precinct.</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Timing</w:t>
      </w:r>
    </w:p>
    <w:p w:rsidR="00E9553B" w:rsidRPr="00060341" w:rsidRDefault="00214090" w:rsidP="00E9553B">
      <w:pPr>
        <w:pStyle w:val="NoParagraphStyle"/>
        <w:suppressAutoHyphens/>
        <w:spacing w:before="170"/>
        <w:rPr>
          <w:rStyle w:val="guidelinenumbering"/>
          <w:rFonts w:ascii="Arial" w:hAnsi="Arial" w:cs="Arial"/>
          <w:b w:val="0"/>
          <w:bCs w:val="0"/>
          <w:color w:val="auto"/>
          <w:spacing w:val="3"/>
          <w:w w:val="105"/>
          <w:sz w:val="18"/>
          <w:szCs w:val="18"/>
        </w:rPr>
      </w:pPr>
      <w:r>
        <w:rPr>
          <w:rStyle w:val="guidelinenumbering"/>
          <w:rFonts w:ascii="Arial" w:hAnsi="Arial" w:cs="Arial"/>
          <w:b w:val="0"/>
          <w:bCs w:val="0"/>
          <w:color w:val="auto"/>
          <w:spacing w:val="3"/>
          <w:w w:val="105"/>
          <w:sz w:val="18"/>
          <w:szCs w:val="18"/>
        </w:rPr>
        <w:t>Medium term (</w:t>
      </w:r>
      <w:r w:rsidR="00E9553B" w:rsidRPr="00060341">
        <w:rPr>
          <w:rStyle w:val="guidelinenumbering"/>
          <w:rFonts w:ascii="Arial" w:hAnsi="Arial" w:cs="Arial"/>
          <w:b w:val="0"/>
          <w:bCs w:val="0"/>
          <w:color w:val="auto"/>
          <w:spacing w:val="3"/>
          <w:w w:val="105"/>
          <w:sz w:val="18"/>
          <w:szCs w:val="18"/>
        </w:rPr>
        <w:t>5</w:t>
      </w:r>
      <w:r>
        <w:rPr>
          <w:rStyle w:val="guidelinenumbering"/>
          <w:rFonts w:ascii="Arial" w:hAnsi="Arial" w:cs="Arial"/>
          <w:b w:val="0"/>
          <w:bCs w:val="0"/>
          <w:color w:val="auto"/>
          <w:spacing w:val="3"/>
          <w:w w:val="105"/>
          <w:sz w:val="18"/>
          <w:szCs w:val="18"/>
        </w:rPr>
        <w:t>-10</w:t>
      </w:r>
      <w:r w:rsidR="00E9553B" w:rsidRPr="00060341">
        <w:rPr>
          <w:rStyle w:val="guidelinenumbering"/>
          <w:rFonts w:ascii="Arial" w:hAnsi="Arial" w:cs="Arial"/>
          <w:b w:val="0"/>
          <w:bCs w:val="0"/>
          <w:color w:val="auto"/>
          <w:spacing w:val="3"/>
          <w:w w:val="105"/>
          <w:sz w:val="18"/>
          <w:szCs w:val="18"/>
        </w:rPr>
        <w:t xml:space="preserve"> years) </w:t>
      </w:r>
    </w:p>
    <w:p w:rsidR="00E9553B" w:rsidRPr="00DD6555" w:rsidRDefault="00E9553B" w:rsidP="00E9553B">
      <w:pPr>
        <w:pStyle w:val="NoParagraphStyle"/>
        <w:suppressAutoHyphens/>
        <w:spacing w:before="170"/>
        <w:rPr>
          <w:rStyle w:val="guidelinenumbering"/>
          <w:rFonts w:cs="Arial"/>
          <w:b w:val="0"/>
          <w:color w:val="auto"/>
          <w:spacing w:val="3"/>
          <w:w w:val="105"/>
          <w:sz w:val="22"/>
          <w:szCs w:val="22"/>
        </w:rPr>
      </w:pPr>
      <w:r w:rsidRPr="00DD6555">
        <w:rPr>
          <w:rStyle w:val="guidelinenumbering"/>
          <w:rFonts w:cs="Arial"/>
          <w:b w:val="0"/>
          <w:color w:val="auto"/>
          <w:spacing w:val="3"/>
          <w:w w:val="105"/>
          <w:sz w:val="22"/>
          <w:szCs w:val="22"/>
        </w:rPr>
        <w:t>Current Status</w:t>
      </w:r>
    </w:p>
    <w:p w:rsidR="00E9553B" w:rsidRDefault="00E9553B" w:rsidP="00E9553B">
      <w:pPr>
        <w:rPr>
          <w:rStyle w:val="guidelinenumbering"/>
          <w:rFonts w:ascii="Arial" w:hAnsi="Arial" w:cs="Arial"/>
          <w:b w:val="0"/>
          <w:bCs w:val="0"/>
          <w:color w:val="auto"/>
          <w:spacing w:val="3"/>
          <w:w w:val="105"/>
          <w:sz w:val="18"/>
        </w:rPr>
      </w:pPr>
      <w:r w:rsidRPr="00060341">
        <w:rPr>
          <w:rStyle w:val="guidelinenumbering"/>
          <w:rFonts w:ascii="Arial" w:hAnsi="Arial" w:cs="Arial"/>
          <w:b w:val="0"/>
          <w:bCs w:val="0"/>
          <w:color w:val="auto"/>
          <w:spacing w:val="3"/>
          <w:w w:val="105"/>
          <w:sz w:val="18"/>
        </w:rPr>
        <w:t>The Melbourne Racing Club (MRC) in collaboration with the City of Greater Dandenong and Victorian Planning Authority are preparing a master plan for the Sandown Racecourse site.</w:t>
      </w:r>
    </w:p>
    <w:p w:rsidR="00060341" w:rsidRDefault="00AC6C61" w:rsidP="00E9553B">
      <w:pPr>
        <w:rPr>
          <w:rStyle w:val="guidelinenumbering"/>
          <w:rFonts w:ascii="Arial" w:hAnsi="Arial" w:cs="Arial"/>
          <w:b w:val="0"/>
          <w:bCs w:val="0"/>
          <w:color w:val="auto"/>
          <w:spacing w:val="3"/>
          <w:w w:val="105"/>
          <w:sz w:val="18"/>
        </w:rPr>
      </w:pPr>
      <w:r>
        <w:rPr>
          <w:rStyle w:val="guidelinenumbering"/>
          <w:rFonts w:ascii="Arial" w:hAnsi="Arial" w:cs="Arial"/>
          <w:b w:val="0"/>
          <w:bCs w:val="0"/>
          <w:color w:val="auto"/>
          <w:spacing w:val="3"/>
          <w:w w:val="105"/>
          <w:sz w:val="18"/>
        </w:rPr>
        <w:lastRenderedPageBreak/>
        <w:br w:type="page"/>
      </w:r>
      <w:r w:rsidR="00480F1D">
        <w:rPr>
          <w:noProof/>
        </w:rPr>
        <w:drawing>
          <wp:anchor distT="0" distB="0" distL="114300" distR="114300" simplePos="0" relativeHeight="251652089" behindDoc="0" locked="0" layoutInCell="1" allowOverlap="1" wp14:anchorId="6ECF0252" wp14:editId="1698F9F4">
            <wp:simplePos x="0" y="0"/>
            <wp:positionH relativeFrom="page">
              <wp:align>center</wp:align>
            </wp:positionH>
            <wp:positionV relativeFrom="paragraph">
              <wp:posOffset>288299</wp:posOffset>
            </wp:positionV>
            <wp:extent cx="5396230" cy="5246370"/>
            <wp:effectExtent l="0" t="0" r="0" b="0"/>
            <wp:wrapSquare wrapText="bothSides"/>
            <wp:docPr id="14" name="Picture 14" descr="Aerial imagery showing the extents of the sandown racecourse " title="Aerial image of Sandown Racecour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396230" cy="5246370"/>
                    </a:xfrm>
                    <a:prstGeom prst="rect">
                      <a:avLst/>
                    </a:prstGeom>
                  </pic:spPr>
                </pic:pic>
              </a:graphicData>
            </a:graphic>
          </wp:anchor>
        </w:drawing>
      </w:r>
      <w:r w:rsidR="009548CB">
        <w:rPr>
          <w:rFonts w:cs="Arial"/>
          <w:b/>
          <w:bCs/>
          <w:noProof/>
          <w:spacing w:val="3"/>
        </w:rPr>
        <w:object w:dxaOrig="1440" w:dyaOrig="1440">
          <v:shape id="_x0000_s1028" type="#_x0000_t75" alt="Diagram of key areas described in the above plan. " style="position:absolute;left:0;text-align:left;margin-left:97.05pt;margin-top:439.1pt;width:229.25pt;height:262.55pt;z-index:251666432;mso-position-horizontal-relative:text;mso-position-vertical-relative:text;mso-width-relative:page;mso-height-relative:page">
            <v:imagedata r:id="rId47" o:title="" croptop="2080f" cropbottom="10399f"/>
            <w10:wrap type="square"/>
          </v:shape>
          <o:OLEObject Type="Embed" ProgID="Acrobat.Document.DC" ShapeID="_x0000_s1028" DrawAspect="Content" ObjectID="_1551685521" r:id="rId48"/>
        </w:object>
      </w:r>
      <w:r w:rsidR="001C633A">
        <w:rPr>
          <w:noProof/>
        </w:rPr>
        <mc:AlternateContent>
          <mc:Choice Requires="wps">
            <w:drawing>
              <wp:anchor distT="0" distB="0" distL="114300" distR="114300" simplePos="0" relativeHeight="251700224" behindDoc="0" locked="0" layoutInCell="1" allowOverlap="1" wp14:anchorId="1CD75678" wp14:editId="0C1D0B0B">
                <wp:simplePos x="0" y="0"/>
                <wp:positionH relativeFrom="column">
                  <wp:posOffset>24130</wp:posOffset>
                </wp:positionH>
                <wp:positionV relativeFrom="paragraph">
                  <wp:posOffset>0</wp:posOffset>
                </wp:positionV>
                <wp:extent cx="4784725" cy="4572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784725" cy="457200"/>
                        </a:xfrm>
                        <a:prstGeom prst="rect">
                          <a:avLst/>
                        </a:prstGeom>
                        <a:solidFill>
                          <a:prstClr val="white"/>
                        </a:solidFill>
                        <a:ln>
                          <a:noFill/>
                        </a:ln>
                        <a:effectLst/>
                      </wps:spPr>
                      <wps:txbx>
                        <w:txbxContent>
                          <w:p w:rsidR="0058515B" w:rsidRPr="001C633A" w:rsidRDefault="0058515B" w:rsidP="001C633A">
                            <w:pPr>
                              <w:pStyle w:val="Caption"/>
                              <w:rPr>
                                <w:rFonts w:ascii="Arial" w:hAnsi="Arial" w:cs="Arial"/>
                                <w:b/>
                                <w:bCs/>
                                <w:noProof/>
                                <w:color w:val="auto"/>
                                <w:spacing w:val="3"/>
                              </w:rPr>
                            </w:pPr>
                            <w:bookmarkStart w:id="29" w:name="_Toc477870550"/>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sidRPr="001C633A">
                              <w:rPr>
                                <w:rFonts w:ascii="Arial" w:hAnsi="Arial" w:cs="Arial"/>
                                <w:b/>
                                <w:noProof/>
                                <w:color w:val="auto"/>
                              </w:rPr>
                              <w:t>12</w:t>
                            </w:r>
                            <w:r w:rsidRPr="001C633A">
                              <w:rPr>
                                <w:rFonts w:ascii="Arial" w:hAnsi="Arial" w:cs="Arial"/>
                                <w:b/>
                                <w:color w:val="auto"/>
                              </w:rPr>
                              <w:fldChar w:fldCharType="end"/>
                            </w:r>
                            <w:r w:rsidRPr="001C633A">
                              <w:rPr>
                                <w:rFonts w:ascii="Arial" w:hAnsi="Arial" w:cs="Arial"/>
                                <w:color w:val="auto"/>
                              </w:rPr>
                              <w:t xml:space="preserve"> Sandown Park Station Precinct</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CD75678" id="Text Box 11" o:spid="_x0000_s1032" type="#_x0000_t202" style="position:absolute;left:0;text-align:left;margin-left:1.9pt;margin-top:0;width:376.75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" stroked="f">
                <v:textbox inset="0,0,0,0">
                  <w:txbxContent>
                    <w:p w:rsidR="0058515B" w:rsidRPr="001C633A" w:rsidRDefault="0058515B" w:rsidP="001C633A">
                      <w:pPr>
                        <w:pStyle w:val="Caption"/>
                        <w:rPr>
                          <w:rFonts w:ascii="Arial" w:hAnsi="Arial" w:cs="Arial"/>
                          <w:b/>
                          <w:bCs/>
                          <w:noProof/>
                          <w:color w:val="auto"/>
                          <w:spacing w:val="3"/>
                        </w:rPr>
                      </w:pPr>
                      <w:bookmarkStart w:id="35" w:name="_Toc477870550"/>
                      <w:r w:rsidRPr="001C633A">
                        <w:rPr>
                          <w:rFonts w:ascii="Arial" w:hAnsi="Arial" w:cs="Arial"/>
                          <w:b/>
                          <w:color w:val="auto"/>
                        </w:rPr>
                        <w:t xml:space="preserve">Figure </w:t>
                      </w:r>
                      <w:r w:rsidRPr="001C633A">
                        <w:rPr>
                          <w:rFonts w:ascii="Arial" w:hAnsi="Arial" w:cs="Arial"/>
                          <w:b/>
                          <w:color w:val="auto"/>
                        </w:rPr>
                        <w:fldChar w:fldCharType="begin"/>
                      </w:r>
                      <w:r w:rsidRPr="001C633A">
                        <w:rPr>
                          <w:rFonts w:ascii="Arial" w:hAnsi="Arial" w:cs="Arial"/>
                          <w:b/>
                          <w:color w:val="auto"/>
                        </w:rPr>
                        <w:instrText xml:space="preserve"> SEQ Figure \* ARABIC </w:instrText>
                      </w:r>
                      <w:r w:rsidRPr="001C633A">
                        <w:rPr>
                          <w:rFonts w:ascii="Arial" w:hAnsi="Arial" w:cs="Arial"/>
                          <w:b/>
                          <w:color w:val="auto"/>
                        </w:rPr>
                        <w:fldChar w:fldCharType="separate"/>
                      </w:r>
                      <w:r w:rsidRPr="001C633A">
                        <w:rPr>
                          <w:rFonts w:ascii="Arial" w:hAnsi="Arial" w:cs="Arial"/>
                          <w:b/>
                          <w:noProof/>
                          <w:color w:val="auto"/>
                        </w:rPr>
                        <w:t>12</w:t>
                      </w:r>
                      <w:r w:rsidRPr="001C633A">
                        <w:rPr>
                          <w:rFonts w:ascii="Arial" w:hAnsi="Arial" w:cs="Arial"/>
                          <w:b/>
                          <w:color w:val="auto"/>
                        </w:rPr>
                        <w:fldChar w:fldCharType="end"/>
                      </w:r>
                      <w:r w:rsidRPr="001C633A">
                        <w:rPr>
                          <w:rFonts w:ascii="Arial" w:hAnsi="Arial" w:cs="Arial"/>
                          <w:color w:val="auto"/>
                        </w:rPr>
                        <w:t xml:space="preserve"> Sandown Park Station Precinct</w:t>
                      </w:r>
                      <w:bookmarkEnd w:id="35"/>
                    </w:p>
                  </w:txbxContent>
                </v:textbox>
                <w10:wrap type="square"/>
              </v:shape>
            </w:pict>
          </mc:Fallback>
        </mc:AlternateContent>
      </w:r>
    </w:p>
    <w:p w:rsidR="00060341" w:rsidRPr="00C04134" w:rsidRDefault="00060341" w:rsidP="00060341">
      <w:pPr>
        <w:pStyle w:val="Heading1nonumbers"/>
        <w:rPr>
          <w:rStyle w:val="guidelinenumbering"/>
          <w:rFonts w:cs="Arial"/>
          <w:b w:val="0"/>
          <w:bCs w:val="0"/>
          <w:color w:val="auto"/>
          <w:spacing w:val="3"/>
          <w:w w:val="105"/>
          <w:sz w:val="32"/>
          <w:szCs w:val="18"/>
        </w:rPr>
      </w:pPr>
      <w:bookmarkStart w:id="30" w:name="_Toc477870464"/>
      <w:r>
        <w:rPr>
          <w:rStyle w:val="guidelinenumbering"/>
          <w:rFonts w:cs="Arial"/>
          <w:b w:val="0"/>
          <w:bCs w:val="0"/>
          <w:color w:val="auto"/>
          <w:spacing w:val="3"/>
          <w:w w:val="105"/>
          <w:sz w:val="32"/>
          <w:szCs w:val="18"/>
        </w:rPr>
        <w:lastRenderedPageBreak/>
        <w:t>implementation</w:t>
      </w:r>
      <w:bookmarkEnd w:id="30"/>
    </w:p>
    <w:tbl>
      <w:tblPr>
        <w:tblW w:w="8902" w:type="dxa"/>
        <w:tblInd w:w="-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931"/>
        <w:gridCol w:w="5665"/>
        <w:gridCol w:w="965"/>
        <w:gridCol w:w="1341"/>
      </w:tblGrid>
      <w:tr w:rsidR="00060341" w:rsidRPr="00060341" w:rsidTr="00B25480">
        <w:trPr>
          <w:trHeight w:val="284"/>
        </w:trPr>
        <w:tc>
          <w:tcPr>
            <w:tcW w:w="8902" w:type="dxa"/>
            <w:gridSpan w:val="4"/>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sz w:val="22"/>
                <w:lang w:val="en-GB"/>
              </w:rPr>
            </w:pPr>
            <w:r w:rsidRPr="00060341">
              <w:rPr>
                <w:rFonts w:cs="Arial"/>
                <w:b/>
                <w:bCs/>
                <w:spacing w:val="2"/>
                <w:w w:val="104"/>
                <w:sz w:val="22"/>
                <w:lang w:val="en-GB"/>
              </w:rPr>
              <w:t>Strategic Outcome 1: Grow employment and innovation in the health, education and research precinct</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1.1</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a Health, Education and Research Precinct Structure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1.2</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Establish a taskforce to advocate for and represent key interests from health, education and research institutions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p>
        </w:tc>
      </w:tr>
      <w:tr w:rsidR="00060341" w:rsidRPr="00060341" w:rsidTr="00B25480">
        <w:trPr>
          <w:trHeight w:val="284"/>
        </w:trPr>
        <w:tc>
          <w:tcPr>
            <w:tcW w:w="8902" w:type="dxa"/>
            <w:gridSpan w:val="4"/>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b/>
                <w:bCs/>
                <w:spacing w:val="2"/>
                <w:w w:val="105"/>
                <w:sz w:val="22"/>
                <w:lang w:val="en-GB"/>
              </w:rPr>
              <w:t xml:space="preserve">Strategic Outcome 2: </w:t>
            </w:r>
            <w:r w:rsidRPr="00060341">
              <w:rPr>
                <w:rFonts w:cs="Arial"/>
                <w:b/>
                <w:bCs/>
                <w:spacing w:val="2"/>
                <w:w w:val="103"/>
                <w:sz w:val="22"/>
                <w:lang w:val="en-GB"/>
              </w:rPr>
              <w:t>Boost jobs growth and develop attractive employment areas with business town centres</w:t>
            </w:r>
            <w:r w:rsidRPr="00060341">
              <w:rPr>
                <w:rFonts w:cs="Arial"/>
                <w:b/>
                <w:bCs/>
                <w:spacing w:val="2"/>
                <w:w w:val="103"/>
                <w:sz w:val="22"/>
                <w:lang w:val="en-GB"/>
              </w:rPr>
              <w:tab/>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2.1</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a future employment and investment attraction strategy for the cluster and update planning policies for employment areas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DEDJTR</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2.2</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Plan for at least two new business town centres in the Monash Technology Precinct and implement planning scheme amendment</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MCC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2.3</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Amend the Monash Planning Scheme to allow residential hotels in the Monash Technology Precinct</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2.4</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 xml:space="preserve">Review Monash Technology Precinct Urban Design Guidelines </w:t>
            </w:r>
            <w:r w:rsidRPr="00060341">
              <w:rPr>
                <w:rFonts w:cs="Arial"/>
                <w:spacing w:val="2"/>
                <w:w w:val="105"/>
                <w:lang w:val="en-GB"/>
              </w:rPr>
              <w:tab/>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MCC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2.5</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Advocate for the rollout of high performance broadband to business and employment areas</w:t>
            </w:r>
            <w:r w:rsidRPr="00060341">
              <w:rPr>
                <w:rFonts w:cs="Arial"/>
                <w:spacing w:val="2"/>
                <w:w w:val="105"/>
                <w:lang w:val="en-GB"/>
              </w:rPr>
              <w:tab/>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DEDJTR</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2.6</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Plan a network of activity centres that provide a range of services and facilities to support local living with good sustainable transport links (refer to Strategic Outcome 5 for detail)</w:t>
            </w:r>
            <w:r w:rsidRPr="00060341">
              <w:rPr>
                <w:rFonts w:cs="Arial"/>
                <w:spacing w:val="2"/>
                <w:w w:val="105"/>
                <w:lang w:val="en-GB"/>
              </w:rPr>
              <w:tab/>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jc w:val="center"/>
              <w:textAlignment w:val="center"/>
              <w:rPr>
                <w:rFonts w:cs="Arial"/>
                <w:lang w:val="en-GB"/>
              </w:rPr>
            </w:pPr>
            <w:r w:rsidRPr="00060341">
              <w:rPr>
                <w:rFonts w:cs="Arial"/>
                <w:spacing w:val="2"/>
                <w:w w:val="105"/>
                <w:lang w:val="en-GB"/>
              </w:rPr>
              <w:t>Short-</w:t>
            </w:r>
            <w:r w:rsidRPr="00060341">
              <w:rPr>
                <w:rFonts w:cs="Arial"/>
                <w:spacing w:val="2"/>
                <w:w w:val="105"/>
                <w:lang w:val="en-GB"/>
              </w:rPr>
              <w:br/>
              <w:t>Medium</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MCC</w:t>
            </w:r>
            <w:r w:rsidRPr="00060341">
              <w:rPr>
                <w:rFonts w:cs="Arial"/>
                <w:spacing w:val="2"/>
                <w:w w:val="105"/>
                <w:lang w:val="en-GB"/>
              </w:rPr>
              <w:br/>
              <w:t>KCC</w:t>
            </w:r>
            <w:r w:rsidRPr="00060341">
              <w:rPr>
                <w:rFonts w:cs="Arial"/>
                <w:spacing w:val="2"/>
                <w:w w:val="105"/>
                <w:lang w:val="en-GB"/>
              </w:rPr>
              <w:br/>
              <w:t>GDCC</w:t>
            </w:r>
          </w:p>
        </w:tc>
      </w:tr>
      <w:tr w:rsidR="00060341" w:rsidRPr="00060341" w:rsidTr="00B25480">
        <w:trPr>
          <w:trHeight w:val="284"/>
        </w:trPr>
        <w:tc>
          <w:tcPr>
            <w:tcW w:w="8902" w:type="dxa"/>
            <w:gridSpan w:val="4"/>
            <w:shd w:val="clear" w:color="auto" w:fill="auto"/>
            <w:tcMar>
              <w:top w:w="80" w:type="dxa"/>
              <w:left w:w="80" w:type="dxa"/>
              <w:bottom w:w="80" w:type="dxa"/>
              <w:right w:w="80" w:type="dxa"/>
            </w:tcMar>
            <w:vAlign w:val="center"/>
          </w:tcPr>
          <w:p w:rsidR="00060341" w:rsidRPr="00060341" w:rsidRDefault="00060341" w:rsidP="00214090">
            <w:pPr>
              <w:autoSpaceDE w:val="0"/>
              <w:autoSpaceDN w:val="0"/>
              <w:adjustRightInd w:val="0"/>
              <w:spacing w:before="170" w:line="288" w:lineRule="auto"/>
              <w:ind w:right="276"/>
              <w:jc w:val="left"/>
              <w:textAlignment w:val="center"/>
              <w:rPr>
                <w:rFonts w:cs="Arial"/>
                <w:sz w:val="22"/>
                <w:lang w:val="en-GB"/>
              </w:rPr>
            </w:pPr>
            <w:r w:rsidRPr="00060341">
              <w:rPr>
                <w:rFonts w:cs="Arial"/>
                <w:b/>
                <w:bCs/>
                <w:spacing w:val="2"/>
                <w:w w:val="104"/>
                <w:sz w:val="22"/>
                <w:lang w:val="en-GB"/>
              </w:rPr>
              <w:t xml:space="preserve">Strategic Outcome 3: </w:t>
            </w:r>
            <w:r w:rsidR="00214090">
              <w:rPr>
                <w:rFonts w:cs="Arial"/>
                <w:b/>
                <w:bCs/>
                <w:spacing w:val="2"/>
                <w:w w:val="104"/>
                <w:sz w:val="22"/>
                <w:lang w:val="en-GB"/>
              </w:rPr>
              <w:t>Transform the transport network to support economic growth of the cluster.</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3.1</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and implement a high-frequency and high-capacity public transport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112"/>
              <w:jc w:val="center"/>
              <w:textAlignment w:val="center"/>
              <w:rPr>
                <w:rFonts w:cs="Arial"/>
                <w:lang w:val="en-GB"/>
              </w:rPr>
            </w:pPr>
            <w:r w:rsidRPr="00060341">
              <w:rPr>
                <w:rFonts w:cs="Arial"/>
                <w:spacing w:val="2"/>
                <w:w w:val="105"/>
                <w:lang w:val="en-GB"/>
              </w:rPr>
              <w:t>Short-</w:t>
            </w:r>
            <w:r w:rsidRPr="00060341">
              <w:rPr>
                <w:rFonts w:cs="Arial"/>
                <w:spacing w:val="2"/>
                <w:w w:val="105"/>
                <w:lang w:val="en-GB"/>
              </w:rPr>
              <w:br/>
              <w:t>Long</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TfV</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3.2</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Accelerate the Westall Road preferred freight route connection to Monash Freeway, ensuring adequate levels of access in order to support the growth of local jobs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112"/>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VicRoads</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lastRenderedPageBreak/>
              <w:t>3.3</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Develop a high quality walking and cycling network connecting high demand destinations including between major activity nodes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112"/>
              <w:jc w:val="center"/>
              <w:textAlignment w:val="center"/>
              <w:rPr>
                <w:rFonts w:cs="Arial"/>
                <w:lang w:val="en-GB"/>
              </w:rPr>
            </w:pPr>
            <w:r w:rsidRPr="00060341">
              <w:rPr>
                <w:rFonts w:cs="Arial"/>
                <w:spacing w:val="2"/>
                <w:w w:val="105"/>
                <w:lang w:val="en-GB"/>
              </w:rPr>
              <w:t>Short-</w:t>
            </w:r>
            <w:r w:rsidRPr="00060341">
              <w:rPr>
                <w:rFonts w:cs="Arial"/>
                <w:spacing w:val="2"/>
                <w:w w:val="105"/>
                <w:lang w:val="en-GB"/>
              </w:rPr>
              <w:br/>
              <w:t>Medium</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TfV</w:t>
            </w:r>
            <w:r w:rsidRPr="00060341">
              <w:rPr>
                <w:rFonts w:cs="Arial"/>
                <w:spacing w:val="2"/>
                <w:w w:val="105"/>
                <w:lang w:val="en-GB"/>
              </w:rPr>
              <w:br/>
              <w:t>MCC</w:t>
            </w:r>
            <w:r w:rsidRPr="00060341">
              <w:rPr>
                <w:rFonts w:cs="Arial"/>
                <w:spacing w:val="2"/>
                <w:w w:val="105"/>
                <w:lang w:val="en-GB"/>
              </w:rPr>
              <w:br/>
              <w:t>KCC</w:t>
            </w:r>
            <w:r w:rsidRPr="00060341">
              <w:rPr>
                <w:rFonts w:cs="Arial"/>
                <w:spacing w:val="2"/>
                <w:w w:val="105"/>
                <w:lang w:val="en-GB"/>
              </w:rPr>
              <w:br/>
              <w:t>GDCC</w:t>
            </w:r>
          </w:p>
        </w:tc>
      </w:tr>
      <w:tr w:rsidR="00060341" w:rsidRPr="00060341" w:rsidTr="00B25480">
        <w:trPr>
          <w:trHeight w:val="284"/>
        </w:trPr>
        <w:tc>
          <w:tcPr>
            <w:tcW w:w="8902" w:type="dxa"/>
            <w:gridSpan w:val="4"/>
            <w:shd w:val="clear" w:color="auto" w:fill="auto"/>
            <w:tcMar>
              <w:top w:w="80" w:type="dxa"/>
              <w:left w:w="80" w:type="dxa"/>
              <w:bottom w:w="80" w:type="dxa"/>
              <w:right w:w="80" w:type="dxa"/>
            </w:tcMar>
            <w:vAlign w:val="center"/>
          </w:tcPr>
          <w:p w:rsidR="00060341" w:rsidRPr="00060341" w:rsidRDefault="00060341" w:rsidP="00214090">
            <w:pPr>
              <w:autoSpaceDE w:val="0"/>
              <w:autoSpaceDN w:val="0"/>
              <w:adjustRightInd w:val="0"/>
              <w:spacing w:before="170" w:line="288" w:lineRule="auto"/>
              <w:ind w:right="276"/>
              <w:jc w:val="left"/>
              <w:textAlignment w:val="center"/>
              <w:rPr>
                <w:rFonts w:cs="Arial"/>
                <w:sz w:val="22"/>
                <w:lang w:val="en-GB"/>
              </w:rPr>
            </w:pPr>
            <w:r w:rsidRPr="00060341">
              <w:rPr>
                <w:rFonts w:cs="Arial"/>
                <w:b/>
                <w:bCs/>
                <w:spacing w:val="2"/>
                <w:w w:val="104"/>
                <w:sz w:val="22"/>
                <w:lang w:val="en-GB"/>
              </w:rPr>
              <w:t>Strategic Outcome 4: Develop public open space and community infrastructure</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4.1</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Plan for infrastructure and open spaces within employment areas to assist in creating a sense of community and meeting worker needs such as health and fitness, co-working spaces and meeting places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MCC</w:t>
            </w:r>
            <w:r w:rsidRPr="00060341">
              <w:rPr>
                <w:rFonts w:cs="Arial"/>
                <w:spacing w:val="2"/>
                <w:w w:val="105"/>
                <w:lang w:val="en-GB"/>
              </w:rPr>
              <w:br/>
              <w:t>KCC</w:t>
            </w:r>
            <w:r w:rsidRPr="00060341">
              <w:rPr>
                <w:rFonts w:cs="Arial"/>
                <w:spacing w:val="2"/>
                <w:w w:val="105"/>
                <w:lang w:val="en-GB"/>
              </w:rPr>
              <w:br/>
              <w:t>GDCC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4.2</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Identify priority community infrastructure as the basis for developing an Infrastructure Contribution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MCC</w:t>
            </w:r>
            <w:r w:rsidRPr="00060341">
              <w:rPr>
                <w:rFonts w:cs="Arial"/>
                <w:spacing w:val="2"/>
                <w:w w:val="105"/>
                <w:lang w:val="en-GB"/>
              </w:rPr>
              <w:br/>
              <w:t>KCC</w:t>
            </w:r>
            <w:r w:rsidRPr="00060341">
              <w:rPr>
                <w:rFonts w:cs="Arial"/>
                <w:spacing w:val="2"/>
                <w:w w:val="105"/>
                <w:lang w:val="en-GB"/>
              </w:rPr>
              <w:br/>
              <w:t>GDCC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4.3</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Establish Public Open Space contribution rates that will ensure open space improvements, support anticipated change in employment and mitigate the urban heat island effect</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r w:rsidRPr="00060341">
              <w:rPr>
                <w:rFonts w:cs="Arial"/>
                <w:spacing w:val="2"/>
                <w:w w:val="105"/>
                <w:lang w:val="en-GB"/>
              </w:rPr>
              <w:br/>
              <w:t>Medium</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MCC</w:t>
            </w:r>
            <w:r w:rsidRPr="00060341">
              <w:rPr>
                <w:rFonts w:cs="Arial"/>
                <w:spacing w:val="2"/>
                <w:w w:val="105"/>
                <w:lang w:val="en-GB"/>
              </w:rPr>
              <w:br/>
              <w:t>KCC</w:t>
            </w:r>
            <w:r w:rsidRPr="00060341">
              <w:rPr>
                <w:rFonts w:cs="Arial"/>
                <w:spacing w:val="2"/>
                <w:w w:val="105"/>
                <w:lang w:val="en-GB"/>
              </w:rPr>
              <w:br/>
              <w:t>GDCC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4.4</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Develop a future education growth plan to support the growing local population with appropriate expansion or upgrades to primary and secondary schools</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r w:rsidRPr="00060341">
              <w:rPr>
                <w:rFonts w:cs="Arial"/>
                <w:spacing w:val="2"/>
                <w:w w:val="105"/>
                <w:lang w:val="en-GB"/>
              </w:rPr>
              <w:br/>
              <w:t>Medium</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DET</w:t>
            </w:r>
          </w:p>
        </w:tc>
      </w:tr>
      <w:tr w:rsidR="00060341" w:rsidRPr="00060341" w:rsidTr="00B25480">
        <w:trPr>
          <w:trHeight w:val="284"/>
        </w:trPr>
        <w:tc>
          <w:tcPr>
            <w:tcW w:w="8902" w:type="dxa"/>
            <w:gridSpan w:val="4"/>
            <w:shd w:val="clear" w:color="auto" w:fill="auto"/>
            <w:tcMar>
              <w:top w:w="80" w:type="dxa"/>
              <w:left w:w="80" w:type="dxa"/>
              <w:bottom w:w="80" w:type="dxa"/>
              <w:right w:w="80" w:type="dxa"/>
            </w:tcMar>
            <w:vAlign w:val="center"/>
          </w:tcPr>
          <w:p w:rsidR="00060341" w:rsidRPr="00060341" w:rsidRDefault="00060341" w:rsidP="00DD6555">
            <w:pPr>
              <w:autoSpaceDE w:val="0"/>
              <w:autoSpaceDN w:val="0"/>
              <w:adjustRightInd w:val="0"/>
              <w:spacing w:before="170" w:line="288" w:lineRule="auto"/>
              <w:ind w:right="276"/>
              <w:jc w:val="left"/>
              <w:textAlignment w:val="center"/>
              <w:rPr>
                <w:rFonts w:cs="Arial"/>
                <w:sz w:val="22"/>
                <w:lang w:val="en-GB"/>
              </w:rPr>
            </w:pPr>
            <w:r w:rsidRPr="00060341">
              <w:rPr>
                <w:rFonts w:cs="Arial"/>
                <w:b/>
                <w:bCs/>
                <w:spacing w:val="2"/>
                <w:w w:val="104"/>
                <w:sz w:val="22"/>
                <w:lang w:val="en-GB"/>
              </w:rPr>
              <w:t>Strategic Outcome 5: Plan and deliver urban renewal projects and strategic sites</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5.1</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 xml:space="preserve">Prepare Huntingdale Activity Centre and Industrial Precinct Structure Plan </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MCC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5.2</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 xml:space="preserve">Prepare Clayton Activity Centre Structure Plan </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MCC</w:t>
            </w:r>
            <w:r w:rsidRPr="00060341">
              <w:rPr>
                <w:rFonts w:cs="Arial"/>
                <w:spacing w:val="2"/>
                <w:w w:val="105"/>
                <w:lang w:val="en-GB"/>
              </w:rPr>
              <w:br/>
              <w:t>KCC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5.3</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 xml:space="preserve">Prepare Springvale Activity Centre Structure Plan update </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GDCC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5.4</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PMP Precinct / Centre Road Structure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 xml:space="preserve">VPA </w:t>
            </w:r>
            <w:r w:rsidRPr="00060341">
              <w:rPr>
                <w:rFonts w:cs="Arial"/>
                <w:spacing w:val="2"/>
                <w:w w:val="105"/>
                <w:lang w:val="en-GB"/>
              </w:rPr>
              <w:br/>
              <w:t>MCC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5.5</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Clayton Business Park Comprehensive Development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Short</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KCC</w:t>
            </w:r>
          </w:p>
        </w:tc>
      </w:tr>
      <w:tr w:rsidR="00060341" w:rsidRPr="00060341" w:rsidTr="00B25480">
        <w:trPr>
          <w:trHeight w:val="284"/>
        </w:trPr>
        <w:tc>
          <w:tcPr>
            <w:tcW w:w="931"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5.6</w:t>
            </w:r>
          </w:p>
        </w:tc>
        <w:tc>
          <w:tcPr>
            <w:tcW w:w="5665"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left"/>
              <w:textAlignment w:val="center"/>
              <w:rPr>
                <w:rFonts w:cs="Arial"/>
                <w:lang w:val="en-GB"/>
              </w:rPr>
            </w:pPr>
            <w:r w:rsidRPr="00060341">
              <w:rPr>
                <w:rFonts w:cs="Arial"/>
                <w:spacing w:val="2"/>
                <w:w w:val="105"/>
                <w:lang w:val="en-GB"/>
              </w:rPr>
              <w:t>Prepare Sandown Park Station Precinct Structure Plan</w:t>
            </w:r>
          </w:p>
        </w:tc>
        <w:tc>
          <w:tcPr>
            <w:tcW w:w="965" w:type="dxa"/>
            <w:shd w:val="clear" w:color="auto" w:fill="auto"/>
            <w:tcMar>
              <w:top w:w="80" w:type="dxa"/>
              <w:left w:w="80" w:type="dxa"/>
              <w:bottom w:w="80" w:type="dxa"/>
              <w:right w:w="80" w:type="dxa"/>
            </w:tcMar>
            <w:vAlign w:val="center"/>
          </w:tcPr>
          <w:p w:rsidR="00060341" w:rsidRPr="00060341" w:rsidRDefault="00060341" w:rsidP="00B9601D">
            <w:pPr>
              <w:autoSpaceDE w:val="0"/>
              <w:autoSpaceDN w:val="0"/>
              <w:adjustRightInd w:val="0"/>
              <w:spacing w:before="170" w:line="288" w:lineRule="auto"/>
              <w:ind w:right="30"/>
              <w:jc w:val="center"/>
              <w:textAlignment w:val="center"/>
              <w:rPr>
                <w:rFonts w:cs="Arial"/>
                <w:lang w:val="en-GB"/>
              </w:rPr>
            </w:pPr>
            <w:r w:rsidRPr="00060341">
              <w:rPr>
                <w:rFonts w:cs="Arial"/>
                <w:spacing w:val="2"/>
                <w:w w:val="105"/>
                <w:lang w:val="en-GB"/>
              </w:rPr>
              <w:t>Medium</w:t>
            </w:r>
          </w:p>
        </w:tc>
        <w:tc>
          <w:tcPr>
            <w:tcW w:w="1339" w:type="dxa"/>
            <w:shd w:val="clear" w:color="auto" w:fill="auto"/>
            <w:tcMar>
              <w:top w:w="80" w:type="dxa"/>
              <w:left w:w="80" w:type="dxa"/>
              <w:bottom w:w="80" w:type="dxa"/>
              <w:right w:w="80" w:type="dxa"/>
            </w:tcMar>
            <w:vAlign w:val="center"/>
          </w:tcPr>
          <w:p w:rsidR="00060341" w:rsidRPr="00060341" w:rsidRDefault="00060341" w:rsidP="00060341">
            <w:pPr>
              <w:autoSpaceDE w:val="0"/>
              <w:autoSpaceDN w:val="0"/>
              <w:adjustRightInd w:val="0"/>
              <w:spacing w:before="170" w:line="288" w:lineRule="auto"/>
              <w:ind w:right="276"/>
              <w:jc w:val="center"/>
              <w:textAlignment w:val="center"/>
              <w:rPr>
                <w:rFonts w:cs="Arial"/>
                <w:lang w:val="en-GB"/>
              </w:rPr>
            </w:pPr>
            <w:r w:rsidRPr="00060341">
              <w:rPr>
                <w:rFonts w:cs="Arial"/>
                <w:spacing w:val="2"/>
                <w:w w:val="105"/>
                <w:lang w:val="en-GB"/>
              </w:rPr>
              <w:t>VPA</w:t>
            </w:r>
            <w:r w:rsidRPr="00060341">
              <w:rPr>
                <w:rFonts w:cs="Arial"/>
                <w:spacing w:val="2"/>
                <w:w w:val="105"/>
                <w:lang w:val="en-GB"/>
              </w:rPr>
              <w:br/>
              <w:t>GDCC</w:t>
            </w:r>
          </w:p>
        </w:tc>
      </w:tr>
    </w:tbl>
    <w:p w:rsidR="0068315F" w:rsidRDefault="0068315F" w:rsidP="00060341">
      <w:pPr>
        <w:ind w:right="276"/>
        <w:rPr>
          <w:rStyle w:val="guidelinenumbering"/>
          <w:rFonts w:ascii="Arial" w:hAnsi="Arial" w:cs="Arial"/>
          <w:b w:val="0"/>
          <w:color w:val="auto"/>
          <w:w w:val="105"/>
          <w:sz w:val="18"/>
          <w:szCs w:val="18"/>
          <w:lang w:val="en-GB"/>
        </w:rPr>
      </w:pPr>
    </w:p>
    <w:p w:rsidR="0068315F" w:rsidRPr="00C04134" w:rsidRDefault="0068315F" w:rsidP="0068315F">
      <w:pPr>
        <w:pStyle w:val="Heading1nonumbers"/>
        <w:rPr>
          <w:rStyle w:val="guidelinenumbering"/>
          <w:rFonts w:cs="Arial"/>
          <w:b w:val="0"/>
          <w:bCs w:val="0"/>
          <w:color w:val="auto"/>
          <w:spacing w:val="3"/>
          <w:w w:val="105"/>
          <w:sz w:val="32"/>
          <w:szCs w:val="18"/>
        </w:rPr>
      </w:pPr>
      <w:bookmarkStart w:id="31" w:name="_Toc477870465"/>
      <w:r>
        <w:rPr>
          <w:rStyle w:val="guidelinenumbering"/>
          <w:rFonts w:cs="Arial"/>
          <w:b w:val="0"/>
          <w:bCs w:val="0"/>
          <w:color w:val="auto"/>
          <w:spacing w:val="3"/>
          <w:w w:val="105"/>
          <w:sz w:val="32"/>
          <w:szCs w:val="18"/>
        </w:rPr>
        <w:lastRenderedPageBreak/>
        <w:t>abbreviations</w:t>
      </w:r>
      <w:bookmarkEnd w:id="31"/>
    </w:p>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62B8E8" w:fill="auto"/>
        <w:tblLayout w:type="fixed"/>
        <w:tblCellMar>
          <w:left w:w="0" w:type="dxa"/>
          <w:right w:w="0" w:type="dxa"/>
        </w:tblCellMar>
        <w:tblLook w:val="0000" w:firstRow="0" w:lastRow="0" w:firstColumn="0" w:lastColumn="0" w:noHBand="0" w:noVBand="0"/>
      </w:tblPr>
      <w:tblGrid>
        <w:gridCol w:w="1485"/>
        <w:gridCol w:w="4767"/>
      </w:tblGrid>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CBD</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Central Business District</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CSIRO</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Commonwealth Scientific and Industrial Research Organisation</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DEDJTR</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Department of Economic Development, Jobs, Transport and Resources</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DET</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Department of Education and Training</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GDCC</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Greater Dandenong City Council</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KCC</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Kingston City Council</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MCC</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Monash City Council</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MRC</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Melbourne Racing Club</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PMP</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Pacific Magazines and Printing Limited</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PT</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Public Transport</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pacing w:val="5"/>
                <w:szCs w:val="16"/>
                <w:lang w:val="en-GB"/>
              </w:rPr>
              <w:t>T</w:t>
            </w:r>
            <w:r w:rsidRPr="0068315F">
              <w:rPr>
                <w:rFonts w:cs="Arial"/>
                <w:b/>
                <w:color w:val="000000"/>
                <w:spacing w:val="16"/>
                <w:szCs w:val="16"/>
                <w:lang w:val="en-GB"/>
              </w:rPr>
              <w:t>fV</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Transport for Victoria</w:t>
            </w:r>
          </w:p>
        </w:tc>
      </w:tr>
      <w:tr w:rsidR="0068315F" w:rsidRPr="0068315F" w:rsidTr="0068315F">
        <w:trPr>
          <w:trHeight w:val="293"/>
        </w:trPr>
        <w:tc>
          <w:tcPr>
            <w:tcW w:w="1485"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b/>
                <w:color w:val="000000"/>
                <w:szCs w:val="24"/>
                <w:lang w:val="en-GB"/>
              </w:rPr>
            </w:pPr>
            <w:r w:rsidRPr="0068315F">
              <w:rPr>
                <w:rFonts w:cs="Arial"/>
                <w:b/>
                <w:color w:val="000000"/>
                <w:szCs w:val="16"/>
                <w:lang w:val="en-GB"/>
              </w:rPr>
              <w:t>VPA</w:t>
            </w:r>
          </w:p>
        </w:tc>
        <w:tc>
          <w:tcPr>
            <w:tcW w:w="4767" w:type="dxa"/>
            <w:shd w:val="clear" w:color="62B8E8" w:fill="auto"/>
            <w:tcMar>
              <w:top w:w="80" w:type="dxa"/>
              <w:left w:w="80" w:type="dxa"/>
              <w:bottom w:w="80" w:type="dxa"/>
              <w:right w:w="80" w:type="dxa"/>
            </w:tcMar>
          </w:tcPr>
          <w:p w:rsidR="0068315F" w:rsidRPr="0068315F" w:rsidRDefault="0068315F" w:rsidP="0068315F">
            <w:pPr>
              <w:suppressAutoHyphens w:val="0"/>
              <w:autoSpaceDE w:val="0"/>
              <w:autoSpaceDN w:val="0"/>
              <w:adjustRightInd w:val="0"/>
              <w:spacing w:before="0" w:line="288" w:lineRule="auto"/>
              <w:jc w:val="left"/>
              <w:textAlignment w:val="center"/>
              <w:rPr>
                <w:rFonts w:cs="Arial"/>
                <w:color w:val="000000"/>
                <w:szCs w:val="24"/>
                <w:lang w:val="en-GB"/>
              </w:rPr>
            </w:pPr>
            <w:r w:rsidRPr="0068315F">
              <w:rPr>
                <w:rFonts w:cs="Arial"/>
                <w:color w:val="000000"/>
                <w:szCs w:val="16"/>
                <w:lang w:val="en-GB"/>
              </w:rPr>
              <w:t>Victorian Planning Authority</w:t>
            </w:r>
          </w:p>
        </w:tc>
      </w:tr>
    </w:tbl>
    <w:p w:rsidR="00B9601D" w:rsidRDefault="00B9601D" w:rsidP="00B9601D">
      <w:pPr>
        <w:suppressAutoHyphens w:val="0"/>
        <w:spacing w:before="0" w:line="240" w:lineRule="auto"/>
        <w:jc w:val="left"/>
        <w:rPr>
          <w:rStyle w:val="guidelinenumbering"/>
          <w:rFonts w:ascii="Arial" w:hAnsi="Arial" w:cs="Arial"/>
          <w:b w:val="0"/>
          <w:color w:val="auto"/>
          <w:w w:val="105"/>
          <w:sz w:val="18"/>
          <w:szCs w:val="18"/>
          <w:lang w:val="en-GB"/>
        </w:rPr>
        <w:sectPr w:rsidR="00B9601D" w:rsidSect="00060341">
          <w:headerReference w:type="even" r:id="rId49"/>
          <w:headerReference w:type="default" r:id="rId50"/>
          <w:footerReference w:type="even" r:id="rId51"/>
          <w:footerReference w:type="default" r:id="rId52"/>
          <w:pgSz w:w="11901" w:h="16846" w:code="9"/>
          <w:pgMar w:top="1701" w:right="1418" w:bottom="851" w:left="1985" w:header="284" w:footer="0" w:gutter="0"/>
          <w:cols w:space="720"/>
          <w:docGrid w:linePitch="299"/>
        </w:sectPr>
      </w:pPr>
    </w:p>
    <w:p w:rsidR="0068315F" w:rsidRPr="00EB7D9A" w:rsidRDefault="0068315F" w:rsidP="00EB7D9A">
      <w:pPr>
        <w:tabs>
          <w:tab w:val="left" w:pos="3245"/>
        </w:tabs>
        <w:rPr>
          <w:rFonts w:cs="Arial"/>
          <w:lang w:val="en-GB"/>
        </w:rPr>
      </w:pPr>
    </w:p>
    <w:sectPr w:rsidR="0068315F" w:rsidRPr="00EB7D9A" w:rsidSect="00060341">
      <w:footerReference w:type="default" r:id="rId53"/>
      <w:pgSz w:w="11901" w:h="16846" w:code="9"/>
      <w:pgMar w:top="1701" w:right="1418" w:bottom="851" w:left="1985" w:header="284"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515B" w:rsidRDefault="0058515B">
      <w:pPr>
        <w:spacing w:before="0"/>
      </w:pPr>
      <w:r>
        <w:separator/>
      </w:r>
    </w:p>
    <w:p w:rsidR="0058515B" w:rsidRDefault="0058515B"/>
    <w:p w:rsidR="0058515B" w:rsidRDefault="0058515B"/>
  </w:endnote>
  <w:endnote w:type="continuationSeparator" w:id="0">
    <w:p w:rsidR="0058515B" w:rsidRDefault="0058515B">
      <w:pPr>
        <w:spacing w:before="0"/>
      </w:pPr>
      <w:r>
        <w:continuationSeparator/>
      </w:r>
    </w:p>
    <w:p w:rsidR="0058515B" w:rsidRDefault="0058515B"/>
    <w:p w:rsidR="0058515B" w:rsidRDefault="005851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VIC SemiBold">
    <w:altName w:val="VIC SemiBold"/>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embedRegular r:id="rId1" w:fontKey="{782A3011-08AD-4B8F-931E-A4C1B1AAF8F5}"/>
    <w:embedBold r:id="rId2" w:fontKey="{513A8BB6-A45A-4C6A-AE05-F7F50D1671FF}"/>
    <w:embedItalic r:id="rId3" w:fontKey="{50480A70-6148-46F8-B410-6D7B6F0F393B}"/>
    <w:embedBoldItalic r:id="rId4" w:fontKey="{410B2E80-1062-45A0-9C48-714203C5BACE}"/>
  </w:font>
  <w:font w:name="Times">
    <w:panose1 w:val="02020603050405020304"/>
    <w:charset w:val="00"/>
    <w:family w:val="roman"/>
    <w:pitch w:val="variable"/>
    <w:sig w:usb0="E0002AFF" w:usb1="C0007841" w:usb2="00000009" w:usb3="00000000" w:csb0="000001FF" w:csb1="00000000"/>
  </w:font>
  <w:font w:name="VIC">
    <w:panose1 w:val="00000500000000000000"/>
    <w:charset w:val="00"/>
    <w:family w:val="modern"/>
    <w:notTrueType/>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Swis721 BlkCn BT">
    <w:altName w:val="Arial"/>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embedRegular r:id="rId5" w:subsetted="1" w:fontKey="{C699BFBA-5E51-4004-A5C2-7181C89C4B2F}"/>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22111"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567"/>
      <w:gridCol w:w="10772"/>
      <w:gridCol w:w="10772"/>
    </w:tblGrid>
    <w:tr w:rsidR="0058515B" w:rsidTr="006315D0">
      <w:trPr>
        <w:trHeight w:val="283"/>
      </w:trPr>
      <w:tc>
        <w:tcPr>
          <w:tcW w:w="567" w:type="dxa"/>
          <w:shd w:val="clear" w:color="auto" w:fill="63B9E9"/>
          <w:vAlign w:val="center"/>
        </w:tcPr>
        <w:p w:rsidR="0058515B" w:rsidRPr="008D7974" w:rsidRDefault="0058515B" w:rsidP="006315D0">
          <w:pPr>
            <w:spacing w:before="0"/>
            <w:jc w:val="left"/>
            <w:rPr>
              <w:rFonts w:ascii="VIC SemiBold" w:hAnsi="VIC SemiBold"/>
            </w:rPr>
          </w:pPr>
          <w:r>
            <w:rPr>
              <w:rFonts w:ascii="VIC SemiBold" w:hAnsi="VIC SemiBold"/>
              <w:color w:val="FFFFFF" w:themeColor="background1"/>
            </w:rPr>
            <w:fldChar w:fldCharType="begin"/>
          </w:r>
          <w:r>
            <w:rPr>
              <w:rFonts w:ascii="VIC SemiBold" w:hAnsi="VIC SemiBold"/>
              <w:color w:val="FFFFFF" w:themeColor="background1"/>
            </w:rPr>
            <w:instrText xml:space="preserve"> PAGE  \* roman  \* MERGEFORMAT </w:instrText>
          </w:r>
          <w:r>
            <w:rPr>
              <w:rFonts w:ascii="VIC SemiBold" w:hAnsi="VIC SemiBold"/>
              <w:color w:val="FFFFFF" w:themeColor="background1"/>
            </w:rPr>
            <w:fldChar w:fldCharType="separate"/>
          </w:r>
          <w:r w:rsidR="009548CB">
            <w:rPr>
              <w:rFonts w:ascii="VIC SemiBold" w:hAnsi="VIC SemiBold"/>
              <w:noProof/>
              <w:color w:val="FFFFFF" w:themeColor="background1"/>
            </w:rPr>
            <w:t>vi</w:t>
          </w:r>
          <w:r>
            <w:rPr>
              <w:rFonts w:ascii="VIC SemiBold" w:hAnsi="VIC SemiBold"/>
              <w:color w:val="FFFFFF" w:themeColor="background1"/>
            </w:rPr>
            <w:fldChar w:fldCharType="end"/>
          </w:r>
        </w:p>
      </w:tc>
      <w:tc>
        <w:tcPr>
          <w:tcW w:w="10772" w:type="dxa"/>
          <w:shd w:val="clear" w:color="auto" w:fill="005EA1" w:themeFill="accent1"/>
          <w:vAlign w:val="center"/>
        </w:tcPr>
        <w:p w:rsidR="0058515B" w:rsidRPr="00552F9A" w:rsidRDefault="0058515B" w:rsidP="006315D0">
          <w:pPr>
            <w:tabs>
              <w:tab w:val="clear" w:pos="425"/>
              <w:tab w:val="clear" w:pos="709"/>
              <w:tab w:val="clear" w:pos="992"/>
            </w:tabs>
            <w:spacing w:before="0"/>
            <w:jc w:val="left"/>
            <w:rPr>
              <w:rFonts w:ascii="VIC" w:hAnsi="VIC"/>
              <w:caps/>
            </w:rPr>
          </w:pPr>
          <w:r>
            <w:rPr>
              <w:rFonts w:ascii="VIC" w:hAnsi="VIC"/>
              <w:caps/>
              <w:color w:val="FFFFFF" w:themeColor="background1"/>
              <w:sz w:val="18"/>
            </w:rPr>
            <w:t>Monash National employment and innovation cluster – draft framework plan</w:t>
          </w:r>
        </w:p>
      </w:tc>
      <w:tc>
        <w:tcPr>
          <w:tcW w:w="10772" w:type="dxa"/>
          <w:shd w:val="clear" w:color="auto" w:fill="005EA1" w:themeFill="accent1"/>
          <w:vAlign w:val="center"/>
        </w:tcPr>
        <w:p w:rsidR="0058515B" w:rsidRPr="00552F9A" w:rsidRDefault="0058515B" w:rsidP="006315D0">
          <w:pPr>
            <w:tabs>
              <w:tab w:val="clear" w:pos="425"/>
              <w:tab w:val="clear" w:pos="709"/>
              <w:tab w:val="clear" w:pos="992"/>
            </w:tabs>
            <w:spacing w:before="0"/>
            <w:jc w:val="right"/>
            <w:rPr>
              <w:rFonts w:cs="Arial"/>
              <w:caps/>
            </w:rPr>
          </w:pPr>
          <w:r w:rsidRPr="00552F9A">
            <w:rPr>
              <w:rFonts w:cs="Arial"/>
              <w:caps/>
              <w:color w:val="FFFFFF" w:themeColor="background1"/>
              <w:sz w:val="18"/>
            </w:rPr>
            <w:t>PROJECT NAME – PUBLICATION MONTH YEAR</w:t>
          </w:r>
        </w:p>
      </w:tc>
    </w:tr>
  </w:tbl>
  <w:p w:rsidR="0058515B" w:rsidRDefault="0058515B" w:rsidP="009957D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10772"/>
      <w:gridCol w:w="567"/>
    </w:tblGrid>
    <w:tr w:rsidR="0058515B" w:rsidTr="00A61404">
      <w:trPr>
        <w:trHeight w:val="283"/>
      </w:trPr>
      <w:tc>
        <w:tcPr>
          <w:tcW w:w="10772" w:type="dxa"/>
          <w:shd w:val="clear" w:color="auto" w:fill="005EA1" w:themeFill="accent1"/>
          <w:vAlign w:val="center"/>
        </w:tcPr>
        <w:p w:rsidR="0058515B" w:rsidRPr="00552F9A" w:rsidRDefault="0058515B" w:rsidP="00481C3C">
          <w:pPr>
            <w:tabs>
              <w:tab w:val="clear" w:pos="425"/>
              <w:tab w:val="clear" w:pos="709"/>
              <w:tab w:val="clear" w:pos="992"/>
            </w:tabs>
            <w:spacing w:before="0"/>
            <w:jc w:val="left"/>
            <w:rPr>
              <w:rFonts w:ascii="VIC" w:hAnsi="VIC"/>
              <w:caps/>
            </w:rPr>
          </w:pPr>
          <w:r>
            <w:rPr>
              <w:rFonts w:ascii="VIC" w:hAnsi="VIC"/>
              <w:caps/>
              <w:color w:val="FFFFFF" w:themeColor="background1"/>
              <w:sz w:val="18"/>
            </w:rPr>
            <w:t>Monash National employment and innovation cluster – draft framework plan</w:t>
          </w:r>
        </w:p>
      </w:tc>
      <w:tc>
        <w:tcPr>
          <w:tcW w:w="567" w:type="dxa"/>
          <w:shd w:val="clear" w:color="auto" w:fill="63B9E9"/>
        </w:tcPr>
        <w:p w:rsidR="0058515B" w:rsidRPr="008D7974" w:rsidRDefault="0058515B" w:rsidP="00481C3C">
          <w:pPr>
            <w:spacing w:before="0"/>
            <w:jc w:val="right"/>
            <w:rPr>
              <w:rFonts w:ascii="VIC SemiBold" w:hAnsi="VIC SemiBold"/>
              <w:color w:val="FFFFFF" w:themeColor="background1"/>
            </w:rPr>
          </w:pPr>
          <w:r>
            <w:rPr>
              <w:rFonts w:ascii="VIC SemiBold" w:hAnsi="VIC SemiBold"/>
              <w:color w:val="FFFFFF" w:themeColor="background1"/>
            </w:rPr>
            <w:fldChar w:fldCharType="begin"/>
          </w:r>
          <w:r>
            <w:rPr>
              <w:rFonts w:ascii="VIC SemiBold" w:hAnsi="VIC SemiBold"/>
              <w:color w:val="FFFFFF" w:themeColor="background1"/>
            </w:rPr>
            <w:instrText xml:space="preserve"> PAGE  \* roman  \* MERGEFORMAT </w:instrText>
          </w:r>
          <w:r>
            <w:rPr>
              <w:rFonts w:ascii="VIC SemiBold" w:hAnsi="VIC SemiBold"/>
              <w:color w:val="FFFFFF" w:themeColor="background1"/>
            </w:rPr>
            <w:fldChar w:fldCharType="separate"/>
          </w:r>
          <w:r w:rsidR="009548CB">
            <w:rPr>
              <w:rFonts w:ascii="VIC SemiBold" w:hAnsi="VIC SemiBold"/>
              <w:noProof/>
              <w:color w:val="FFFFFF" w:themeColor="background1"/>
            </w:rPr>
            <w:t>v</w:t>
          </w:r>
          <w:r>
            <w:rPr>
              <w:rFonts w:ascii="VIC SemiBold" w:hAnsi="VIC SemiBold"/>
              <w:color w:val="FFFFFF" w:themeColor="background1"/>
            </w:rPr>
            <w:fldChar w:fldCharType="end"/>
          </w:r>
        </w:p>
      </w:tc>
    </w:tr>
  </w:tbl>
  <w:p w:rsidR="0058515B" w:rsidRDefault="0058515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567"/>
      <w:gridCol w:w="10772"/>
    </w:tblGrid>
    <w:tr w:rsidR="0058515B" w:rsidTr="00EC54A1">
      <w:trPr>
        <w:trHeight w:val="283"/>
      </w:trPr>
      <w:tc>
        <w:tcPr>
          <w:tcW w:w="567" w:type="dxa"/>
          <w:shd w:val="clear" w:color="auto" w:fill="63B9E9"/>
          <w:vAlign w:val="center"/>
        </w:tcPr>
        <w:p w:rsidR="0058515B" w:rsidRPr="008D7974" w:rsidRDefault="0058515B" w:rsidP="00EC54A1">
          <w:pPr>
            <w:spacing w:before="0"/>
            <w:jc w:val="left"/>
            <w:rPr>
              <w:rFonts w:ascii="VIC SemiBold" w:hAnsi="VIC SemiBold"/>
            </w:rPr>
          </w:pPr>
          <w:r w:rsidRPr="008D7974">
            <w:rPr>
              <w:rFonts w:ascii="VIC SemiBold" w:hAnsi="VIC SemiBold"/>
              <w:color w:val="FFFFFF" w:themeColor="background1"/>
            </w:rPr>
            <w:fldChar w:fldCharType="begin"/>
          </w:r>
          <w:r w:rsidRPr="008D7974">
            <w:rPr>
              <w:rFonts w:ascii="VIC SemiBold" w:hAnsi="VIC SemiBold"/>
              <w:color w:val="FFFFFF" w:themeColor="background1"/>
            </w:rPr>
            <w:instrText xml:space="preserve"> PAGE   \* MERGEFORMAT </w:instrText>
          </w:r>
          <w:r w:rsidRPr="008D7974">
            <w:rPr>
              <w:rFonts w:ascii="VIC SemiBold" w:hAnsi="VIC SemiBold"/>
              <w:color w:val="FFFFFF" w:themeColor="background1"/>
            </w:rPr>
            <w:fldChar w:fldCharType="separate"/>
          </w:r>
          <w:r w:rsidR="009548CB">
            <w:rPr>
              <w:rFonts w:ascii="VIC SemiBold" w:hAnsi="VIC SemiBold"/>
              <w:noProof/>
              <w:color w:val="FFFFFF" w:themeColor="background1"/>
            </w:rPr>
            <w:t>8</w:t>
          </w:r>
          <w:r w:rsidRPr="008D7974">
            <w:rPr>
              <w:rFonts w:ascii="VIC SemiBold" w:hAnsi="VIC SemiBold"/>
              <w:noProof/>
              <w:color w:val="FFFFFF" w:themeColor="background1"/>
            </w:rPr>
            <w:fldChar w:fldCharType="end"/>
          </w:r>
        </w:p>
      </w:tc>
      <w:tc>
        <w:tcPr>
          <w:tcW w:w="10772" w:type="dxa"/>
          <w:shd w:val="clear" w:color="auto" w:fill="005EA1" w:themeFill="accent1"/>
          <w:vAlign w:val="center"/>
        </w:tcPr>
        <w:p w:rsidR="0058515B" w:rsidRPr="00552F9A" w:rsidRDefault="0058515B" w:rsidP="00481C3C">
          <w:pPr>
            <w:tabs>
              <w:tab w:val="clear" w:pos="425"/>
              <w:tab w:val="clear" w:pos="709"/>
              <w:tab w:val="clear" w:pos="992"/>
            </w:tabs>
            <w:spacing w:before="0"/>
            <w:jc w:val="right"/>
            <w:rPr>
              <w:rFonts w:cs="Arial"/>
              <w:caps/>
            </w:rPr>
          </w:pPr>
          <w:r>
            <w:rPr>
              <w:rFonts w:cs="Arial"/>
              <w:caps/>
              <w:color w:val="FFFFFF" w:themeColor="background1"/>
              <w:sz w:val="18"/>
            </w:rPr>
            <w:t>monash national employment and innovation cluster – draft framework plan</w:t>
          </w:r>
        </w:p>
      </w:tc>
    </w:tr>
  </w:tbl>
  <w:p w:rsidR="0058515B" w:rsidRDefault="0058515B" w:rsidP="009957D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10772"/>
      <w:gridCol w:w="567"/>
    </w:tblGrid>
    <w:tr w:rsidR="0058515B" w:rsidTr="00A61404">
      <w:trPr>
        <w:trHeight w:val="283"/>
      </w:trPr>
      <w:tc>
        <w:tcPr>
          <w:tcW w:w="10772" w:type="dxa"/>
          <w:shd w:val="clear" w:color="auto" w:fill="005EA1" w:themeFill="accent1"/>
          <w:vAlign w:val="center"/>
        </w:tcPr>
        <w:p w:rsidR="0058515B" w:rsidRPr="00552F9A" w:rsidRDefault="0058515B" w:rsidP="00481C3C">
          <w:pPr>
            <w:tabs>
              <w:tab w:val="clear" w:pos="425"/>
              <w:tab w:val="clear" w:pos="709"/>
              <w:tab w:val="clear" w:pos="992"/>
            </w:tabs>
            <w:spacing w:before="0"/>
            <w:jc w:val="left"/>
            <w:rPr>
              <w:rFonts w:ascii="VIC" w:hAnsi="VIC"/>
              <w:caps/>
            </w:rPr>
          </w:pPr>
          <w:r>
            <w:rPr>
              <w:rFonts w:ascii="VIC" w:hAnsi="VIC"/>
              <w:caps/>
              <w:color w:val="FFFFFF" w:themeColor="background1"/>
              <w:sz w:val="18"/>
            </w:rPr>
            <w:t>Monash national employment and innovation cluster – draft framework plan</w:t>
          </w:r>
        </w:p>
      </w:tc>
      <w:tc>
        <w:tcPr>
          <w:tcW w:w="567" w:type="dxa"/>
          <w:shd w:val="clear" w:color="auto" w:fill="63B9E9"/>
        </w:tcPr>
        <w:p w:rsidR="0058515B" w:rsidRPr="008D7974" w:rsidRDefault="0058515B" w:rsidP="00481C3C">
          <w:pPr>
            <w:spacing w:before="0"/>
            <w:jc w:val="right"/>
            <w:rPr>
              <w:rFonts w:ascii="VIC SemiBold" w:hAnsi="VIC SemiBold"/>
              <w:color w:val="FFFFFF" w:themeColor="background1"/>
            </w:rPr>
          </w:pPr>
          <w:r>
            <w:rPr>
              <w:rFonts w:ascii="VIC SemiBold" w:hAnsi="VIC SemiBold"/>
              <w:color w:val="FFFFFF" w:themeColor="background1"/>
            </w:rPr>
            <w:fldChar w:fldCharType="begin"/>
          </w:r>
          <w:r>
            <w:rPr>
              <w:rFonts w:ascii="VIC SemiBold" w:hAnsi="VIC SemiBold"/>
              <w:color w:val="FFFFFF" w:themeColor="background1"/>
            </w:rPr>
            <w:instrText xml:space="preserve"> PAGE  \* Arabic  \* MERGEFORMAT </w:instrText>
          </w:r>
          <w:r>
            <w:rPr>
              <w:rFonts w:ascii="VIC SemiBold" w:hAnsi="VIC SemiBold"/>
              <w:color w:val="FFFFFF" w:themeColor="background1"/>
            </w:rPr>
            <w:fldChar w:fldCharType="separate"/>
          </w:r>
          <w:r w:rsidR="009548CB">
            <w:rPr>
              <w:rFonts w:ascii="VIC SemiBold" w:hAnsi="VIC SemiBold"/>
              <w:noProof/>
              <w:color w:val="FFFFFF" w:themeColor="background1"/>
            </w:rPr>
            <w:t>7</w:t>
          </w:r>
          <w:r>
            <w:rPr>
              <w:rFonts w:ascii="VIC SemiBold" w:hAnsi="VIC SemiBold"/>
              <w:color w:val="FFFFFF" w:themeColor="background1"/>
            </w:rPr>
            <w:fldChar w:fldCharType="end"/>
          </w:r>
        </w:p>
      </w:tc>
    </w:tr>
  </w:tbl>
  <w:p w:rsidR="0058515B" w:rsidRDefault="0058515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Pr="00552F9A" w:rsidRDefault="0058515B" w:rsidP="00E20B5B">
    <w:pPr>
      <w:spacing w:before="0"/>
      <w:rPr>
        <w:rFonts w:ascii="VIC" w:hAnsi="VIC"/>
        <w:caps/>
        <w:color w:val="FFFFFF" w:themeColor="background1"/>
      </w:rPr>
    </w:pPr>
    <w:r w:rsidRPr="00552F9A">
      <w:rPr>
        <w:rFonts w:ascii="VIC" w:hAnsi="VIC"/>
        <w:caps/>
        <w:color w:val="FFFFFF" w:themeColor="background1"/>
      </w:rPr>
      <w:t>PROJECT NAME – PUBLICATION MON</w:t>
    </w:r>
  </w:p>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10772"/>
      <w:gridCol w:w="567"/>
    </w:tblGrid>
    <w:tr w:rsidR="0058515B" w:rsidTr="006315D0">
      <w:trPr>
        <w:trHeight w:val="283"/>
      </w:trPr>
      <w:tc>
        <w:tcPr>
          <w:tcW w:w="10772" w:type="dxa"/>
          <w:shd w:val="clear" w:color="auto" w:fill="005EA1" w:themeFill="accent1"/>
          <w:vAlign w:val="center"/>
        </w:tcPr>
        <w:p w:rsidR="0058515B" w:rsidRPr="00552F9A" w:rsidRDefault="0058515B" w:rsidP="00E20B5B">
          <w:pPr>
            <w:tabs>
              <w:tab w:val="clear" w:pos="425"/>
              <w:tab w:val="clear" w:pos="709"/>
              <w:tab w:val="clear" w:pos="992"/>
            </w:tabs>
            <w:spacing w:before="0"/>
            <w:jc w:val="left"/>
            <w:rPr>
              <w:rFonts w:ascii="VIC" w:hAnsi="VIC"/>
              <w:caps/>
            </w:rPr>
          </w:pPr>
          <w:r>
            <w:rPr>
              <w:rFonts w:ascii="VIC" w:hAnsi="VIC"/>
              <w:caps/>
              <w:color w:val="FFFFFF" w:themeColor="background1"/>
              <w:sz w:val="18"/>
            </w:rPr>
            <w:t>monash national employment and innovation cluster – draft framework plan</w:t>
          </w:r>
        </w:p>
      </w:tc>
      <w:tc>
        <w:tcPr>
          <w:tcW w:w="567" w:type="dxa"/>
          <w:shd w:val="clear" w:color="auto" w:fill="63B9E9"/>
        </w:tcPr>
        <w:p w:rsidR="0058515B" w:rsidRPr="008D7974" w:rsidRDefault="0058515B" w:rsidP="00E20B5B">
          <w:pPr>
            <w:spacing w:before="0"/>
            <w:jc w:val="right"/>
            <w:rPr>
              <w:rFonts w:ascii="VIC SemiBold" w:hAnsi="VIC SemiBold"/>
              <w:color w:val="FFFFFF" w:themeColor="background1"/>
            </w:rPr>
          </w:pPr>
          <w:r>
            <w:rPr>
              <w:rFonts w:ascii="VIC SemiBold" w:hAnsi="VIC SemiBold"/>
              <w:color w:val="FFFFFF" w:themeColor="background1"/>
            </w:rPr>
            <w:fldChar w:fldCharType="begin"/>
          </w:r>
          <w:r>
            <w:rPr>
              <w:rFonts w:ascii="VIC SemiBold" w:hAnsi="VIC SemiBold"/>
              <w:color w:val="FFFFFF" w:themeColor="background1"/>
            </w:rPr>
            <w:instrText xml:space="preserve"> PAGE  \* Arabic  \* MERGEFORMAT </w:instrText>
          </w:r>
          <w:r>
            <w:rPr>
              <w:rFonts w:ascii="VIC SemiBold" w:hAnsi="VIC SemiBold"/>
              <w:color w:val="FFFFFF" w:themeColor="background1"/>
            </w:rPr>
            <w:fldChar w:fldCharType="separate"/>
          </w:r>
          <w:r w:rsidR="009548CB">
            <w:rPr>
              <w:rFonts w:ascii="VIC SemiBold" w:hAnsi="VIC SemiBold"/>
              <w:noProof/>
              <w:color w:val="FFFFFF" w:themeColor="background1"/>
            </w:rPr>
            <w:t>14</w:t>
          </w:r>
          <w:r>
            <w:rPr>
              <w:rFonts w:ascii="VIC SemiBold" w:hAnsi="VIC SemiBold"/>
              <w:color w:val="FFFFFF" w:themeColor="background1"/>
            </w:rPr>
            <w:fldChar w:fldCharType="end"/>
          </w:r>
        </w:p>
      </w:tc>
    </w:tr>
  </w:tbl>
  <w:p w:rsidR="0058515B" w:rsidRPr="00552F9A" w:rsidRDefault="0058515B" w:rsidP="00E20B5B">
    <w:pPr>
      <w:spacing w:before="0"/>
      <w:rPr>
        <w:rFonts w:ascii="VIC" w:hAnsi="VIC"/>
        <w:caps/>
      </w:rPr>
    </w:pPr>
    <w:r w:rsidRPr="00552F9A">
      <w:rPr>
        <w:rFonts w:ascii="VIC" w:hAnsi="VIC"/>
        <w:caps/>
        <w:color w:val="FFFFFF" w:themeColor="background1"/>
      </w:rPr>
      <w:t>TH YEAR</w:t>
    </w:r>
  </w:p>
  <w:p w:rsidR="0058515B" w:rsidRDefault="0058515B" w:rsidP="009957D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39" w:type="dxa"/>
      <w:tblInd w:w="-1701" w:type="dxa"/>
      <w:tblBorders>
        <w:bottom w:val="none" w:sz="0" w:space="0" w:color="auto"/>
        <w:insideH w:val="none" w:sz="0" w:space="0" w:color="auto"/>
      </w:tblBorders>
      <w:shd w:val="clear" w:color="auto" w:fill="005EA1" w:themeFill="accent1"/>
      <w:tblLook w:val="04A0" w:firstRow="1" w:lastRow="0" w:firstColumn="1" w:lastColumn="0" w:noHBand="0" w:noVBand="1"/>
      <w:tblCaption w:val="Footer Image "/>
      <w:tblDescription w:val="Footer Image "/>
    </w:tblPr>
    <w:tblGrid>
      <w:gridCol w:w="10772"/>
      <w:gridCol w:w="567"/>
    </w:tblGrid>
    <w:tr w:rsidR="0058515B" w:rsidTr="006315D0">
      <w:trPr>
        <w:trHeight w:val="283"/>
      </w:trPr>
      <w:tc>
        <w:tcPr>
          <w:tcW w:w="10772" w:type="dxa"/>
          <w:shd w:val="clear" w:color="auto" w:fill="005EA1" w:themeFill="accent1"/>
          <w:vAlign w:val="center"/>
        </w:tcPr>
        <w:p w:rsidR="0058515B" w:rsidRPr="00552F9A" w:rsidRDefault="0058515B" w:rsidP="00E20B5B">
          <w:pPr>
            <w:tabs>
              <w:tab w:val="clear" w:pos="425"/>
              <w:tab w:val="clear" w:pos="709"/>
              <w:tab w:val="clear" w:pos="992"/>
            </w:tabs>
            <w:spacing w:before="0"/>
            <w:jc w:val="left"/>
            <w:rPr>
              <w:rFonts w:ascii="VIC" w:hAnsi="VIC"/>
              <w:caps/>
            </w:rPr>
          </w:pPr>
          <w:r>
            <w:rPr>
              <w:rFonts w:ascii="VIC" w:hAnsi="VIC"/>
              <w:caps/>
              <w:color w:val="FFFFFF" w:themeColor="background1"/>
              <w:sz w:val="18"/>
            </w:rPr>
            <w:t xml:space="preserve">monash national employment and innovation cluster – draft framework plan </w:t>
          </w:r>
        </w:p>
      </w:tc>
      <w:tc>
        <w:tcPr>
          <w:tcW w:w="567" w:type="dxa"/>
          <w:shd w:val="clear" w:color="auto" w:fill="63B9E9"/>
        </w:tcPr>
        <w:p w:rsidR="0058515B" w:rsidRPr="008D7974" w:rsidRDefault="0058515B" w:rsidP="00E20B5B">
          <w:pPr>
            <w:spacing w:before="0"/>
            <w:jc w:val="right"/>
            <w:rPr>
              <w:rFonts w:ascii="VIC SemiBold" w:hAnsi="VIC SemiBold"/>
              <w:color w:val="FFFFFF" w:themeColor="background1"/>
            </w:rPr>
          </w:pPr>
          <w:r>
            <w:rPr>
              <w:rFonts w:ascii="VIC SemiBold" w:hAnsi="VIC SemiBold"/>
              <w:color w:val="FFFFFF" w:themeColor="background1"/>
            </w:rPr>
            <w:fldChar w:fldCharType="begin"/>
          </w:r>
          <w:r>
            <w:rPr>
              <w:rFonts w:ascii="VIC SemiBold" w:hAnsi="VIC SemiBold"/>
              <w:color w:val="FFFFFF" w:themeColor="background1"/>
            </w:rPr>
            <w:instrText xml:space="preserve"> PAGE  \* Arabic  \* MERGEFORMAT </w:instrText>
          </w:r>
          <w:r>
            <w:rPr>
              <w:rFonts w:ascii="VIC SemiBold" w:hAnsi="VIC SemiBold"/>
              <w:color w:val="FFFFFF" w:themeColor="background1"/>
            </w:rPr>
            <w:fldChar w:fldCharType="separate"/>
          </w:r>
          <w:r w:rsidR="009548CB">
            <w:rPr>
              <w:rFonts w:ascii="VIC SemiBold" w:hAnsi="VIC SemiBold"/>
              <w:noProof/>
              <w:color w:val="FFFFFF" w:themeColor="background1"/>
            </w:rPr>
            <w:t>15</w:t>
          </w:r>
          <w:r>
            <w:rPr>
              <w:rFonts w:ascii="VIC SemiBold" w:hAnsi="VIC SemiBold"/>
              <w:color w:val="FFFFFF" w:themeColor="background1"/>
            </w:rPr>
            <w:fldChar w:fldCharType="end"/>
          </w:r>
        </w:p>
      </w:tc>
    </w:tr>
  </w:tbl>
  <w:p w:rsidR="0058515B" w:rsidRDefault="0058515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Default="0058515B" w:rsidP="00B9601D">
    <w:pPr>
      <w:ind w:left="-709"/>
      <w:jc w:val="center"/>
      <w:rPr>
        <w:sz w:val="16"/>
      </w:rPr>
    </w:pPr>
    <w:r>
      <w:rPr>
        <w:rFonts w:ascii="Trebuchet MS" w:hAnsi="Trebuchet MS"/>
        <w:noProof/>
        <w:color w:val="9CA0A3" w:themeColor="accent4"/>
        <w:sz w:val="28"/>
        <w:szCs w:val="28"/>
      </w:rPr>
      <w:drawing>
        <wp:inline distT="0" distB="0" distL="0" distR="0" wp14:anchorId="0AE34CD5" wp14:editId="4D073682">
          <wp:extent cx="1629187" cy="666301"/>
          <wp:effectExtent l="0" t="0" r="0" b="635"/>
          <wp:docPr id="10" name="Picture 10" title="Victorian Planning Authority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29187" cy="666301"/>
                  </a:xfrm>
                  <a:prstGeom prst="rect">
                    <a:avLst/>
                  </a:prstGeom>
                </pic:spPr>
              </pic:pic>
            </a:graphicData>
          </a:graphic>
        </wp:inline>
      </w:drawing>
    </w:r>
  </w:p>
  <w:p w:rsidR="0058515B" w:rsidRPr="00B9601D" w:rsidRDefault="0058515B" w:rsidP="00B9601D">
    <w:pPr>
      <w:ind w:left="-709"/>
      <w:jc w:val="center"/>
      <w:rPr>
        <w:rFonts w:ascii="VIC" w:hAnsi="VIC"/>
        <w:sz w:val="28"/>
        <w:szCs w:val="28"/>
      </w:rPr>
    </w:pPr>
    <w:r>
      <w:rPr>
        <w:rFonts w:ascii="VIC" w:hAnsi="VIC"/>
        <w:sz w:val="28"/>
        <w:szCs w:val="28"/>
      </w:rPr>
      <w:t>Monash National Employment and Innovation Cluster</w:t>
    </w:r>
    <w:r>
      <w:rPr>
        <w:rFonts w:ascii="VIC" w:hAnsi="VIC"/>
        <w:sz w:val="28"/>
        <w:szCs w:val="28"/>
      </w:rPr>
      <w:br/>
      <w:t>Draft Framework Plan</w:t>
    </w:r>
    <w:r>
      <w:rPr>
        <w:rFonts w:ascii="VIC" w:hAnsi="VIC"/>
        <w:sz w:val="28"/>
        <w:szCs w:val="28"/>
      </w:rPr>
      <w:br/>
    </w:r>
    <w:r w:rsidRPr="00A9595C">
      <w:rPr>
        <w:rFonts w:ascii="VIC" w:hAnsi="VIC"/>
        <w:sz w:val="28"/>
        <w:szCs w:val="28"/>
      </w:rPr>
      <w:t xml:space="preserve"> </w:t>
    </w:r>
    <w:r>
      <w:rPr>
        <w:rFonts w:ascii="VIC" w:hAnsi="VIC"/>
        <w:color w:val="9CA0A3" w:themeColor="accent4"/>
        <w:sz w:val="28"/>
        <w:szCs w:val="28"/>
      </w:rPr>
      <w:t>March 2017</w:t>
    </w:r>
  </w:p>
  <w:p w:rsidR="0058515B" w:rsidRDefault="005851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515B" w:rsidRDefault="0058515B">
      <w:pPr>
        <w:spacing w:before="0"/>
      </w:pPr>
      <w:r>
        <w:separator/>
      </w:r>
    </w:p>
    <w:p w:rsidR="0058515B" w:rsidRDefault="0058515B"/>
    <w:p w:rsidR="0058515B" w:rsidRDefault="0058515B"/>
  </w:footnote>
  <w:footnote w:type="continuationSeparator" w:id="0">
    <w:p w:rsidR="0058515B" w:rsidRDefault="0058515B">
      <w:pPr>
        <w:spacing w:before="0"/>
      </w:pPr>
      <w:r>
        <w:continuationSeparator/>
      </w:r>
    </w:p>
    <w:p w:rsidR="0058515B" w:rsidRDefault="0058515B"/>
    <w:p w:rsidR="0058515B" w:rsidRDefault="0058515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Default="0058515B">
    <w:r>
      <w:rPr>
        <w:noProof/>
      </w:rPr>
      <w:drawing>
        <wp:anchor distT="0" distB="0" distL="114300" distR="114300" simplePos="0" relativeHeight="251668480" behindDoc="0" locked="1" layoutInCell="1" allowOverlap="1" wp14:anchorId="0422D4A8" wp14:editId="4744D85E">
          <wp:simplePos x="0" y="0"/>
          <wp:positionH relativeFrom="page">
            <wp:posOffset>180340</wp:posOffset>
          </wp:positionH>
          <wp:positionV relativeFrom="page">
            <wp:posOffset>179070</wp:posOffset>
          </wp:positionV>
          <wp:extent cx="7200000" cy="496800"/>
          <wp:effectExtent l="0" t="0" r="1270" b="0"/>
          <wp:wrapNone/>
          <wp:docPr id="8" name="Picture 8" titl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0" cy="496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Default="0058515B">
    <w:r>
      <w:rPr>
        <w:noProof/>
      </w:rPr>
      <w:drawing>
        <wp:anchor distT="0" distB="0" distL="114300" distR="114300" simplePos="0" relativeHeight="251666432" behindDoc="0" locked="1" layoutInCell="1" allowOverlap="1" wp14:anchorId="372D75DA" wp14:editId="660EEEA8">
          <wp:simplePos x="0" y="0"/>
          <wp:positionH relativeFrom="page">
            <wp:posOffset>179705</wp:posOffset>
          </wp:positionH>
          <wp:positionV relativeFrom="page">
            <wp:posOffset>182880</wp:posOffset>
          </wp:positionV>
          <wp:extent cx="7199630" cy="497205"/>
          <wp:effectExtent l="0" t="0" r="1270" b="0"/>
          <wp:wrapNone/>
          <wp:docPr id="9" name="Picture 9" titl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P_Header_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99630" cy="4972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Default="0058515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15B" w:rsidRDefault="0058515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DD6DDA6"/>
    <w:lvl w:ilvl="0">
      <w:start w:val="1"/>
      <w:numFmt w:val="decimal"/>
      <w:lvlText w:val="%1."/>
      <w:lvlJc w:val="left"/>
      <w:pPr>
        <w:tabs>
          <w:tab w:val="num" w:pos="1492"/>
        </w:tabs>
        <w:ind w:left="1492" w:hanging="360"/>
      </w:pPr>
    </w:lvl>
  </w:abstractNum>
  <w:abstractNum w:abstractNumId="1" w15:restartNumberingAfterBreak="0">
    <w:nsid w:val="FFFFFF7F"/>
    <w:multiLevelType w:val="singleLevel"/>
    <w:tmpl w:val="12801340"/>
    <w:lvl w:ilvl="0">
      <w:start w:val="1"/>
      <w:numFmt w:val="decimal"/>
      <w:lvlText w:val="%1."/>
      <w:lvlJc w:val="left"/>
      <w:pPr>
        <w:tabs>
          <w:tab w:val="num" w:pos="643"/>
        </w:tabs>
        <w:ind w:left="643" w:hanging="360"/>
      </w:pPr>
    </w:lvl>
  </w:abstractNum>
  <w:abstractNum w:abstractNumId="2" w15:restartNumberingAfterBreak="0">
    <w:nsid w:val="07EC1767"/>
    <w:multiLevelType w:val="hybridMultilevel"/>
    <w:tmpl w:val="22B628FE"/>
    <w:lvl w:ilvl="0" w:tplc="04848CDE">
      <w:start w:val="1"/>
      <w:numFmt w:val="bullet"/>
      <w:pStyle w:val="Tablelis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4120C3"/>
    <w:multiLevelType w:val="hybridMultilevel"/>
    <w:tmpl w:val="6BF073CA"/>
    <w:lvl w:ilvl="0" w:tplc="7598D2DE">
      <w:start w:val="1"/>
      <w:numFmt w:val="decimal"/>
      <w:lvlText w:val="%1."/>
      <w:lvlJc w:val="left"/>
      <w:pPr>
        <w:ind w:left="1145" w:hanging="360"/>
      </w:pPr>
      <w:rPr>
        <w:rFonts w:ascii="Franklin Gothic Book" w:hAnsi="Franklin Gothic Book" w:hint="default"/>
        <w:b w:val="0"/>
        <w:i w:val="0"/>
        <w:color w:val="005EA1" w:themeColor="accent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4" w15:restartNumberingAfterBreak="0">
    <w:nsid w:val="0ACB477F"/>
    <w:multiLevelType w:val="hybridMultilevel"/>
    <w:tmpl w:val="26A60872"/>
    <w:lvl w:ilvl="0" w:tplc="0C09000F">
      <w:start w:val="1"/>
      <w:numFmt w:val="decimal"/>
      <w:lvlText w:val="%1."/>
      <w:lvlJc w:val="left"/>
      <w:pPr>
        <w:ind w:left="785"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516E5E"/>
    <w:multiLevelType w:val="hybridMultilevel"/>
    <w:tmpl w:val="4366EE42"/>
    <w:lvl w:ilvl="0" w:tplc="79BE0B34">
      <w:start w:val="1"/>
      <w:numFmt w:val="decimal"/>
      <w:pStyle w:val="Tablenoreq"/>
      <w:lvlText w:val="R%1"/>
      <w:lvlJc w:val="left"/>
      <w:pPr>
        <w:ind w:left="360" w:hanging="360"/>
      </w:pPr>
      <w:rPr>
        <w:rFonts w:hint="default"/>
        <w:b w:val="0"/>
        <w:i w:val="0"/>
        <w:color w:val="95C11F" w:themeColor="accent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7E14ED2"/>
    <w:multiLevelType w:val="hybridMultilevel"/>
    <w:tmpl w:val="4468B82C"/>
    <w:lvl w:ilvl="0" w:tplc="DAA0B1B0">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7" w15:restartNumberingAfterBreak="0">
    <w:nsid w:val="1A770351"/>
    <w:multiLevelType w:val="multilevel"/>
    <w:tmpl w:val="0160F844"/>
    <w:lvl w:ilvl="0">
      <w:start w:val="1"/>
      <w:numFmt w:val="decimal"/>
      <w:pStyle w:val="List1numb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D5C141E"/>
    <w:multiLevelType w:val="hybridMultilevel"/>
    <w:tmpl w:val="E4BA798A"/>
    <w:lvl w:ilvl="0" w:tplc="C7106070">
      <w:start w:val="1"/>
      <w:numFmt w:val="decimal"/>
      <w:lvlText w:val="%1."/>
      <w:lvlJc w:val="left"/>
      <w:pPr>
        <w:ind w:left="785" w:hanging="360"/>
      </w:pPr>
      <w:rPr>
        <w:rFonts w:ascii="Corbel" w:hAnsi="Corbe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81C7393"/>
    <w:multiLevelType w:val="multilevel"/>
    <w:tmpl w:val="0060C338"/>
    <w:styleLink w:val="NumberedList"/>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3364F6A"/>
    <w:multiLevelType w:val="multilevel"/>
    <w:tmpl w:val="394A4F54"/>
    <w:lvl w:ilvl="0">
      <w:start w:val="1"/>
      <w:numFmt w:val="decimal"/>
      <w:lvlText w:val="%1"/>
      <w:lvlJc w:val="left"/>
      <w:pPr>
        <w:ind w:left="0" w:hanging="851"/>
      </w:pPr>
      <w:rPr>
        <w:rFonts w:hint="default"/>
        <w:b w:val="0"/>
        <w:i w:val="0"/>
        <w:color w:val="005EA1" w:themeColor="accent1"/>
      </w:rPr>
    </w:lvl>
    <w:lvl w:ilvl="1">
      <w:start w:val="1"/>
      <w:numFmt w:val="decimal"/>
      <w:lvlText w:val="%1.%2"/>
      <w:lvlJc w:val="left"/>
      <w:pPr>
        <w:ind w:left="0" w:hanging="851"/>
      </w:pPr>
      <w:rPr>
        <w:rFonts w:hint="default"/>
        <w:color w:val="005EA1" w:themeColor="accent1"/>
      </w:rPr>
    </w:lvl>
    <w:lvl w:ilvl="2">
      <w:start w:val="1"/>
      <w:numFmt w:val="decimal"/>
      <w:lvlText w:val="%1.%2.%3"/>
      <w:lvlJc w:val="left"/>
      <w:pPr>
        <w:ind w:left="0" w:hanging="851"/>
      </w:pPr>
      <w:rPr>
        <w:rFonts w:hint="default"/>
        <w:color w:val="005EA1"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11" w15:restartNumberingAfterBreak="0">
    <w:nsid w:val="4396048C"/>
    <w:multiLevelType w:val="multilevel"/>
    <w:tmpl w:val="394A4F54"/>
    <w:lvl w:ilvl="0">
      <w:start w:val="1"/>
      <w:numFmt w:val="decimal"/>
      <w:lvlText w:val="%1"/>
      <w:lvlJc w:val="left"/>
      <w:pPr>
        <w:ind w:left="0" w:hanging="851"/>
      </w:pPr>
      <w:rPr>
        <w:rFonts w:hint="default"/>
        <w:b w:val="0"/>
        <w:i w:val="0"/>
        <w:color w:val="005EA1" w:themeColor="accent1"/>
      </w:rPr>
    </w:lvl>
    <w:lvl w:ilvl="1">
      <w:start w:val="1"/>
      <w:numFmt w:val="decimal"/>
      <w:lvlText w:val="%1.%2"/>
      <w:lvlJc w:val="left"/>
      <w:pPr>
        <w:ind w:left="0" w:hanging="851"/>
      </w:pPr>
      <w:rPr>
        <w:rFonts w:hint="default"/>
        <w:color w:val="005EA1" w:themeColor="accent1"/>
      </w:rPr>
    </w:lvl>
    <w:lvl w:ilvl="2">
      <w:start w:val="1"/>
      <w:numFmt w:val="decimal"/>
      <w:lvlText w:val="%1.%2.%3"/>
      <w:lvlJc w:val="left"/>
      <w:pPr>
        <w:ind w:left="0" w:hanging="851"/>
      </w:pPr>
      <w:rPr>
        <w:rFonts w:hint="default"/>
        <w:color w:val="005EA1"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12" w15:restartNumberingAfterBreak="0">
    <w:nsid w:val="4F826434"/>
    <w:multiLevelType w:val="multilevel"/>
    <w:tmpl w:val="5B3A2EBA"/>
    <w:lvl w:ilvl="0">
      <w:start w:val="1"/>
      <w:numFmt w:val="decimal"/>
      <w:lvlText w:val="%1"/>
      <w:lvlJc w:val="left"/>
      <w:pPr>
        <w:ind w:left="0" w:hanging="1134"/>
      </w:pPr>
      <w:rPr>
        <w:rFonts w:hint="default"/>
      </w:rPr>
    </w:lvl>
    <w:lvl w:ilvl="1">
      <w:start w:val="1"/>
      <w:numFmt w:val="decimal"/>
      <w:lvlText w:val="%1.%2"/>
      <w:lvlJc w:val="left"/>
      <w:pPr>
        <w:ind w:left="0" w:hanging="1134"/>
      </w:pPr>
      <w:rPr>
        <w:rFonts w:hint="default"/>
      </w:rPr>
    </w:lvl>
    <w:lvl w:ilvl="2">
      <w:start w:val="1"/>
      <w:numFmt w:val="decimal"/>
      <w:lvlText w:val="%1.%2.%3"/>
      <w:lvlJc w:val="left"/>
      <w:pPr>
        <w:ind w:left="0" w:hanging="1134"/>
      </w:pPr>
      <w:rPr>
        <w:rFonts w:hint="default"/>
      </w:rPr>
    </w:lvl>
    <w:lvl w:ilvl="3">
      <w:start w:val="1"/>
      <w:numFmt w:val="decimal"/>
      <w:lvlText w:val="%1.%2.%3.%4"/>
      <w:lvlJc w:val="left"/>
      <w:pPr>
        <w:ind w:left="0" w:hanging="1134"/>
      </w:pPr>
      <w:rPr>
        <w:rFonts w:hint="default"/>
      </w:rPr>
    </w:lvl>
    <w:lvl w:ilvl="4">
      <w:start w:val="1"/>
      <w:numFmt w:val="decimal"/>
      <w:lvlText w:val="%1.%2.%3.%4.%5."/>
      <w:lvlJc w:val="left"/>
      <w:pPr>
        <w:ind w:left="0" w:hanging="1134"/>
      </w:pPr>
      <w:rPr>
        <w:rFonts w:hint="default"/>
      </w:rPr>
    </w:lvl>
    <w:lvl w:ilvl="5">
      <w:start w:val="1"/>
      <w:numFmt w:val="decimal"/>
      <w:lvlText w:val="%1.%2.%3.%4.%5.%6."/>
      <w:lvlJc w:val="left"/>
      <w:pPr>
        <w:ind w:left="0" w:hanging="1134"/>
      </w:pPr>
      <w:rPr>
        <w:rFonts w:hint="default"/>
      </w:rPr>
    </w:lvl>
    <w:lvl w:ilvl="6">
      <w:start w:val="1"/>
      <w:numFmt w:val="decimal"/>
      <w:lvlText w:val="%1.%2.%3.%4.%5.%6.%7."/>
      <w:lvlJc w:val="left"/>
      <w:pPr>
        <w:ind w:left="0" w:hanging="1134"/>
      </w:pPr>
      <w:rPr>
        <w:rFonts w:hint="default"/>
      </w:rPr>
    </w:lvl>
    <w:lvl w:ilvl="7">
      <w:start w:val="1"/>
      <w:numFmt w:val="decimal"/>
      <w:lvlText w:val="%1.%2.%3.%4.%5.%6.%7.%8."/>
      <w:lvlJc w:val="left"/>
      <w:pPr>
        <w:ind w:left="0" w:hanging="1134"/>
      </w:pPr>
      <w:rPr>
        <w:rFonts w:hint="default"/>
      </w:rPr>
    </w:lvl>
    <w:lvl w:ilvl="8">
      <w:start w:val="1"/>
      <w:numFmt w:val="decimal"/>
      <w:lvlText w:val="%1.%2.%3.%4.%5.%6.%7.%8.%9."/>
      <w:lvlJc w:val="left"/>
      <w:pPr>
        <w:ind w:left="0" w:hanging="1134"/>
      </w:pPr>
      <w:rPr>
        <w:rFonts w:hint="default"/>
      </w:rPr>
    </w:lvl>
  </w:abstractNum>
  <w:abstractNum w:abstractNumId="13" w15:restartNumberingAfterBreak="0">
    <w:nsid w:val="55FF53B6"/>
    <w:multiLevelType w:val="hybridMultilevel"/>
    <w:tmpl w:val="EA44C27C"/>
    <w:lvl w:ilvl="0" w:tplc="84088F3E">
      <w:start w:val="1"/>
      <w:numFmt w:val="decimal"/>
      <w:pStyle w:val="Tablenoguid"/>
      <w:lvlText w:val="G%1"/>
      <w:lvlJc w:val="left"/>
      <w:pPr>
        <w:ind w:left="360" w:hanging="360"/>
      </w:pPr>
      <w:rPr>
        <w:rFonts w:hint="default"/>
        <w:b w:val="0"/>
        <w:i w:val="0"/>
        <w:color w:val="008BD2" w:themeColor="accen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6152698"/>
    <w:multiLevelType w:val="multilevel"/>
    <w:tmpl w:val="0060C338"/>
    <w:styleLink w:val="Numbers"/>
    <w:lvl w:ilvl="0">
      <w:start w:val="1"/>
      <w:numFmt w:val="decimal"/>
      <w:lvlText w:val="%1."/>
      <w:lvlJc w:val="left"/>
      <w:pPr>
        <w:ind w:left="720" w:hanging="360"/>
      </w:pPr>
      <w:rPr>
        <w:rFonts w:ascii="Arial Narrow" w:hAnsi="Arial Narro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6E97AC7"/>
    <w:multiLevelType w:val="multilevel"/>
    <w:tmpl w:val="026AFB38"/>
    <w:lvl w:ilvl="0">
      <w:start w:val="1"/>
      <w:numFmt w:val="decimal"/>
      <w:lvlText w:val="%1."/>
      <w:lvlJc w:val="left"/>
      <w:pPr>
        <w:ind w:left="360" w:hanging="360"/>
      </w:pPr>
      <w:rPr>
        <w:rFonts w:ascii="Franklin Gothic Demi" w:hAnsi="Franklin Gothic Demi" w:hint="default"/>
        <w:b w:val="0"/>
        <w:i w:val="0"/>
        <w:color w:val="005EA1" w:themeColor="accen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7C029E4"/>
    <w:multiLevelType w:val="hybridMultilevel"/>
    <w:tmpl w:val="89D050B6"/>
    <w:lvl w:ilvl="0" w:tplc="0C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17" w15:restartNumberingAfterBreak="0">
    <w:nsid w:val="5BDF52CF"/>
    <w:multiLevelType w:val="hybridMultilevel"/>
    <w:tmpl w:val="799A70CE"/>
    <w:lvl w:ilvl="0" w:tplc="0C090001">
      <w:start w:val="1"/>
      <w:numFmt w:val="decimal"/>
      <w:lvlText w:val="R%1."/>
      <w:lvlJc w:val="righ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18" w15:restartNumberingAfterBreak="0">
    <w:nsid w:val="618C0288"/>
    <w:multiLevelType w:val="hybridMultilevel"/>
    <w:tmpl w:val="E13C7EEE"/>
    <w:lvl w:ilvl="0" w:tplc="12C438F2">
      <w:start w:val="1"/>
      <w:numFmt w:val="bullet"/>
      <w:pStyle w:val="List3dash"/>
      <w:lvlText w:val=""/>
      <w:lvlJc w:val="left"/>
      <w:pPr>
        <w:ind w:left="1996" w:hanging="360"/>
      </w:pPr>
      <w:rPr>
        <w:rFonts w:ascii="Symbol" w:hAnsi="Symbol" w:hint="default"/>
        <w:color w:val="005EA1" w:themeColor="accent1"/>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19" w15:restartNumberingAfterBreak="0">
    <w:nsid w:val="62CF6CD9"/>
    <w:multiLevelType w:val="hybridMultilevel"/>
    <w:tmpl w:val="43C2F74A"/>
    <w:lvl w:ilvl="0" w:tplc="8D465EB6">
      <w:start w:val="1"/>
      <w:numFmt w:val="bullet"/>
      <w:lvlText w:val=""/>
      <w:lvlJc w:val="left"/>
      <w:pPr>
        <w:ind w:left="1996" w:hanging="360"/>
      </w:pPr>
      <w:rPr>
        <w:rFonts w:ascii="Symbol" w:hAnsi="Symbol" w:hint="default"/>
      </w:rPr>
    </w:lvl>
    <w:lvl w:ilvl="1" w:tplc="0C090003" w:tentative="1">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20" w15:restartNumberingAfterBreak="0">
    <w:nsid w:val="682F1407"/>
    <w:multiLevelType w:val="hybridMultilevel"/>
    <w:tmpl w:val="1BDE7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F7E1148"/>
    <w:multiLevelType w:val="hybridMultilevel"/>
    <w:tmpl w:val="72DA7620"/>
    <w:lvl w:ilvl="0" w:tplc="21DEC20E">
      <w:start w:val="1"/>
      <w:numFmt w:val="bullet"/>
      <w:pStyle w:val="List1bullet"/>
      <w:lvlText w:val=""/>
      <w:lvlJc w:val="left"/>
      <w:pPr>
        <w:ind w:left="1145" w:hanging="360"/>
      </w:pPr>
      <w:rPr>
        <w:rFonts w:ascii="Symbol" w:hAnsi="Symbol" w:hint="default"/>
        <w:color w:val="005EA1" w:themeColor="accent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22" w15:restartNumberingAfterBreak="0">
    <w:nsid w:val="71550F9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1564122"/>
    <w:multiLevelType w:val="hybridMultilevel"/>
    <w:tmpl w:val="2AC8BD40"/>
    <w:lvl w:ilvl="0" w:tplc="D3A4BDE4">
      <w:start w:val="1"/>
      <w:numFmt w:val="decimal"/>
      <w:lvlText w:val="O%1"/>
      <w:lvlJc w:val="left"/>
      <w:pPr>
        <w:ind w:left="720" w:hanging="360"/>
      </w:pPr>
      <w:rPr>
        <w:rFonts w:hint="default"/>
        <w:b/>
        <w:i w:val="0"/>
        <w:color w:val="7030A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1D83F97"/>
    <w:multiLevelType w:val="hybridMultilevel"/>
    <w:tmpl w:val="1F149BB6"/>
    <w:lvl w:ilvl="0" w:tplc="C22C9534">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25" w15:restartNumberingAfterBreak="0">
    <w:nsid w:val="74D54F9A"/>
    <w:multiLevelType w:val="multilevel"/>
    <w:tmpl w:val="60F2B7FC"/>
    <w:lvl w:ilvl="0">
      <w:start w:val="1"/>
      <w:numFmt w:val="decimal"/>
      <w:pStyle w:val="Heading1"/>
      <w:lvlText w:val="%1"/>
      <w:lvlJc w:val="left"/>
      <w:pPr>
        <w:ind w:left="0" w:hanging="851"/>
      </w:pPr>
      <w:rPr>
        <w:rFonts w:ascii="VIC SemiBold" w:hAnsi="VIC SemiBold" w:hint="default"/>
        <w:b w:val="0"/>
        <w:i w:val="0"/>
        <w:color w:val="005EA1" w:themeColor="accent1"/>
      </w:rPr>
    </w:lvl>
    <w:lvl w:ilvl="1">
      <w:start w:val="1"/>
      <w:numFmt w:val="decimal"/>
      <w:pStyle w:val="Heading2"/>
      <w:lvlText w:val="%1.%2"/>
      <w:lvlJc w:val="left"/>
      <w:pPr>
        <w:ind w:left="0" w:hanging="851"/>
      </w:pPr>
      <w:rPr>
        <w:rFonts w:hint="default"/>
        <w:color w:val="005EA1" w:themeColor="accent1"/>
      </w:rPr>
    </w:lvl>
    <w:lvl w:ilvl="2">
      <w:start w:val="1"/>
      <w:numFmt w:val="decimal"/>
      <w:pStyle w:val="Heading3"/>
      <w:lvlText w:val="%1.%2.%3"/>
      <w:lvlJc w:val="left"/>
      <w:pPr>
        <w:ind w:left="0" w:hanging="851"/>
      </w:pPr>
      <w:rPr>
        <w:rFonts w:hint="default"/>
        <w:color w:val="005EA1"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26" w15:restartNumberingAfterBreak="0">
    <w:nsid w:val="7B5C3F53"/>
    <w:multiLevelType w:val="multilevel"/>
    <w:tmpl w:val="0060C338"/>
    <w:numStyleLink w:val="NumberedList"/>
  </w:abstractNum>
  <w:abstractNum w:abstractNumId="27" w15:restartNumberingAfterBreak="0">
    <w:nsid w:val="7F45563A"/>
    <w:multiLevelType w:val="hybridMultilevel"/>
    <w:tmpl w:val="A620B504"/>
    <w:lvl w:ilvl="0" w:tplc="0292E5C0">
      <w:start w:val="1"/>
      <w:numFmt w:val="decimal"/>
      <w:pStyle w:val="Tablenoobj"/>
      <w:lvlText w:val="O%1"/>
      <w:lvlJc w:val="left"/>
      <w:pPr>
        <w:ind w:left="360" w:hanging="360"/>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14"/>
  </w:num>
  <w:num w:numId="3">
    <w:abstractNumId w:val="2"/>
  </w:num>
  <w:num w:numId="4">
    <w:abstractNumId w:val="24"/>
  </w:num>
  <w:num w:numId="5">
    <w:abstractNumId w:val="6"/>
  </w:num>
  <w:num w:numId="6">
    <w:abstractNumId w:val="19"/>
  </w:num>
  <w:num w:numId="7">
    <w:abstractNumId w:val="8"/>
  </w:num>
  <w:num w:numId="8">
    <w:abstractNumId w:val="12"/>
  </w:num>
  <w:num w:numId="9">
    <w:abstractNumId w:val="20"/>
  </w:num>
  <w:num w:numId="10">
    <w:abstractNumId w:val="1"/>
  </w:num>
  <w:num w:numId="11">
    <w:abstractNumId w:val="0"/>
  </w:num>
  <w:num w:numId="12">
    <w:abstractNumId w:val="12"/>
  </w:num>
  <w:num w:numId="13">
    <w:abstractNumId w:val="12"/>
  </w:num>
  <w:num w:numId="14">
    <w:abstractNumId w:val="19"/>
  </w:num>
  <w:num w:numId="15">
    <w:abstractNumId w:val="8"/>
  </w:num>
  <w:num w:numId="16">
    <w:abstractNumId w:val="2"/>
  </w:num>
  <w:num w:numId="17">
    <w:abstractNumId w:val="24"/>
  </w:num>
  <w:num w:numId="18">
    <w:abstractNumId w:val="6"/>
  </w:num>
  <w:num w:numId="19">
    <w:abstractNumId w:val="15"/>
  </w:num>
  <w:num w:numId="20">
    <w:abstractNumId w:val="25"/>
  </w:num>
  <w:num w:numId="21">
    <w:abstractNumId w:val="22"/>
  </w:num>
  <w:num w:numId="22">
    <w:abstractNumId w:val="25"/>
    <w:lvlOverride w:ilvl="0">
      <w:lvl w:ilvl="0">
        <w:start w:val="1"/>
        <w:numFmt w:val="decimal"/>
        <w:pStyle w:val="Heading1"/>
        <w:lvlText w:val="%1."/>
        <w:lvlJc w:val="left"/>
        <w:pPr>
          <w:ind w:left="0" w:hanging="851"/>
        </w:pPr>
        <w:rPr>
          <w:rFonts w:ascii="Franklin Gothic Demi" w:hAnsi="Franklin Gothic Demi" w:hint="default"/>
          <w:b w:val="0"/>
          <w:i w:val="0"/>
          <w:color w:val="005EA1" w:themeColor="accent1"/>
        </w:rPr>
      </w:lvl>
    </w:lvlOverride>
    <w:lvlOverride w:ilvl="1">
      <w:lvl w:ilvl="1">
        <w:start w:val="1"/>
        <w:numFmt w:val="decimal"/>
        <w:pStyle w:val="Heading2"/>
        <w:lvlText w:val="%1.%2."/>
        <w:lvlJc w:val="left"/>
        <w:pPr>
          <w:ind w:left="0" w:hanging="709"/>
        </w:pPr>
        <w:rPr>
          <w:rFonts w:hint="default"/>
          <w:color w:val="005EA1" w:themeColor="accent1"/>
        </w:rPr>
      </w:lvl>
    </w:lvlOverride>
    <w:lvlOverride w:ilvl="2">
      <w:lvl w:ilvl="2">
        <w:start w:val="1"/>
        <w:numFmt w:val="decimal"/>
        <w:pStyle w:val="Heading3"/>
        <w:lvlText w:val="%1.%2.%3."/>
        <w:lvlJc w:val="left"/>
        <w:pPr>
          <w:ind w:left="0" w:hanging="709"/>
        </w:pPr>
        <w:rPr>
          <w:rFonts w:hint="default"/>
        </w:rPr>
      </w:lvl>
    </w:lvlOverride>
    <w:lvlOverride w:ilvl="3">
      <w:lvl w:ilvl="3">
        <w:start w:val="1"/>
        <w:numFmt w:val="decimal"/>
        <w:lvlText w:val="%1.%2.%3.%4."/>
        <w:lvlJc w:val="left"/>
        <w:pPr>
          <w:ind w:left="0" w:hanging="709"/>
        </w:pPr>
        <w:rPr>
          <w:rFonts w:hint="default"/>
        </w:rPr>
      </w:lvl>
    </w:lvlOverride>
    <w:lvlOverride w:ilvl="4">
      <w:lvl w:ilvl="4">
        <w:start w:val="1"/>
        <w:numFmt w:val="decimal"/>
        <w:lvlText w:val="%1.%2.%3.%4.%5."/>
        <w:lvlJc w:val="left"/>
        <w:pPr>
          <w:ind w:left="0" w:hanging="709"/>
        </w:pPr>
        <w:rPr>
          <w:rFonts w:hint="default"/>
        </w:rPr>
      </w:lvl>
    </w:lvlOverride>
    <w:lvlOverride w:ilvl="5">
      <w:lvl w:ilvl="5">
        <w:start w:val="1"/>
        <w:numFmt w:val="decimal"/>
        <w:lvlText w:val="%1.%2.%3.%4.%5.%6."/>
        <w:lvlJc w:val="left"/>
        <w:pPr>
          <w:ind w:left="0" w:hanging="709"/>
        </w:pPr>
        <w:rPr>
          <w:rFonts w:hint="default"/>
        </w:rPr>
      </w:lvl>
    </w:lvlOverride>
    <w:lvlOverride w:ilvl="6">
      <w:lvl w:ilvl="6">
        <w:start w:val="1"/>
        <w:numFmt w:val="decimal"/>
        <w:lvlText w:val="%1.%2.%3.%4.%5.%6.%7."/>
        <w:lvlJc w:val="left"/>
        <w:pPr>
          <w:ind w:left="0" w:hanging="709"/>
        </w:pPr>
        <w:rPr>
          <w:rFonts w:hint="default"/>
        </w:rPr>
      </w:lvl>
    </w:lvlOverride>
    <w:lvlOverride w:ilvl="7">
      <w:lvl w:ilvl="7">
        <w:start w:val="1"/>
        <w:numFmt w:val="decimal"/>
        <w:lvlText w:val="%1.%2.%3.%4.%5.%6.%7.%8."/>
        <w:lvlJc w:val="left"/>
        <w:pPr>
          <w:ind w:left="0" w:hanging="709"/>
        </w:pPr>
        <w:rPr>
          <w:rFonts w:hint="default"/>
        </w:rPr>
      </w:lvl>
    </w:lvlOverride>
    <w:lvlOverride w:ilvl="8">
      <w:lvl w:ilvl="8">
        <w:start w:val="1"/>
        <w:numFmt w:val="decimal"/>
        <w:lvlText w:val="%1.%2.%3.%4.%5.%6.%7.%8.%9."/>
        <w:lvlJc w:val="left"/>
        <w:pPr>
          <w:ind w:left="0" w:hanging="709"/>
        </w:pPr>
        <w:rPr>
          <w:rFonts w:hint="default"/>
        </w:rPr>
      </w:lvl>
    </w:lvlOverride>
  </w:num>
  <w:num w:numId="23">
    <w:abstractNumId w:val="25"/>
    <w:lvlOverride w:ilvl="0">
      <w:lvl w:ilvl="0">
        <w:start w:val="1"/>
        <w:numFmt w:val="decimal"/>
        <w:pStyle w:val="Heading1"/>
        <w:lvlText w:val="%1."/>
        <w:lvlJc w:val="left"/>
        <w:pPr>
          <w:ind w:left="0" w:hanging="851"/>
        </w:pPr>
        <w:rPr>
          <w:rFonts w:ascii="Franklin Gothic Demi" w:hAnsi="Franklin Gothic Demi" w:hint="default"/>
          <w:b w:val="0"/>
          <w:i w:val="0"/>
          <w:color w:val="005EA1" w:themeColor="accent1"/>
        </w:rPr>
      </w:lvl>
    </w:lvlOverride>
    <w:lvlOverride w:ilvl="1">
      <w:lvl w:ilvl="1">
        <w:start w:val="1"/>
        <w:numFmt w:val="decimal"/>
        <w:pStyle w:val="Heading2"/>
        <w:lvlText w:val="%1.%2."/>
        <w:lvlJc w:val="left"/>
        <w:pPr>
          <w:ind w:left="0" w:hanging="851"/>
        </w:pPr>
        <w:rPr>
          <w:rFonts w:hint="default"/>
          <w:color w:val="005EA1" w:themeColor="accent1"/>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24">
    <w:abstractNumId w:val="16"/>
  </w:num>
  <w:num w:numId="25">
    <w:abstractNumId w:val="21"/>
  </w:num>
  <w:num w:numId="26">
    <w:abstractNumId w:val="18"/>
  </w:num>
  <w:num w:numId="27">
    <w:abstractNumId w:val="4"/>
  </w:num>
  <w:num w:numId="28">
    <w:abstractNumId w:val="25"/>
    <w:lvlOverride w:ilvl="0">
      <w:lvl w:ilvl="0">
        <w:start w:val="1"/>
        <w:numFmt w:val="decimal"/>
        <w:pStyle w:val="Heading1"/>
        <w:lvlText w:val="%1"/>
        <w:lvlJc w:val="left"/>
        <w:pPr>
          <w:ind w:left="0" w:hanging="851"/>
        </w:pPr>
        <w:rPr>
          <w:rFonts w:hint="default"/>
          <w:b w:val="0"/>
          <w:i w:val="0"/>
          <w:color w:val="005EA1" w:themeColor="accent1"/>
        </w:rPr>
      </w:lvl>
    </w:lvlOverride>
    <w:lvlOverride w:ilvl="1">
      <w:lvl w:ilvl="1">
        <w:start w:val="1"/>
        <w:numFmt w:val="decimal"/>
        <w:pStyle w:val="Heading2"/>
        <w:lvlText w:val="%1.%2"/>
        <w:lvlJc w:val="left"/>
        <w:pPr>
          <w:ind w:left="0" w:hanging="851"/>
        </w:pPr>
        <w:rPr>
          <w:rFonts w:hint="default"/>
          <w:color w:val="005EA1" w:themeColor="accent1"/>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29">
    <w:abstractNumId w:val="27"/>
  </w:num>
  <w:num w:numId="30">
    <w:abstractNumId w:val="23"/>
  </w:num>
  <w:num w:numId="31">
    <w:abstractNumId w:val="5"/>
  </w:num>
  <w:num w:numId="32">
    <w:abstractNumId w:val="13"/>
  </w:num>
  <w:num w:numId="33">
    <w:abstractNumId w:val="17"/>
  </w:num>
  <w:num w:numId="34">
    <w:abstractNumId w:val="10"/>
  </w:num>
  <w:num w:numId="35">
    <w:abstractNumId w:val="11"/>
  </w:num>
  <w:num w:numId="36">
    <w:abstractNumId w:val="25"/>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7">
    <w:abstractNumId w:val="25"/>
    <w:lvlOverride w:ilvl="0">
      <w:lvl w:ilvl="0">
        <w:start w:val="1"/>
        <w:numFmt w:val="decimal"/>
        <w:pStyle w:val="Heading1"/>
        <w:lvlText w:val="%1"/>
        <w:lvlJc w:val="left"/>
        <w:pPr>
          <w:ind w:left="0" w:hanging="851"/>
        </w:pPr>
        <w:rPr>
          <w:rFonts w:ascii="VIC SemiBold" w:hAnsi="VIC SemiBold" w:hint="default"/>
          <w:b w:val="0"/>
          <w:i w:val="0"/>
          <w:color w:val="005EA1" w:themeColor="accent1"/>
        </w:rPr>
      </w:lvl>
    </w:lvlOverride>
    <w:lvlOverride w:ilvl="1">
      <w:lvl w:ilvl="1">
        <w:start w:val="1"/>
        <w:numFmt w:val="decimal"/>
        <w:pStyle w:val="Heading2"/>
        <w:lvlText w:val="%1.%2"/>
        <w:lvlJc w:val="left"/>
        <w:pPr>
          <w:ind w:left="0" w:hanging="851"/>
        </w:pPr>
        <w:rPr>
          <w:rFonts w:ascii="VIC SemiBold" w:hAnsi="VIC SemiBold" w:hint="default"/>
          <w:color w:val="005EA1" w:themeColor="accent1"/>
        </w:rPr>
      </w:lvl>
    </w:lvlOverride>
    <w:lvlOverride w:ilvl="2">
      <w:lvl w:ilvl="2">
        <w:start w:val="1"/>
        <w:numFmt w:val="decimal"/>
        <w:pStyle w:val="Heading3"/>
        <w:lvlText w:val="%1.%2.%3"/>
        <w:lvlJc w:val="left"/>
        <w:pPr>
          <w:ind w:left="0" w:hanging="851"/>
        </w:pPr>
        <w:rPr>
          <w:rFonts w:ascii="VIC SemiBold" w:hAnsi="VIC SemiBold" w:hint="default"/>
          <w:color w:val="005EA1" w:themeColor="accent1"/>
        </w:rPr>
      </w:lvl>
    </w:lvlOverride>
    <w:lvlOverride w:ilvl="3">
      <w:lvl w:ilvl="3">
        <w:start w:val="1"/>
        <w:numFmt w:val="decimal"/>
        <w:lvlText w:val="%1.%2.%3.%4."/>
        <w:lvlJc w:val="left"/>
        <w:pPr>
          <w:ind w:left="0" w:hanging="851"/>
        </w:pPr>
        <w:rPr>
          <w:rFonts w:hint="default"/>
        </w:rPr>
      </w:lvl>
    </w:lvlOverride>
    <w:lvlOverride w:ilvl="4">
      <w:lvl w:ilvl="4">
        <w:start w:val="1"/>
        <w:numFmt w:val="decimal"/>
        <w:lvlText w:val="%1.%2.%3.%4.%5."/>
        <w:lvlJc w:val="left"/>
        <w:pPr>
          <w:ind w:left="0" w:hanging="851"/>
        </w:pPr>
        <w:rPr>
          <w:rFonts w:hint="default"/>
        </w:rPr>
      </w:lvl>
    </w:lvlOverride>
    <w:lvlOverride w:ilvl="5">
      <w:lvl w:ilvl="5">
        <w:start w:val="1"/>
        <w:numFmt w:val="decimal"/>
        <w:lvlText w:val="%1.%2.%3.%4.%5.%6."/>
        <w:lvlJc w:val="left"/>
        <w:pPr>
          <w:ind w:left="0" w:hanging="851"/>
        </w:pPr>
        <w:rPr>
          <w:rFonts w:hint="default"/>
        </w:rPr>
      </w:lvl>
    </w:lvlOverride>
    <w:lvlOverride w:ilvl="6">
      <w:lvl w:ilvl="6">
        <w:start w:val="1"/>
        <w:numFmt w:val="decimal"/>
        <w:lvlText w:val="%1.%2.%3.%4.%5.%6.%7."/>
        <w:lvlJc w:val="left"/>
        <w:pPr>
          <w:ind w:left="0" w:hanging="851"/>
        </w:pPr>
        <w:rPr>
          <w:rFonts w:hint="default"/>
        </w:rPr>
      </w:lvl>
    </w:lvlOverride>
    <w:lvlOverride w:ilvl="7">
      <w:lvl w:ilvl="7">
        <w:start w:val="1"/>
        <w:numFmt w:val="decimal"/>
        <w:lvlText w:val="%1.%2.%3.%4.%5.%6.%7.%8."/>
        <w:lvlJc w:val="left"/>
        <w:pPr>
          <w:ind w:left="0" w:hanging="851"/>
        </w:pPr>
        <w:rPr>
          <w:rFonts w:hint="default"/>
        </w:rPr>
      </w:lvl>
    </w:lvlOverride>
    <w:lvlOverride w:ilvl="8">
      <w:lvl w:ilvl="8">
        <w:start w:val="1"/>
        <w:numFmt w:val="decimal"/>
        <w:lvlText w:val="%1.%2.%3.%4.%5.%6.%7.%8.%9."/>
        <w:lvlJc w:val="left"/>
        <w:pPr>
          <w:ind w:left="0" w:hanging="851"/>
        </w:pPr>
        <w:rPr>
          <w:rFonts w:hint="default"/>
        </w:rPr>
      </w:lvl>
    </w:lvlOverride>
  </w:num>
  <w:num w:numId="38">
    <w:abstractNumId w:val="3"/>
  </w:num>
  <w:num w:numId="39">
    <w:abstractNumId w:val="26"/>
  </w:num>
  <w:num w:numId="40">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saveSubsetFont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evenAndOddHeaders/>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4134"/>
    <w:rsid w:val="00007FCC"/>
    <w:rsid w:val="0001745F"/>
    <w:rsid w:val="0003639D"/>
    <w:rsid w:val="0004111B"/>
    <w:rsid w:val="000455B0"/>
    <w:rsid w:val="0005543A"/>
    <w:rsid w:val="00060341"/>
    <w:rsid w:val="00065392"/>
    <w:rsid w:val="00073058"/>
    <w:rsid w:val="0008382A"/>
    <w:rsid w:val="00085705"/>
    <w:rsid w:val="000A2025"/>
    <w:rsid w:val="000A328E"/>
    <w:rsid w:val="000A60B0"/>
    <w:rsid w:val="000A7B25"/>
    <w:rsid w:val="000B2876"/>
    <w:rsid w:val="000C28B1"/>
    <w:rsid w:val="000C73D1"/>
    <w:rsid w:val="000E1D93"/>
    <w:rsid w:val="000E6341"/>
    <w:rsid w:val="000F36DC"/>
    <w:rsid w:val="000F3D5F"/>
    <w:rsid w:val="000F4148"/>
    <w:rsid w:val="000F6953"/>
    <w:rsid w:val="00100076"/>
    <w:rsid w:val="00106314"/>
    <w:rsid w:val="001352AE"/>
    <w:rsid w:val="00136EE1"/>
    <w:rsid w:val="00137B47"/>
    <w:rsid w:val="00151100"/>
    <w:rsid w:val="00165845"/>
    <w:rsid w:val="0016625C"/>
    <w:rsid w:val="001A465C"/>
    <w:rsid w:val="001B43BF"/>
    <w:rsid w:val="001C1179"/>
    <w:rsid w:val="001C633A"/>
    <w:rsid w:val="001C66E4"/>
    <w:rsid w:val="001C6B21"/>
    <w:rsid w:val="001C6BD9"/>
    <w:rsid w:val="002024A7"/>
    <w:rsid w:val="002054DA"/>
    <w:rsid w:val="00214090"/>
    <w:rsid w:val="0022602A"/>
    <w:rsid w:val="00237BB7"/>
    <w:rsid w:val="002461EB"/>
    <w:rsid w:val="00252250"/>
    <w:rsid w:val="00255934"/>
    <w:rsid w:val="00284D50"/>
    <w:rsid w:val="00287C35"/>
    <w:rsid w:val="002A7BB3"/>
    <w:rsid w:val="002C2012"/>
    <w:rsid w:val="002E3B16"/>
    <w:rsid w:val="0031062D"/>
    <w:rsid w:val="003144A4"/>
    <w:rsid w:val="00324E66"/>
    <w:rsid w:val="0033207D"/>
    <w:rsid w:val="00333785"/>
    <w:rsid w:val="00337B9D"/>
    <w:rsid w:val="003435FC"/>
    <w:rsid w:val="00351ACD"/>
    <w:rsid w:val="003561D3"/>
    <w:rsid w:val="003704B0"/>
    <w:rsid w:val="0037719F"/>
    <w:rsid w:val="00392409"/>
    <w:rsid w:val="003D1377"/>
    <w:rsid w:val="003F07F0"/>
    <w:rsid w:val="003F2D9F"/>
    <w:rsid w:val="0045269F"/>
    <w:rsid w:val="004614FA"/>
    <w:rsid w:val="00467552"/>
    <w:rsid w:val="00480F1D"/>
    <w:rsid w:val="00481C3C"/>
    <w:rsid w:val="004D5044"/>
    <w:rsid w:val="004D7343"/>
    <w:rsid w:val="004E4F99"/>
    <w:rsid w:val="00507B1A"/>
    <w:rsid w:val="00521693"/>
    <w:rsid w:val="0053280D"/>
    <w:rsid w:val="00543609"/>
    <w:rsid w:val="00543DEB"/>
    <w:rsid w:val="00545D48"/>
    <w:rsid w:val="00552F9A"/>
    <w:rsid w:val="00572A90"/>
    <w:rsid w:val="00581A4E"/>
    <w:rsid w:val="0058515B"/>
    <w:rsid w:val="005A0886"/>
    <w:rsid w:val="005A728A"/>
    <w:rsid w:val="005B15ED"/>
    <w:rsid w:val="005B5340"/>
    <w:rsid w:val="005B6C28"/>
    <w:rsid w:val="005C0D72"/>
    <w:rsid w:val="005D6B50"/>
    <w:rsid w:val="005E5986"/>
    <w:rsid w:val="005E64C6"/>
    <w:rsid w:val="005F57E2"/>
    <w:rsid w:val="006025C6"/>
    <w:rsid w:val="00610326"/>
    <w:rsid w:val="006315D0"/>
    <w:rsid w:val="00632AA1"/>
    <w:rsid w:val="0064311D"/>
    <w:rsid w:val="00673BF4"/>
    <w:rsid w:val="006746F2"/>
    <w:rsid w:val="0068315F"/>
    <w:rsid w:val="00683396"/>
    <w:rsid w:val="006A4D34"/>
    <w:rsid w:val="006A715A"/>
    <w:rsid w:val="006C27C6"/>
    <w:rsid w:val="006C38E1"/>
    <w:rsid w:val="006D3D19"/>
    <w:rsid w:val="006F797F"/>
    <w:rsid w:val="00724839"/>
    <w:rsid w:val="00754C26"/>
    <w:rsid w:val="00756D2C"/>
    <w:rsid w:val="00764DCA"/>
    <w:rsid w:val="0077490F"/>
    <w:rsid w:val="0078355D"/>
    <w:rsid w:val="00784D31"/>
    <w:rsid w:val="007902DF"/>
    <w:rsid w:val="00791F1B"/>
    <w:rsid w:val="00797790"/>
    <w:rsid w:val="007D4790"/>
    <w:rsid w:val="007D5804"/>
    <w:rsid w:val="007E203E"/>
    <w:rsid w:val="007E2E88"/>
    <w:rsid w:val="007E4E62"/>
    <w:rsid w:val="007F0B30"/>
    <w:rsid w:val="00826C79"/>
    <w:rsid w:val="0086193B"/>
    <w:rsid w:val="008654AB"/>
    <w:rsid w:val="00866594"/>
    <w:rsid w:val="008B0A44"/>
    <w:rsid w:val="008C0BBB"/>
    <w:rsid w:val="008C5740"/>
    <w:rsid w:val="008D7974"/>
    <w:rsid w:val="009069C2"/>
    <w:rsid w:val="00937364"/>
    <w:rsid w:val="0095183A"/>
    <w:rsid w:val="009548CB"/>
    <w:rsid w:val="00960918"/>
    <w:rsid w:val="00985C5F"/>
    <w:rsid w:val="00987CB7"/>
    <w:rsid w:val="009920B2"/>
    <w:rsid w:val="009957D3"/>
    <w:rsid w:val="009A0103"/>
    <w:rsid w:val="009B0F78"/>
    <w:rsid w:val="009D0417"/>
    <w:rsid w:val="009E0313"/>
    <w:rsid w:val="009F44C7"/>
    <w:rsid w:val="00A026A8"/>
    <w:rsid w:val="00A116B6"/>
    <w:rsid w:val="00A46197"/>
    <w:rsid w:val="00A54BF7"/>
    <w:rsid w:val="00A61404"/>
    <w:rsid w:val="00A616A8"/>
    <w:rsid w:val="00A6488F"/>
    <w:rsid w:val="00A77293"/>
    <w:rsid w:val="00A81C71"/>
    <w:rsid w:val="00A8299B"/>
    <w:rsid w:val="00A9595C"/>
    <w:rsid w:val="00AA416A"/>
    <w:rsid w:val="00AA5F37"/>
    <w:rsid w:val="00AC3644"/>
    <w:rsid w:val="00AC6C61"/>
    <w:rsid w:val="00AD0FDC"/>
    <w:rsid w:val="00AE582F"/>
    <w:rsid w:val="00B1591A"/>
    <w:rsid w:val="00B21758"/>
    <w:rsid w:val="00B25480"/>
    <w:rsid w:val="00B25E21"/>
    <w:rsid w:val="00B6402D"/>
    <w:rsid w:val="00B7210B"/>
    <w:rsid w:val="00B77892"/>
    <w:rsid w:val="00B952E8"/>
    <w:rsid w:val="00B9601D"/>
    <w:rsid w:val="00BA6B46"/>
    <w:rsid w:val="00BC2895"/>
    <w:rsid w:val="00BC38C5"/>
    <w:rsid w:val="00BE145B"/>
    <w:rsid w:val="00BE39C0"/>
    <w:rsid w:val="00C04134"/>
    <w:rsid w:val="00C415FA"/>
    <w:rsid w:val="00C4340A"/>
    <w:rsid w:val="00C5425D"/>
    <w:rsid w:val="00C5549D"/>
    <w:rsid w:val="00C603A8"/>
    <w:rsid w:val="00C73C71"/>
    <w:rsid w:val="00C759A2"/>
    <w:rsid w:val="00C86778"/>
    <w:rsid w:val="00C92B9B"/>
    <w:rsid w:val="00C97A6B"/>
    <w:rsid w:val="00CB2D8A"/>
    <w:rsid w:val="00CB3A49"/>
    <w:rsid w:val="00CD3E97"/>
    <w:rsid w:val="00CF75FF"/>
    <w:rsid w:val="00D23473"/>
    <w:rsid w:val="00D271C1"/>
    <w:rsid w:val="00D60B69"/>
    <w:rsid w:val="00D671D9"/>
    <w:rsid w:val="00D8680D"/>
    <w:rsid w:val="00D879C8"/>
    <w:rsid w:val="00D913E1"/>
    <w:rsid w:val="00D968DC"/>
    <w:rsid w:val="00DA0297"/>
    <w:rsid w:val="00DA32A6"/>
    <w:rsid w:val="00DC2717"/>
    <w:rsid w:val="00DD6555"/>
    <w:rsid w:val="00DF758C"/>
    <w:rsid w:val="00E11707"/>
    <w:rsid w:val="00E20B5B"/>
    <w:rsid w:val="00E34FA9"/>
    <w:rsid w:val="00E572E9"/>
    <w:rsid w:val="00E75B3A"/>
    <w:rsid w:val="00E84FF9"/>
    <w:rsid w:val="00E87E23"/>
    <w:rsid w:val="00E91979"/>
    <w:rsid w:val="00E9553B"/>
    <w:rsid w:val="00EA0BB1"/>
    <w:rsid w:val="00EA63C1"/>
    <w:rsid w:val="00EB5383"/>
    <w:rsid w:val="00EB7D9A"/>
    <w:rsid w:val="00EC01B1"/>
    <w:rsid w:val="00EC54A1"/>
    <w:rsid w:val="00ED593D"/>
    <w:rsid w:val="00EE1649"/>
    <w:rsid w:val="00EE2C46"/>
    <w:rsid w:val="00EE4BC2"/>
    <w:rsid w:val="00EF1C5F"/>
    <w:rsid w:val="00F00B8E"/>
    <w:rsid w:val="00F056BF"/>
    <w:rsid w:val="00F15103"/>
    <w:rsid w:val="00F15237"/>
    <w:rsid w:val="00F16B89"/>
    <w:rsid w:val="00F17671"/>
    <w:rsid w:val="00F2422A"/>
    <w:rsid w:val="00F32B77"/>
    <w:rsid w:val="00F46727"/>
    <w:rsid w:val="00F85A6B"/>
    <w:rsid w:val="00F95F5C"/>
    <w:rsid w:val="00FB638D"/>
    <w:rsid w:val="00FC0E91"/>
    <w:rsid w:val="00FC3134"/>
    <w:rsid w:val="00FD3307"/>
    <w:rsid w:val="00FD6A9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4D2CFAC3-24D4-4756-99F5-F633AE09C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w:hAnsi="Arial" w:cs="Times New Roman"/>
        <w:sz w:val="18"/>
        <w:szCs w:val="18"/>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qFormat="1"/>
    <w:lsdException w:name="index heading" w:semiHidden="1" w:unhideWhenUsed="1"/>
    <w:lsdException w:name="caption"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10B"/>
    <w:pPr>
      <w:suppressAutoHyphens/>
      <w:spacing w:before="200" w:line="276" w:lineRule="auto"/>
      <w:jc w:val="both"/>
    </w:pPr>
  </w:style>
  <w:style w:type="paragraph" w:styleId="Heading1">
    <w:name w:val="heading 1"/>
    <w:basedOn w:val="Normal"/>
    <w:next w:val="Normal"/>
    <w:link w:val="Heading1Char"/>
    <w:qFormat/>
    <w:rsid w:val="009F44C7"/>
    <w:pPr>
      <w:keepNext/>
      <w:pageBreakBefore/>
      <w:numPr>
        <w:numId w:val="20"/>
      </w:numPr>
      <w:pBdr>
        <w:bottom w:val="single" w:sz="4" w:space="1" w:color="005EA1" w:themeColor="accent1"/>
      </w:pBdr>
      <w:suppressAutoHyphens w:val="0"/>
      <w:spacing w:before="0" w:after="40"/>
      <w:jc w:val="left"/>
      <w:outlineLvl w:val="0"/>
    </w:pPr>
    <w:rPr>
      <w:rFonts w:ascii="VIC" w:hAnsi="VIC" w:cs="Arial"/>
      <w:caps/>
      <w:sz w:val="32"/>
      <w:szCs w:val="32"/>
      <w:lang w:eastAsia="en-US"/>
    </w:rPr>
  </w:style>
  <w:style w:type="paragraph" w:styleId="Heading2">
    <w:name w:val="heading 2"/>
    <w:basedOn w:val="Heading1"/>
    <w:next w:val="Normal"/>
    <w:link w:val="Heading2Char"/>
    <w:qFormat/>
    <w:rsid w:val="0045269F"/>
    <w:pPr>
      <w:pageBreakBefore w:val="0"/>
      <w:numPr>
        <w:ilvl w:val="1"/>
        <w:numId w:val="36"/>
      </w:numPr>
      <w:pBdr>
        <w:bottom w:val="none" w:sz="0" w:space="0" w:color="auto"/>
      </w:pBdr>
      <w:spacing w:before="320"/>
      <w:outlineLvl w:val="1"/>
    </w:pPr>
    <w:rPr>
      <w:caps w:val="0"/>
      <w:sz w:val="26"/>
      <w:szCs w:val="28"/>
    </w:rPr>
  </w:style>
  <w:style w:type="paragraph" w:styleId="Heading3">
    <w:name w:val="heading 3"/>
    <w:basedOn w:val="Heading2"/>
    <w:next w:val="Normal"/>
    <w:link w:val="Heading3Char"/>
    <w:qFormat/>
    <w:rsid w:val="0045269F"/>
    <w:pPr>
      <w:numPr>
        <w:ilvl w:val="2"/>
        <w:numId w:val="37"/>
      </w:numPr>
      <w:spacing w:before="280"/>
      <w:outlineLvl w:val="2"/>
    </w:pPr>
    <w:rPr>
      <w:sz w:val="22"/>
      <w:szCs w:val="22"/>
    </w:rPr>
  </w:style>
  <w:style w:type="paragraph" w:styleId="Heading4">
    <w:name w:val="heading 4"/>
    <w:basedOn w:val="Normal"/>
    <w:next w:val="Normal"/>
    <w:link w:val="Heading4Char"/>
    <w:rsid w:val="0045269F"/>
    <w:pPr>
      <w:keepNext/>
      <w:spacing w:before="240" w:after="40"/>
      <w:outlineLvl w:val="3"/>
    </w:pPr>
    <w:rPr>
      <w:rFonts w:ascii="VIC" w:hAnsi="VIC"/>
      <w:color w:val="005EA1" w:themeColor="accent1"/>
      <w:lang w:eastAsia="en-US"/>
    </w:rPr>
  </w:style>
  <w:style w:type="paragraph" w:styleId="Heading5">
    <w:name w:val="heading 5"/>
    <w:basedOn w:val="Heading4"/>
    <w:next w:val="Normal"/>
    <w:link w:val="Heading5Char"/>
    <w:uiPriority w:val="98"/>
    <w:semiHidden/>
    <w:rsid w:val="00F878B0"/>
    <w:pPr>
      <w:outlineLvl w:val="4"/>
    </w:pPr>
    <w:rPr>
      <w:rFonts w:eastAsia="Times New Roman"/>
      <w:u w:color="808080"/>
    </w:rPr>
  </w:style>
  <w:style w:type="paragraph" w:styleId="Heading6">
    <w:name w:val="heading 6"/>
    <w:basedOn w:val="NormalLeftAlign"/>
    <w:next w:val="Normal"/>
    <w:semiHidden/>
    <w:unhideWhenUsed/>
    <w:rsid w:val="008F228F"/>
    <w:pPr>
      <w:keepNext/>
      <w:tabs>
        <w:tab w:val="left" w:pos="357"/>
      </w:tabs>
      <w:spacing w:before="240"/>
      <w:outlineLvl w:val="5"/>
    </w:pPr>
    <w:rPr>
      <w:rFonts w:eastAsia="Times New Roman"/>
    </w:rPr>
  </w:style>
  <w:style w:type="paragraph" w:styleId="Heading7">
    <w:name w:val="heading 7"/>
    <w:basedOn w:val="NormalLeftAlign"/>
    <w:next w:val="Normal"/>
    <w:semiHidden/>
    <w:unhideWhenUsed/>
    <w:rsid w:val="00EE6E35"/>
    <w:pPr>
      <w:keepNext/>
      <w:spacing w:before="200"/>
      <w:outlineLvl w:val="6"/>
    </w:pPr>
  </w:style>
  <w:style w:type="paragraph" w:styleId="Heading8">
    <w:name w:val="heading 8"/>
    <w:basedOn w:val="Normal"/>
    <w:next w:val="Normal"/>
    <w:semiHidden/>
    <w:rsid w:val="00D03EDA"/>
    <w:pPr>
      <w:spacing w:after="40"/>
      <w:outlineLvl w:val="7"/>
    </w:pPr>
  </w:style>
  <w:style w:type="paragraph" w:styleId="Heading9">
    <w:name w:val="heading 9"/>
    <w:basedOn w:val="Heading8"/>
    <w:next w:val="Normal"/>
    <w:link w:val="Heading9Char"/>
    <w:semiHidden/>
    <w:unhideWhenUsed/>
    <w:qFormat/>
    <w:rsid w:val="00756D2C"/>
    <w:pPr>
      <w:keepNext/>
      <w:keepLines/>
      <w:outlineLvl w:val="8"/>
    </w:pPr>
    <w:rPr>
      <w:rFonts w:eastAsiaTheme="majorEastAsia" w:cstheme="majorBidi"/>
      <w:i/>
      <w:iCs/>
      <w:color w:val="404040" w:themeColor="text1" w:themeTint="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ListBigIndent">
    <w:name w:val="Indent List Big Indent"/>
    <w:basedOn w:val="NormalLeftAlign"/>
    <w:semiHidden/>
    <w:rsid w:val="006A4B4A"/>
    <w:pPr>
      <w:tabs>
        <w:tab w:val="left" w:pos="1134"/>
        <w:tab w:val="left" w:pos="1985"/>
      </w:tabs>
      <w:spacing w:before="0"/>
      <w:ind w:left="1134"/>
    </w:pPr>
  </w:style>
  <w:style w:type="table" w:styleId="TableGrid">
    <w:name w:val="Table Grid"/>
    <w:basedOn w:val="TableNormal"/>
    <w:rsid w:val="005D6B50"/>
    <w:pPr>
      <w:tabs>
        <w:tab w:val="left" w:pos="425"/>
        <w:tab w:val="left" w:pos="709"/>
        <w:tab w:val="left" w:pos="992"/>
      </w:tabs>
      <w:suppressAutoHyphens/>
    </w:pPr>
    <w:rPr>
      <w:sz w:val="20"/>
    </w:rPr>
    <w:tblPr>
      <w:tblBorders>
        <w:bottom w:val="single" w:sz="4" w:space="0" w:color="808080"/>
        <w:insideH w:val="single" w:sz="4" w:space="0" w:color="808080"/>
      </w:tblBorders>
    </w:tblPr>
  </w:style>
  <w:style w:type="character" w:customStyle="1" w:styleId="TableheadingsChar">
    <w:name w:val="Table / headings Char"/>
    <w:basedOn w:val="DefaultParagraphFont"/>
    <w:link w:val="Tableheadings"/>
    <w:rsid w:val="00F16B89"/>
    <w:rPr>
      <w:rFonts w:ascii="VIC SemiBold" w:hAnsi="VIC SemiBold"/>
      <w:b/>
      <w:caps/>
      <w:color w:val="FFFFFF" w:themeColor="background1"/>
      <w:sz w:val="16"/>
    </w:rPr>
  </w:style>
  <w:style w:type="character" w:customStyle="1" w:styleId="TabletextChar">
    <w:name w:val="Table / text Char"/>
    <w:basedOn w:val="TableheadingsChar"/>
    <w:link w:val="Tabletext"/>
    <w:rsid w:val="001B43BF"/>
    <w:rPr>
      <w:rFonts w:ascii="VIC SemiBold" w:hAnsi="VIC SemiBold"/>
      <w:b w:val="0"/>
      <w:caps w:val="0"/>
      <w:color w:val="262626" w:themeColor="text1" w:themeTint="D9"/>
      <w:sz w:val="16"/>
    </w:rPr>
  </w:style>
  <w:style w:type="paragraph" w:customStyle="1" w:styleId="Marginbox">
    <w:name w:val="Margin box"/>
    <w:basedOn w:val="NormalLeftAlign"/>
    <w:next w:val="Normal"/>
    <w:semiHidden/>
    <w:rsid w:val="002F2B1E"/>
    <w:pPr>
      <w:spacing w:before="0"/>
      <w:ind w:right="113"/>
      <w:jc w:val="right"/>
    </w:pPr>
    <w:rPr>
      <w:i/>
      <w:sz w:val="24"/>
    </w:rPr>
  </w:style>
  <w:style w:type="paragraph" w:customStyle="1" w:styleId="NormalLeftAlign">
    <w:name w:val="Normal Left Align"/>
    <w:semiHidden/>
    <w:rsid w:val="00960299"/>
    <w:pPr>
      <w:suppressAutoHyphens/>
      <w:spacing w:before="160"/>
    </w:pPr>
    <w:rPr>
      <w:sz w:val="21"/>
      <w:lang w:eastAsia="en-US"/>
    </w:rPr>
  </w:style>
  <w:style w:type="paragraph" w:customStyle="1" w:styleId="Tableheadings">
    <w:name w:val="Table / headings"/>
    <w:basedOn w:val="Normal"/>
    <w:link w:val="TableheadingsChar"/>
    <w:rsid w:val="00F16B89"/>
    <w:pPr>
      <w:keepNext/>
      <w:spacing w:before="120" w:after="80"/>
      <w:jc w:val="left"/>
    </w:pPr>
    <w:rPr>
      <w:rFonts w:ascii="VIC SemiBold" w:hAnsi="VIC SemiBold"/>
      <w:b/>
      <w:caps/>
      <w:color w:val="FFFFFF" w:themeColor="background1"/>
      <w:sz w:val="16"/>
    </w:rPr>
  </w:style>
  <w:style w:type="paragraph" w:customStyle="1" w:styleId="List3dash">
    <w:name w:val="List 3 / dash"/>
    <w:basedOn w:val="Normal"/>
    <w:qFormat/>
    <w:rsid w:val="00B7210B"/>
    <w:pPr>
      <w:keepLines/>
      <w:numPr>
        <w:numId w:val="26"/>
      </w:numPr>
      <w:spacing w:before="40"/>
      <w:ind w:left="568" w:hanging="284"/>
      <w:jc w:val="left"/>
    </w:pPr>
    <w:rPr>
      <w:rFonts w:eastAsia="Arial Unicode MS" w:cs="Arial"/>
      <w:lang w:eastAsia="en-US"/>
    </w:rPr>
  </w:style>
  <w:style w:type="character" w:customStyle="1" w:styleId="TablenoobjChar">
    <w:name w:val="Table / no. obj Char"/>
    <w:basedOn w:val="TabletextChar"/>
    <w:link w:val="Tablenoobj"/>
    <w:rsid w:val="00D23473"/>
    <w:rPr>
      <w:rFonts w:ascii="VIC SemiBold" w:hAnsi="VIC SemiBold"/>
      <w:b w:val="0"/>
      <w:caps w:val="0"/>
      <w:color w:val="003C74" w:themeColor="text2"/>
      <w:sz w:val="28"/>
    </w:rPr>
  </w:style>
  <w:style w:type="paragraph" w:customStyle="1" w:styleId="Tabletext">
    <w:name w:val="Table / text"/>
    <w:basedOn w:val="Normal"/>
    <w:link w:val="TabletextChar"/>
    <w:qFormat/>
    <w:rsid w:val="001B43BF"/>
    <w:pPr>
      <w:spacing w:before="40" w:after="40"/>
      <w:jc w:val="left"/>
    </w:pPr>
    <w:rPr>
      <w:color w:val="262626" w:themeColor="text1" w:themeTint="D9"/>
      <w:sz w:val="16"/>
    </w:rPr>
  </w:style>
  <w:style w:type="paragraph" w:styleId="BodyTextIndent">
    <w:name w:val="Body Text Indent"/>
    <w:aliases w:val="Quote1"/>
    <w:basedOn w:val="Normal"/>
    <w:link w:val="BodyTextIndentChar"/>
    <w:semiHidden/>
    <w:rsid w:val="00181D1D"/>
    <w:pPr>
      <w:tabs>
        <w:tab w:val="left" w:pos="426"/>
      </w:tabs>
      <w:ind w:left="426"/>
    </w:pPr>
    <w:rPr>
      <w:i/>
    </w:rPr>
  </w:style>
  <w:style w:type="paragraph" w:customStyle="1" w:styleId="List2indent">
    <w:name w:val="List 2 / indent"/>
    <w:basedOn w:val="Normal"/>
    <w:qFormat/>
    <w:rsid w:val="00B7210B"/>
    <w:pPr>
      <w:keepLines/>
      <w:spacing w:before="120"/>
      <w:ind w:left="284"/>
      <w:jc w:val="left"/>
    </w:pPr>
    <w:rPr>
      <w:rFonts w:eastAsia="Arial Unicode MS" w:cs="Arial"/>
    </w:rPr>
  </w:style>
  <w:style w:type="paragraph" w:styleId="BodyText">
    <w:name w:val="Body Text"/>
    <w:basedOn w:val="Normal"/>
    <w:link w:val="BodyTextChar"/>
    <w:semiHidden/>
    <w:rsid w:val="00F93BB6"/>
    <w:rPr>
      <w:color w:val="000000"/>
    </w:rPr>
  </w:style>
  <w:style w:type="numbering" w:customStyle="1" w:styleId="NumberedList">
    <w:name w:val="Numbered List"/>
    <w:basedOn w:val="NoList"/>
    <w:rsid w:val="00FE70B6"/>
    <w:pPr>
      <w:numPr>
        <w:numId w:val="1"/>
      </w:numPr>
    </w:pPr>
  </w:style>
  <w:style w:type="paragraph" w:customStyle="1" w:styleId="Heading1nonumbers">
    <w:name w:val="Heading 1 no numbers"/>
    <w:basedOn w:val="Heading1"/>
    <w:next w:val="Normal"/>
    <w:qFormat/>
    <w:rsid w:val="005A728A"/>
    <w:pPr>
      <w:numPr>
        <w:numId w:val="0"/>
      </w:numPr>
    </w:pPr>
  </w:style>
  <w:style w:type="numbering" w:customStyle="1" w:styleId="Numbers">
    <w:name w:val="Numbers"/>
    <w:basedOn w:val="NoList"/>
    <w:rsid w:val="00FE70B6"/>
    <w:pPr>
      <w:numPr>
        <w:numId w:val="2"/>
      </w:numPr>
    </w:pPr>
  </w:style>
  <w:style w:type="paragraph" w:styleId="Footer">
    <w:name w:val="footer"/>
    <w:basedOn w:val="Normal"/>
    <w:link w:val="FooterChar"/>
    <w:uiPriority w:val="99"/>
    <w:unhideWhenUsed/>
    <w:qFormat/>
    <w:rsid w:val="000A60B0"/>
    <w:pPr>
      <w:tabs>
        <w:tab w:val="center" w:pos="4513"/>
        <w:tab w:val="right" w:pos="9026"/>
      </w:tabs>
      <w:spacing w:before="0"/>
    </w:pPr>
  </w:style>
  <w:style w:type="character" w:customStyle="1" w:styleId="Heading1Char">
    <w:name w:val="Heading 1 Char"/>
    <w:basedOn w:val="DefaultParagraphFont"/>
    <w:link w:val="Heading1"/>
    <w:rsid w:val="009F44C7"/>
    <w:rPr>
      <w:rFonts w:ascii="VIC" w:hAnsi="VIC" w:cs="Arial"/>
      <w:caps/>
      <w:sz w:val="32"/>
      <w:szCs w:val="32"/>
      <w:lang w:eastAsia="en-US"/>
    </w:rPr>
  </w:style>
  <w:style w:type="character" w:customStyle="1" w:styleId="Heading2Char">
    <w:name w:val="Heading 2 Char"/>
    <w:basedOn w:val="DefaultParagraphFont"/>
    <w:link w:val="Heading2"/>
    <w:rsid w:val="0045269F"/>
    <w:rPr>
      <w:rFonts w:ascii="VIC" w:hAnsi="VIC" w:cs="Arial"/>
      <w:sz w:val="26"/>
      <w:szCs w:val="28"/>
      <w:lang w:eastAsia="en-US"/>
    </w:rPr>
  </w:style>
  <w:style w:type="character" w:customStyle="1" w:styleId="Heading3Char">
    <w:name w:val="Heading 3 Char"/>
    <w:basedOn w:val="DefaultParagraphFont"/>
    <w:link w:val="Heading3"/>
    <w:rsid w:val="0045269F"/>
    <w:rPr>
      <w:rFonts w:ascii="VIC" w:hAnsi="VIC" w:cs="Arial"/>
      <w:sz w:val="22"/>
      <w:szCs w:val="22"/>
      <w:lang w:eastAsia="en-US"/>
    </w:rPr>
  </w:style>
  <w:style w:type="character" w:customStyle="1" w:styleId="Heading4Char">
    <w:name w:val="Heading 4 Char"/>
    <w:basedOn w:val="DefaultParagraphFont"/>
    <w:link w:val="Heading4"/>
    <w:rsid w:val="0045269F"/>
    <w:rPr>
      <w:rFonts w:ascii="VIC" w:hAnsi="VIC"/>
      <w:color w:val="005EA1" w:themeColor="accent1"/>
      <w:lang w:eastAsia="en-US"/>
    </w:rPr>
  </w:style>
  <w:style w:type="character" w:customStyle="1" w:styleId="Heading5Char">
    <w:name w:val="Heading 5 Char"/>
    <w:basedOn w:val="DefaultParagraphFont"/>
    <w:link w:val="Heading5"/>
    <w:uiPriority w:val="98"/>
    <w:semiHidden/>
    <w:rsid w:val="000361CF"/>
    <w:rPr>
      <w:rFonts w:ascii="Swis721 BlkCn BT" w:eastAsia="Times New Roman" w:hAnsi="Swis721 BlkCn BT"/>
      <w:u w:color="808080"/>
      <w:lang w:eastAsia="en-US"/>
    </w:rPr>
  </w:style>
  <w:style w:type="paragraph" w:customStyle="1" w:styleId="Tablelists">
    <w:name w:val="Table / lists"/>
    <w:basedOn w:val="Tabletext"/>
    <w:qFormat/>
    <w:rsid w:val="00B7210B"/>
    <w:pPr>
      <w:numPr>
        <w:numId w:val="16"/>
      </w:numPr>
      <w:ind w:left="284" w:hanging="284"/>
    </w:pPr>
    <w:rPr>
      <w:rFonts w:cs="Tahoma"/>
      <w:szCs w:val="16"/>
    </w:rPr>
  </w:style>
  <w:style w:type="paragraph" w:customStyle="1" w:styleId="List1bullet">
    <w:name w:val="List 1 / bullet"/>
    <w:basedOn w:val="Normal"/>
    <w:qFormat/>
    <w:rsid w:val="0045269F"/>
    <w:pPr>
      <w:keepLines/>
      <w:numPr>
        <w:numId w:val="25"/>
      </w:numPr>
      <w:spacing w:before="120"/>
      <w:ind w:left="284" w:hanging="284"/>
      <w:jc w:val="left"/>
    </w:pPr>
    <w:rPr>
      <w:rFonts w:eastAsia="Arial Unicode MS" w:cs="Arial"/>
    </w:rPr>
  </w:style>
  <w:style w:type="paragraph" w:customStyle="1" w:styleId="Tablenoobj">
    <w:name w:val="Table / no. obj"/>
    <w:basedOn w:val="Tabletext"/>
    <w:link w:val="TablenoobjChar"/>
    <w:qFormat/>
    <w:rsid w:val="00D23473"/>
    <w:pPr>
      <w:numPr>
        <w:numId w:val="29"/>
      </w:numPr>
      <w:tabs>
        <w:tab w:val="left" w:pos="425"/>
        <w:tab w:val="left" w:pos="709"/>
        <w:tab w:val="left" w:pos="992"/>
      </w:tabs>
      <w:jc w:val="center"/>
    </w:pPr>
    <w:rPr>
      <w:rFonts w:ascii="VIC SemiBold" w:hAnsi="VIC SemiBold"/>
      <w:color w:val="003C74" w:themeColor="text2"/>
      <w:sz w:val="28"/>
    </w:rPr>
  </w:style>
  <w:style w:type="character" w:customStyle="1" w:styleId="FooterChar">
    <w:name w:val="Footer Char"/>
    <w:basedOn w:val="DefaultParagraphFont"/>
    <w:link w:val="Footer"/>
    <w:uiPriority w:val="99"/>
    <w:rsid w:val="000A60B0"/>
  </w:style>
  <w:style w:type="table" w:customStyle="1" w:styleId="Lined">
    <w:name w:val="Lined"/>
    <w:basedOn w:val="TableNormal"/>
    <w:uiPriority w:val="99"/>
    <w:qFormat/>
    <w:rsid w:val="00E04BEC"/>
    <w:tblPr>
      <w:tblBorders>
        <w:top w:val="single" w:sz="12" w:space="0" w:color="auto"/>
        <w:bottom w:val="single" w:sz="12" w:space="0" w:color="auto"/>
        <w:insideH w:val="single" w:sz="4" w:space="0" w:color="auto"/>
      </w:tblBorders>
      <w:tblCellMar>
        <w:top w:w="57" w:type="dxa"/>
        <w:left w:w="57" w:type="dxa"/>
        <w:bottom w:w="57" w:type="dxa"/>
        <w:right w:w="57" w:type="dxa"/>
      </w:tblCellMar>
    </w:tblPr>
    <w:trPr>
      <w:cantSplit/>
    </w:trPr>
    <w:tblStylePr w:type="firstRow">
      <w:tblPr/>
      <w:tcPr>
        <w:tcBorders>
          <w:top w:val="single" w:sz="12" w:space="0" w:color="auto"/>
          <w:left w:val="nil"/>
          <w:bottom w:val="single" w:sz="4" w:space="0" w:color="auto"/>
          <w:right w:val="nil"/>
          <w:insideH w:val="nil"/>
          <w:insideV w:val="nil"/>
          <w:tl2br w:val="nil"/>
          <w:tr2bl w:val="nil"/>
        </w:tcBorders>
      </w:tcPr>
    </w:tblStylePr>
    <w:tblStylePr w:type="lastRow">
      <w:rPr>
        <w:rFonts w:ascii="Arial" w:hAnsi="Arial"/>
      </w:rPr>
      <w:tblPr/>
      <w:tcPr>
        <w:tcBorders>
          <w:top w:val="single" w:sz="4" w:space="0" w:color="auto"/>
          <w:left w:val="nil"/>
          <w:bottom w:val="single" w:sz="12" w:space="0" w:color="auto"/>
          <w:right w:val="nil"/>
          <w:insideH w:val="nil"/>
          <w:insideV w:val="nil"/>
          <w:tl2br w:val="nil"/>
          <w:tr2bl w:val="nil"/>
        </w:tcBorders>
      </w:tcPr>
    </w:tblStylePr>
  </w:style>
  <w:style w:type="table" w:styleId="Table3Deffects3">
    <w:name w:val="Table 3D effects 3"/>
    <w:basedOn w:val="TableNormal"/>
    <w:rsid w:val="00F76502"/>
    <w:pPr>
      <w:tabs>
        <w:tab w:val="left" w:pos="425"/>
        <w:tab w:val="left" w:pos="709"/>
        <w:tab w:val="left" w:pos="992"/>
      </w:tabs>
      <w:suppressAutoHyphens/>
      <w:spacing w:before="16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Base">
    <w:name w:val="Table Base"/>
    <w:basedOn w:val="TableNormal"/>
    <w:uiPriority w:val="99"/>
    <w:qFormat/>
    <w:rsid w:val="001723E4"/>
    <w:tblPr/>
  </w:style>
  <w:style w:type="table" w:customStyle="1" w:styleId="MPA">
    <w:name w:val="MPA"/>
    <w:basedOn w:val="TableNormal"/>
    <w:uiPriority w:val="99"/>
    <w:rsid w:val="00065392"/>
    <w:rPr>
      <w:sz w:val="20"/>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b w:val="0"/>
        <w:color w:val="FFFFFF" w:themeColor="background1"/>
      </w:rPr>
      <w:tblPr/>
      <w:tcPr>
        <w:tcBorders>
          <w:top w:val="nil"/>
          <w:left w:val="nil"/>
          <w:bottom w:val="nil"/>
          <w:right w:val="nil"/>
          <w:insideH w:val="nil"/>
          <w:insideV w:val="nil"/>
          <w:tl2br w:val="nil"/>
          <w:tr2bl w:val="nil"/>
        </w:tcBorders>
        <w:shd w:val="solid" w:color="7030A0" w:fill="7030A0"/>
      </w:tcPr>
    </w:tblStylePr>
  </w:style>
  <w:style w:type="paragraph" w:styleId="BalloonText">
    <w:name w:val="Balloon Text"/>
    <w:basedOn w:val="Normal"/>
    <w:link w:val="BalloonTextChar"/>
    <w:semiHidden/>
    <w:unhideWhenUsed/>
    <w:rsid w:val="00587F30"/>
    <w:pPr>
      <w:spacing w:before="0"/>
    </w:pPr>
    <w:rPr>
      <w:rFonts w:cs="Tahoma"/>
      <w:sz w:val="16"/>
      <w:szCs w:val="16"/>
    </w:rPr>
  </w:style>
  <w:style w:type="character" w:customStyle="1" w:styleId="BalloonTextChar">
    <w:name w:val="Balloon Text Char"/>
    <w:basedOn w:val="DefaultParagraphFont"/>
    <w:link w:val="BalloonText"/>
    <w:semiHidden/>
    <w:rsid w:val="00587F30"/>
    <w:rPr>
      <w:rFonts w:cs="Tahoma"/>
      <w:sz w:val="16"/>
      <w:szCs w:val="16"/>
      <w:lang w:eastAsia="en-US"/>
    </w:rPr>
  </w:style>
  <w:style w:type="paragraph" w:customStyle="1" w:styleId="Tablenoreq">
    <w:name w:val="Table / no. req"/>
    <w:basedOn w:val="Tablenoobj"/>
    <w:qFormat/>
    <w:rsid w:val="008C5740"/>
    <w:pPr>
      <w:numPr>
        <w:numId w:val="31"/>
      </w:numPr>
    </w:pPr>
    <w:rPr>
      <w:color w:val="95C11F" w:themeColor="accent3"/>
    </w:rPr>
  </w:style>
  <w:style w:type="paragraph" w:customStyle="1" w:styleId="Tablenoguid">
    <w:name w:val="Table / no. guid"/>
    <w:basedOn w:val="Tablenoobj"/>
    <w:qFormat/>
    <w:rsid w:val="008C5740"/>
    <w:pPr>
      <w:numPr>
        <w:numId w:val="32"/>
      </w:numPr>
    </w:pPr>
    <w:rPr>
      <w:color w:val="008BD2" w:themeColor="accent2"/>
    </w:rPr>
  </w:style>
  <w:style w:type="table" w:styleId="TableClassic1">
    <w:name w:val="Table Classic 1"/>
    <w:basedOn w:val="TableNormal"/>
    <w:rsid w:val="00411E4E"/>
    <w:pPr>
      <w:suppressAutoHyphens/>
      <w:spacing w:before="160" w:line="264"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11E4E"/>
    <w:pPr>
      <w:suppressAutoHyphens/>
      <w:spacing w:before="16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GreyBar">
    <w:name w:val="Grey Bar"/>
    <w:basedOn w:val="Lined"/>
    <w:uiPriority w:val="99"/>
    <w:qFormat/>
    <w:rsid w:val="00B5012F"/>
    <w:tblPr>
      <w:tblBorders>
        <w:top w:val="none" w:sz="0" w:space="0" w:color="auto"/>
        <w:bottom w:val="single" w:sz="8" w:space="0" w:color="A6A6A6" w:themeColor="background1" w:themeShade="A6"/>
        <w:insideH w:val="single" w:sz="8" w:space="0" w:color="A6A6A6" w:themeColor="background1" w:themeShade="A6"/>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A6A6A6" w:themeFill="background1" w:themeFillShade="A6"/>
      </w:tcPr>
    </w:tblStylePr>
    <w:tblStylePr w:type="lastRow">
      <w:rPr>
        <w:rFonts w:ascii="Arial" w:hAnsi="Arial"/>
      </w:rPr>
      <w:tblPr/>
      <w:tcPr>
        <w:tcBorders>
          <w:top w:val="single" w:sz="8" w:space="0" w:color="A6A6A6" w:themeColor="background1" w:themeShade="A6"/>
          <w:left w:val="nil"/>
          <w:bottom w:val="single" w:sz="8" w:space="0" w:color="A6A6A6" w:themeColor="background1" w:themeShade="A6"/>
          <w:right w:val="nil"/>
          <w:insideH w:val="nil"/>
          <w:insideV w:val="nil"/>
          <w:tl2br w:val="nil"/>
          <w:tr2bl w:val="nil"/>
        </w:tcBorders>
      </w:tcPr>
    </w:tblStylePr>
    <w:tblStylePr w:type="band1Horz">
      <w:tblPr/>
      <w:tcPr>
        <w:tcBorders>
          <w:top w:val="nil"/>
          <w:bottom w:val="nil"/>
          <w:insideH w:val="single" w:sz="4" w:space="0" w:color="auto"/>
        </w:tcBorders>
      </w:tcPr>
    </w:tblStylePr>
  </w:style>
  <w:style w:type="table" w:styleId="MediumGrid2-Accent6">
    <w:name w:val="Medium Grid 2 Accent 6"/>
    <w:basedOn w:val="TableNormal"/>
    <w:uiPriority w:val="68"/>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insideH w:val="single" w:sz="8" w:space="0" w:color="63B9E9" w:themeColor="accent6"/>
        <w:insideV w:val="single" w:sz="8" w:space="0" w:color="63B9E9" w:themeColor="accent6"/>
      </w:tblBorders>
    </w:tblPr>
    <w:tcPr>
      <w:shd w:val="clear" w:color="auto" w:fill="D8EDF9" w:themeFill="accent6" w:themeFillTint="3F"/>
    </w:tcPr>
    <w:tblStylePr w:type="firstRow">
      <w:rPr>
        <w:b/>
        <w:bCs/>
        <w:color w:val="000000" w:themeColor="text1"/>
      </w:rPr>
      <w:tblPr/>
      <w:tcPr>
        <w:shd w:val="clear" w:color="auto" w:fill="EFF8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0FA" w:themeFill="accent6" w:themeFillTint="33"/>
      </w:tcPr>
    </w:tblStylePr>
    <w:tblStylePr w:type="band1Vert">
      <w:tblPr/>
      <w:tcPr>
        <w:shd w:val="clear" w:color="auto" w:fill="B1DBF4" w:themeFill="accent6" w:themeFillTint="7F"/>
      </w:tcPr>
    </w:tblStylePr>
    <w:tblStylePr w:type="band1Horz">
      <w:tblPr/>
      <w:tcPr>
        <w:tcBorders>
          <w:insideH w:val="single" w:sz="6" w:space="0" w:color="63B9E9" w:themeColor="accent6"/>
          <w:insideV w:val="single" w:sz="6" w:space="0" w:color="63B9E9" w:themeColor="accent6"/>
        </w:tcBorders>
        <w:shd w:val="clear" w:color="auto" w:fill="B1DBF4"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insideH w:val="single" w:sz="8" w:space="0" w:color="4CA22F" w:themeColor="accent5"/>
        <w:insideV w:val="single" w:sz="8" w:space="0" w:color="4CA22F" w:themeColor="accent5"/>
      </w:tblBorders>
    </w:tblPr>
    <w:tcPr>
      <w:shd w:val="clear" w:color="auto" w:fill="CFEEC5" w:themeFill="accent5" w:themeFillTint="3F"/>
    </w:tcPr>
    <w:tblStylePr w:type="firstRow">
      <w:rPr>
        <w:b/>
        <w:bCs/>
        <w:color w:val="000000" w:themeColor="text1"/>
      </w:rPr>
      <w:tblPr/>
      <w:tcPr>
        <w:shd w:val="clear" w:color="auto" w:fill="ECF8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F1D0" w:themeFill="accent5" w:themeFillTint="33"/>
      </w:tcPr>
    </w:tblStylePr>
    <w:tblStylePr w:type="band1Vert">
      <w:tblPr/>
      <w:tcPr>
        <w:shd w:val="clear" w:color="auto" w:fill="9FDD8A" w:themeFill="accent5" w:themeFillTint="7F"/>
      </w:tcPr>
    </w:tblStylePr>
    <w:tblStylePr w:type="band1Horz">
      <w:tblPr/>
      <w:tcPr>
        <w:tcBorders>
          <w:insideH w:val="single" w:sz="6" w:space="0" w:color="4CA22F" w:themeColor="accent5"/>
          <w:insideV w:val="single" w:sz="6" w:space="0" w:color="4CA22F" w:themeColor="accent5"/>
        </w:tcBorders>
        <w:shd w:val="clear" w:color="auto" w:fill="9FDD8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insideH w:val="single" w:sz="8" w:space="0" w:color="9CA0A3" w:themeColor="accent4"/>
        <w:insideV w:val="single" w:sz="8" w:space="0" w:color="9CA0A3" w:themeColor="accent4"/>
      </w:tblBorders>
    </w:tblPr>
    <w:tcPr>
      <w:shd w:val="clear" w:color="auto" w:fill="E6E7E8" w:themeFill="accent4" w:themeFillTint="3F"/>
    </w:tcPr>
    <w:tblStylePr w:type="firstRow">
      <w:rPr>
        <w:b/>
        <w:bCs/>
        <w:color w:val="000000" w:themeColor="text1"/>
      </w:rPr>
      <w:tblPr/>
      <w:tcPr>
        <w:shd w:val="clear" w:color="auto" w:fill="F5F5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BEC" w:themeFill="accent4" w:themeFillTint="33"/>
      </w:tcPr>
    </w:tblStylePr>
    <w:tblStylePr w:type="band1Vert">
      <w:tblPr/>
      <w:tcPr>
        <w:shd w:val="clear" w:color="auto" w:fill="CDCFD1" w:themeFill="accent4" w:themeFillTint="7F"/>
      </w:tcPr>
    </w:tblStylePr>
    <w:tblStylePr w:type="band1Horz">
      <w:tblPr/>
      <w:tcPr>
        <w:tcBorders>
          <w:insideH w:val="single" w:sz="6" w:space="0" w:color="9CA0A3" w:themeColor="accent4"/>
          <w:insideV w:val="single" w:sz="6" w:space="0" w:color="9CA0A3" w:themeColor="accent4"/>
        </w:tcBorders>
        <w:shd w:val="clear" w:color="auto" w:fill="CDCFD1"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insideH w:val="single" w:sz="8" w:space="0" w:color="95C11F" w:themeColor="accent3"/>
        <w:insideV w:val="single" w:sz="8" w:space="0" w:color="95C11F" w:themeColor="accent3"/>
      </w:tblBorders>
    </w:tblPr>
    <w:tcPr>
      <w:shd w:val="clear" w:color="auto" w:fill="E7F5C2" w:themeFill="accent3" w:themeFillTint="3F"/>
    </w:tcPr>
    <w:tblStylePr w:type="firstRow">
      <w:rPr>
        <w:b/>
        <w:bCs/>
        <w:color w:val="000000" w:themeColor="text1"/>
      </w:rPr>
      <w:tblPr/>
      <w:tcPr>
        <w:shd w:val="clear" w:color="auto" w:fill="F5FB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7CD" w:themeFill="accent3" w:themeFillTint="33"/>
      </w:tcPr>
    </w:tblStylePr>
    <w:tblStylePr w:type="band1Vert">
      <w:tblPr/>
      <w:tcPr>
        <w:shd w:val="clear" w:color="auto" w:fill="CEEB84" w:themeFill="accent3" w:themeFillTint="7F"/>
      </w:tcPr>
    </w:tblStylePr>
    <w:tblStylePr w:type="band1Horz">
      <w:tblPr/>
      <w:tcPr>
        <w:tcBorders>
          <w:insideH w:val="single" w:sz="6" w:space="0" w:color="95C11F" w:themeColor="accent3"/>
          <w:insideV w:val="single" w:sz="6" w:space="0" w:color="95C11F" w:themeColor="accent3"/>
        </w:tcBorders>
        <w:shd w:val="clear" w:color="auto" w:fill="CEEB84"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insideH w:val="single" w:sz="8" w:space="0" w:color="008BD2" w:themeColor="accent2"/>
        <w:insideV w:val="single" w:sz="8" w:space="0" w:color="008BD2" w:themeColor="accent2"/>
      </w:tblBorders>
    </w:tblPr>
    <w:tcPr>
      <w:shd w:val="clear" w:color="auto" w:fill="B4E5FF" w:themeFill="accent2" w:themeFillTint="3F"/>
    </w:tcPr>
    <w:tblStylePr w:type="firstRow">
      <w:rPr>
        <w:b/>
        <w:bCs/>
        <w:color w:val="000000" w:themeColor="text1"/>
      </w:rPr>
      <w:tblPr/>
      <w:tcPr>
        <w:shd w:val="clear" w:color="auto" w:fill="E1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AFF" w:themeFill="accent2" w:themeFillTint="33"/>
      </w:tcPr>
    </w:tblStylePr>
    <w:tblStylePr w:type="band1Vert">
      <w:tblPr/>
      <w:tcPr>
        <w:shd w:val="clear" w:color="auto" w:fill="69CBFF" w:themeFill="accent2" w:themeFillTint="7F"/>
      </w:tcPr>
    </w:tblStylePr>
    <w:tblStylePr w:type="band1Horz">
      <w:tblPr/>
      <w:tcPr>
        <w:tcBorders>
          <w:insideH w:val="single" w:sz="6" w:space="0" w:color="008BD2" w:themeColor="accent2"/>
          <w:insideV w:val="single" w:sz="6" w:space="0" w:color="008BD2" w:themeColor="accent2"/>
        </w:tcBorders>
        <w:shd w:val="clear" w:color="auto" w:fill="69CBFF"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insideH w:val="single" w:sz="8" w:space="0" w:color="005EA1" w:themeColor="accent1"/>
        <w:insideV w:val="single" w:sz="8" w:space="0" w:color="005EA1" w:themeColor="accent1"/>
      </w:tblBorders>
    </w:tblPr>
    <w:tcPr>
      <w:shd w:val="clear" w:color="auto" w:fill="A8DAFF" w:themeFill="accent1" w:themeFillTint="3F"/>
    </w:tcPr>
    <w:tblStylePr w:type="firstRow">
      <w:rPr>
        <w:b/>
        <w:bCs/>
        <w:color w:val="000000" w:themeColor="text1"/>
      </w:rPr>
      <w:tblPr/>
      <w:tcPr>
        <w:shd w:val="clear" w:color="auto" w:fill="DCF0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E1FF" w:themeFill="accent1" w:themeFillTint="33"/>
      </w:tcPr>
    </w:tblStylePr>
    <w:tblStylePr w:type="band1Vert">
      <w:tblPr/>
      <w:tcPr>
        <w:shd w:val="clear" w:color="auto" w:fill="51B5FF" w:themeFill="accent1" w:themeFillTint="7F"/>
      </w:tcPr>
    </w:tblStylePr>
    <w:tblStylePr w:type="band1Horz">
      <w:tblPr/>
      <w:tcPr>
        <w:tcBorders>
          <w:insideH w:val="single" w:sz="6" w:space="0" w:color="005EA1" w:themeColor="accent1"/>
          <w:insideV w:val="single" w:sz="6" w:space="0" w:color="005EA1" w:themeColor="accent1"/>
        </w:tcBorders>
        <w:shd w:val="clear" w:color="auto" w:fill="51B5FF" w:themeFill="accent1" w:themeFillTint="7F"/>
      </w:tcPr>
    </w:tblStylePr>
    <w:tblStylePr w:type="nwCell">
      <w:tblPr/>
      <w:tcPr>
        <w:shd w:val="clear" w:color="auto" w:fill="FFFFFF" w:themeFill="background1"/>
      </w:tcPr>
    </w:tblStylePr>
  </w:style>
  <w:style w:type="table" w:customStyle="1" w:styleId="MediumGrid21">
    <w:name w:val="Medium Grid 21"/>
    <w:basedOn w:val="TableNormal"/>
    <w:uiPriority w:val="68"/>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List2-Accent6">
    <w:name w:val="Medium List 2 Accent 6"/>
    <w:basedOn w:val="TableNormal"/>
    <w:uiPriority w:val="66"/>
    <w:rsid w:val="00587F30"/>
    <w:rPr>
      <w:rFonts w:eastAsiaTheme="majorEastAsia" w:cstheme="majorBidi"/>
      <w:color w:val="000000" w:themeColor="text1"/>
    </w:rPr>
    <w:tblPr>
      <w:tblStyleRowBandSize w:val="1"/>
      <w:tblStyleColBandSize w:val="1"/>
      <w:tblBorders>
        <w:top w:val="single" w:sz="8" w:space="0" w:color="63B9E9" w:themeColor="accent6"/>
        <w:left w:val="single" w:sz="8" w:space="0" w:color="63B9E9" w:themeColor="accent6"/>
        <w:bottom w:val="single" w:sz="8" w:space="0" w:color="63B9E9" w:themeColor="accent6"/>
        <w:right w:val="single" w:sz="8" w:space="0" w:color="63B9E9" w:themeColor="accent6"/>
      </w:tblBorders>
    </w:tblPr>
    <w:tblStylePr w:type="firstRow">
      <w:rPr>
        <w:sz w:val="24"/>
        <w:szCs w:val="24"/>
      </w:rPr>
      <w:tblPr/>
      <w:tcPr>
        <w:tcBorders>
          <w:top w:val="nil"/>
          <w:left w:val="nil"/>
          <w:bottom w:val="single" w:sz="24" w:space="0" w:color="63B9E9" w:themeColor="accent6"/>
          <w:right w:val="nil"/>
          <w:insideH w:val="nil"/>
          <w:insideV w:val="nil"/>
        </w:tcBorders>
        <w:shd w:val="clear" w:color="auto" w:fill="FFFFFF" w:themeFill="background1"/>
      </w:tcPr>
    </w:tblStylePr>
    <w:tblStylePr w:type="lastRow">
      <w:tblPr/>
      <w:tcPr>
        <w:tcBorders>
          <w:top w:val="single" w:sz="8" w:space="0" w:color="63B9E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B9E9" w:themeColor="accent6"/>
          <w:insideH w:val="nil"/>
          <w:insideV w:val="nil"/>
        </w:tcBorders>
        <w:shd w:val="clear" w:color="auto" w:fill="FFFFFF" w:themeFill="background1"/>
      </w:tcPr>
    </w:tblStylePr>
    <w:tblStylePr w:type="lastCol">
      <w:tblPr/>
      <w:tcPr>
        <w:tcBorders>
          <w:top w:val="nil"/>
          <w:left w:val="single" w:sz="8" w:space="0" w:color="63B9E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EDF9" w:themeFill="accent6" w:themeFillTint="3F"/>
      </w:tcPr>
    </w:tblStylePr>
    <w:tblStylePr w:type="band1Horz">
      <w:tblPr/>
      <w:tcPr>
        <w:tcBorders>
          <w:top w:val="nil"/>
          <w:bottom w:val="nil"/>
          <w:insideH w:val="nil"/>
          <w:insideV w:val="nil"/>
        </w:tcBorders>
        <w:shd w:val="clear" w:color="auto" w:fill="D8EDF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587F30"/>
    <w:rPr>
      <w:rFonts w:eastAsiaTheme="majorEastAsia" w:cstheme="majorBidi"/>
      <w:color w:val="000000" w:themeColor="text1"/>
    </w:rPr>
    <w:tblPr>
      <w:tblStyleRowBandSize w:val="1"/>
      <w:tblStyleColBandSize w:val="1"/>
      <w:tblBorders>
        <w:top w:val="single" w:sz="8" w:space="0" w:color="4CA22F" w:themeColor="accent5"/>
        <w:left w:val="single" w:sz="8" w:space="0" w:color="4CA22F" w:themeColor="accent5"/>
        <w:bottom w:val="single" w:sz="8" w:space="0" w:color="4CA22F" w:themeColor="accent5"/>
        <w:right w:val="single" w:sz="8" w:space="0" w:color="4CA22F" w:themeColor="accent5"/>
      </w:tblBorders>
    </w:tblPr>
    <w:tblStylePr w:type="firstRow">
      <w:rPr>
        <w:sz w:val="24"/>
        <w:szCs w:val="24"/>
      </w:rPr>
      <w:tblPr/>
      <w:tcPr>
        <w:tcBorders>
          <w:top w:val="nil"/>
          <w:left w:val="nil"/>
          <w:bottom w:val="single" w:sz="24" w:space="0" w:color="4CA22F" w:themeColor="accent5"/>
          <w:right w:val="nil"/>
          <w:insideH w:val="nil"/>
          <w:insideV w:val="nil"/>
        </w:tcBorders>
        <w:shd w:val="clear" w:color="auto" w:fill="FFFFFF" w:themeFill="background1"/>
      </w:tcPr>
    </w:tblStylePr>
    <w:tblStylePr w:type="lastRow">
      <w:tblPr/>
      <w:tcPr>
        <w:tcBorders>
          <w:top w:val="single" w:sz="8" w:space="0" w:color="4CA22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A22F" w:themeColor="accent5"/>
          <w:insideH w:val="nil"/>
          <w:insideV w:val="nil"/>
        </w:tcBorders>
        <w:shd w:val="clear" w:color="auto" w:fill="FFFFFF" w:themeFill="background1"/>
      </w:tcPr>
    </w:tblStylePr>
    <w:tblStylePr w:type="lastCol">
      <w:tblPr/>
      <w:tcPr>
        <w:tcBorders>
          <w:top w:val="nil"/>
          <w:left w:val="single" w:sz="8" w:space="0" w:color="4CA22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EC5" w:themeFill="accent5" w:themeFillTint="3F"/>
      </w:tcPr>
    </w:tblStylePr>
    <w:tblStylePr w:type="band1Horz">
      <w:tblPr/>
      <w:tcPr>
        <w:tcBorders>
          <w:top w:val="nil"/>
          <w:bottom w:val="nil"/>
          <w:insideH w:val="nil"/>
          <w:insideV w:val="nil"/>
        </w:tcBorders>
        <w:shd w:val="clear" w:color="auto" w:fill="CFEEC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587F30"/>
    <w:rPr>
      <w:rFonts w:eastAsiaTheme="majorEastAsia" w:cstheme="majorBidi"/>
      <w:color w:val="000000" w:themeColor="text1"/>
    </w:rPr>
    <w:tblPr>
      <w:tblStyleRowBandSize w:val="1"/>
      <w:tblStyleColBandSize w:val="1"/>
      <w:tblBorders>
        <w:top w:val="single" w:sz="8" w:space="0" w:color="9CA0A3" w:themeColor="accent4"/>
        <w:left w:val="single" w:sz="8" w:space="0" w:color="9CA0A3" w:themeColor="accent4"/>
        <w:bottom w:val="single" w:sz="8" w:space="0" w:color="9CA0A3" w:themeColor="accent4"/>
        <w:right w:val="single" w:sz="8" w:space="0" w:color="9CA0A3" w:themeColor="accent4"/>
      </w:tblBorders>
    </w:tblPr>
    <w:tblStylePr w:type="firstRow">
      <w:rPr>
        <w:sz w:val="24"/>
        <w:szCs w:val="24"/>
      </w:rPr>
      <w:tblPr/>
      <w:tcPr>
        <w:tcBorders>
          <w:top w:val="nil"/>
          <w:left w:val="nil"/>
          <w:bottom w:val="single" w:sz="24" w:space="0" w:color="9CA0A3" w:themeColor="accent4"/>
          <w:right w:val="nil"/>
          <w:insideH w:val="nil"/>
          <w:insideV w:val="nil"/>
        </w:tcBorders>
        <w:shd w:val="clear" w:color="auto" w:fill="FFFFFF" w:themeFill="background1"/>
      </w:tcPr>
    </w:tblStylePr>
    <w:tblStylePr w:type="lastRow">
      <w:tblPr/>
      <w:tcPr>
        <w:tcBorders>
          <w:top w:val="single" w:sz="8" w:space="0" w:color="9CA0A3"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CA0A3" w:themeColor="accent4"/>
          <w:insideH w:val="nil"/>
          <w:insideV w:val="nil"/>
        </w:tcBorders>
        <w:shd w:val="clear" w:color="auto" w:fill="FFFFFF" w:themeFill="background1"/>
      </w:tcPr>
    </w:tblStylePr>
    <w:tblStylePr w:type="lastCol">
      <w:tblPr/>
      <w:tcPr>
        <w:tcBorders>
          <w:top w:val="nil"/>
          <w:left w:val="single" w:sz="8" w:space="0" w:color="9CA0A3"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7E8" w:themeFill="accent4" w:themeFillTint="3F"/>
      </w:tcPr>
    </w:tblStylePr>
    <w:tblStylePr w:type="band1Horz">
      <w:tblPr/>
      <w:tcPr>
        <w:tcBorders>
          <w:top w:val="nil"/>
          <w:bottom w:val="nil"/>
          <w:insideH w:val="nil"/>
          <w:insideV w:val="nil"/>
        </w:tcBorders>
        <w:shd w:val="clear" w:color="auto" w:fill="E6E7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587F30"/>
    <w:rPr>
      <w:rFonts w:eastAsiaTheme="majorEastAsia" w:cstheme="majorBidi"/>
      <w:color w:val="000000" w:themeColor="text1"/>
    </w:rPr>
    <w:tblPr>
      <w:tblStyleRowBandSize w:val="1"/>
      <w:tblStyleColBandSize w:val="1"/>
      <w:tblBorders>
        <w:top w:val="single" w:sz="8" w:space="0" w:color="95C11F" w:themeColor="accent3"/>
        <w:left w:val="single" w:sz="8" w:space="0" w:color="95C11F" w:themeColor="accent3"/>
        <w:bottom w:val="single" w:sz="8" w:space="0" w:color="95C11F" w:themeColor="accent3"/>
        <w:right w:val="single" w:sz="8" w:space="0" w:color="95C11F" w:themeColor="accent3"/>
      </w:tblBorders>
    </w:tblPr>
    <w:tblStylePr w:type="firstRow">
      <w:rPr>
        <w:sz w:val="24"/>
        <w:szCs w:val="24"/>
      </w:rPr>
      <w:tblPr/>
      <w:tcPr>
        <w:tcBorders>
          <w:top w:val="nil"/>
          <w:left w:val="nil"/>
          <w:bottom w:val="single" w:sz="24" w:space="0" w:color="95C11F" w:themeColor="accent3"/>
          <w:right w:val="nil"/>
          <w:insideH w:val="nil"/>
          <w:insideV w:val="nil"/>
        </w:tcBorders>
        <w:shd w:val="clear" w:color="auto" w:fill="FFFFFF" w:themeFill="background1"/>
      </w:tcPr>
    </w:tblStylePr>
    <w:tblStylePr w:type="lastRow">
      <w:tblPr/>
      <w:tcPr>
        <w:tcBorders>
          <w:top w:val="single" w:sz="8" w:space="0" w:color="95C1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C11F" w:themeColor="accent3"/>
          <w:insideH w:val="nil"/>
          <w:insideV w:val="nil"/>
        </w:tcBorders>
        <w:shd w:val="clear" w:color="auto" w:fill="FFFFFF" w:themeFill="background1"/>
      </w:tcPr>
    </w:tblStylePr>
    <w:tblStylePr w:type="lastCol">
      <w:tblPr/>
      <w:tcPr>
        <w:tcBorders>
          <w:top w:val="nil"/>
          <w:left w:val="single" w:sz="8" w:space="0" w:color="95C1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5C2" w:themeFill="accent3" w:themeFillTint="3F"/>
      </w:tcPr>
    </w:tblStylePr>
    <w:tblStylePr w:type="band1Horz">
      <w:tblPr/>
      <w:tcPr>
        <w:tcBorders>
          <w:top w:val="nil"/>
          <w:bottom w:val="nil"/>
          <w:insideH w:val="nil"/>
          <w:insideV w:val="nil"/>
        </w:tcBorders>
        <w:shd w:val="clear" w:color="auto" w:fill="E7F5C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587F30"/>
    <w:rPr>
      <w:rFonts w:eastAsiaTheme="majorEastAsia" w:cstheme="majorBidi"/>
      <w:color w:val="000000" w:themeColor="text1"/>
    </w:rPr>
    <w:tblPr>
      <w:tblStyleRowBandSize w:val="1"/>
      <w:tblStyleColBandSize w:val="1"/>
      <w:tblBorders>
        <w:top w:val="single" w:sz="8" w:space="0" w:color="008BD2" w:themeColor="accent2"/>
        <w:left w:val="single" w:sz="8" w:space="0" w:color="008BD2" w:themeColor="accent2"/>
        <w:bottom w:val="single" w:sz="8" w:space="0" w:color="008BD2" w:themeColor="accent2"/>
        <w:right w:val="single" w:sz="8" w:space="0" w:color="008BD2" w:themeColor="accent2"/>
      </w:tblBorders>
    </w:tblPr>
    <w:tblStylePr w:type="firstRow">
      <w:rPr>
        <w:sz w:val="24"/>
        <w:szCs w:val="24"/>
      </w:rPr>
      <w:tblPr/>
      <w:tcPr>
        <w:tcBorders>
          <w:top w:val="nil"/>
          <w:left w:val="nil"/>
          <w:bottom w:val="single" w:sz="24" w:space="0" w:color="008BD2" w:themeColor="accent2"/>
          <w:right w:val="nil"/>
          <w:insideH w:val="nil"/>
          <w:insideV w:val="nil"/>
        </w:tcBorders>
        <w:shd w:val="clear" w:color="auto" w:fill="FFFFFF" w:themeFill="background1"/>
      </w:tcPr>
    </w:tblStylePr>
    <w:tblStylePr w:type="lastRow">
      <w:tblPr/>
      <w:tcPr>
        <w:tcBorders>
          <w:top w:val="single" w:sz="8" w:space="0" w:color="008BD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BD2" w:themeColor="accent2"/>
          <w:insideH w:val="nil"/>
          <w:insideV w:val="nil"/>
        </w:tcBorders>
        <w:shd w:val="clear" w:color="auto" w:fill="FFFFFF" w:themeFill="background1"/>
      </w:tcPr>
    </w:tblStylePr>
    <w:tblStylePr w:type="lastCol">
      <w:tblPr/>
      <w:tcPr>
        <w:tcBorders>
          <w:top w:val="nil"/>
          <w:left w:val="single" w:sz="8" w:space="0" w:color="008BD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4E5FF" w:themeFill="accent2" w:themeFillTint="3F"/>
      </w:tcPr>
    </w:tblStylePr>
    <w:tblStylePr w:type="band1Horz">
      <w:tblPr/>
      <w:tcPr>
        <w:tcBorders>
          <w:top w:val="nil"/>
          <w:bottom w:val="nil"/>
          <w:insideH w:val="nil"/>
          <w:insideV w:val="nil"/>
        </w:tcBorders>
        <w:shd w:val="clear" w:color="auto" w:fill="B4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587F30"/>
    <w:rPr>
      <w:rFonts w:eastAsiaTheme="majorEastAsia" w:cstheme="majorBidi"/>
      <w:color w:val="000000" w:themeColor="text1"/>
    </w:rPr>
    <w:tblPr>
      <w:tblStyleRowBandSize w:val="1"/>
      <w:tblStyleColBandSize w:val="1"/>
      <w:tblBorders>
        <w:top w:val="single" w:sz="8" w:space="0" w:color="005EA1" w:themeColor="accent1"/>
        <w:left w:val="single" w:sz="8" w:space="0" w:color="005EA1" w:themeColor="accent1"/>
        <w:bottom w:val="single" w:sz="8" w:space="0" w:color="005EA1" w:themeColor="accent1"/>
        <w:right w:val="single" w:sz="8" w:space="0" w:color="005EA1" w:themeColor="accent1"/>
      </w:tblBorders>
    </w:tblPr>
    <w:tblStylePr w:type="firstRow">
      <w:rPr>
        <w:sz w:val="24"/>
        <w:szCs w:val="24"/>
      </w:rPr>
      <w:tblPr/>
      <w:tcPr>
        <w:tcBorders>
          <w:top w:val="nil"/>
          <w:left w:val="nil"/>
          <w:bottom w:val="single" w:sz="24" w:space="0" w:color="005EA1" w:themeColor="accent1"/>
          <w:right w:val="nil"/>
          <w:insideH w:val="nil"/>
          <w:insideV w:val="nil"/>
        </w:tcBorders>
        <w:shd w:val="clear" w:color="auto" w:fill="FFFFFF" w:themeFill="background1"/>
      </w:tcPr>
    </w:tblStylePr>
    <w:tblStylePr w:type="lastRow">
      <w:tblPr/>
      <w:tcPr>
        <w:tcBorders>
          <w:top w:val="single" w:sz="8" w:space="0" w:color="005EA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EA1" w:themeColor="accent1"/>
          <w:insideH w:val="nil"/>
          <w:insideV w:val="nil"/>
        </w:tcBorders>
        <w:shd w:val="clear" w:color="auto" w:fill="FFFFFF" w:themeFill="background1"/>
      </w:tcPr>
    </w:tblStylePr>
    <w:tblStylePr w:type="lastCol">
      <w:tblPr/>
      <w:tcPr>
        <w:tcBorders>
          <w:top w:val="nil"/>
          <w:left w:val="single" w:sz="8" w:space="0" w:color="005EA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AFF" w:themeFill="accent1" w:themeFillTint="3F"/>
      </w:tcPr>
    </w:tblStylePr>
    <w:tblStylePr w:type="band1Horz">
      <w:tblPr/>
      <w:tcPr>
        <w:tcBorders>
          <w:top w:val="nil"/>
          <w:bottom w:val="nil"/>
          <w:insideH w:val="nil"/>
          <w:insideV w:val="nil"/>
        </w:tcBorders>
        <w:shd w:val="clear" w:color="auto" w:fill="A8DA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TableNormal"/>
    <w:uiPriority w:val="66"/>
    <w:rsid w:val="00587F3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OCHeading">
    <w:name w:val="TOC Heading"/>
    <w:basedOn w:val="Heading1"/>
    <w:next w:val="Normal"/>
    <w:uiPriority w:val="39"/>
    <w:semiHidden/>
    <w:unhideWhenUsed/>
    <w:qFormat/>
    <w:rsid w:val="00756D2C"/>
    <w:pPr>
      <w:keepLines/>
      <w:pageBreakBefore w:val="0"/>
      <w:numPr>
        <w:numId w:val="0"/>
      </w:numPr>
      <w:suppressAutoHyphens/>
      <w:spacing w:before="480" w:after="0"/>
      <w:outlineLvl w:val="9"/>
    </w:pPr>
    <w:rPr>
      <w:rFonts w:eastAsiaTheme="majorEastAsia" w:cstheme="majorBidi"/>
      <w:bCs/>
      <w:caps w:val="0"/>
      <w:color w:val="004578" w:themeColor="accent1" w:themeShade="BF"/>
      <w:sz w:val="28"/>
      <w:szCs w:val="28"/>
    </w:rPr>
  </w:style>
  <w:style w:type="character" w:customStyle="1" w:styleId="Heading9Char">
    <w:name w:val="Heading 9 Char"/>
    <w:basedOn w:val="DefaultParagraphFont"/>
    <w:link w:val="Heading9"/>
    <w:semiHidden/>
    <w:rsid w:val="00756D2C"/>
    <w:rPr>
      <w:rFonts w:eastAsiaTheme="majorEastAsia" w:cstheme="majorBidi"/>
      <w:i/>
      <w:iCs/>
      <w:color w:val="404040" w:themeColor="text1" w:themeTint="BF"/>
      <w:lang w:eastAsia="en-US"/>
    </w:rPr>
  </w:style>
  <w:style w:type="character" w:customStyle="1" w:styleId="BodyTextIndentChar">
    <w:name w:val="Body Text Indent Char"/>
    <w:aliases w:val="Quote1 Char"/>
    <w:basedOn w:val="DefaultParagraphFont"/>
    <w:link w:val="BodyTextIndent"/>
    <w:semiHidden/>
    <w:rsid w:val="00587F30"/>
    <w:rPr>
      <w:i/>
      <w:sz w:val="18"/>
      <w:szCs w:val="18"/>
      <w:lang w:eastAsia="en-US"/>
    </w:rPr>
  </w:style>
  <w:style w:type="character" w:customStyle="1" w:styleId="BodyTextChar">
    <w:name w:val="Body Text Char"/>
    <w:basedOn w:val="DefaultParagraphFont"/>
    <w:link w:val="BodyText"/>
    <w:semiHidden/>
    <w:rsid w:val="00587F30"/>
    <w:rPr>
      <w:color w:val="000000"/>
      <w:szCs w:val="22"/>
      <w:lang w:eastAsia="en-US"/>
    </w:rPr>
  </w:style>
  <w:style w:type="paragraph" w:styleId="TOC1">
    <w:name w:val="toc 1"/>
    <w:basedOn w:val="Normal"/>
    <w:next w:val="Normal"/>
    <w:autoRedefine/>
    <w:uiPriority w:val="39"/>
    <w:unhideWhenUsed/>
    <w:rsid w:val="00A81C71"/>
    <w:pPr>
      <w:spacing w:after="100"/>
    </w:pPr>
  </w:style>
  <w:style w:type="paragraph" w:styleId="TOC2">
    <w:name w:val="toc 2"/>
    <w:basedOn w:val="Normal"/>
    <w:next w:val="Normal"/>
    <w:autoRedefine/>
    <w:uiPriority w:val="39"/>
    <w:unhideWhenUsed/>
    <w:rsid w:val="00A81C71"/>
    <w:pPr>
      <w:spacing w:after="100"/>
      <w:ind w:left="220"/>
    </w:pPr>
  </w:style>
  <w:style w:type="character" w:styleId="Hyperlink">
    <w:name w:val="Hyperlink"/>
    <w:basedOn w:val="DefaultParagraphFont"/>
    <w:uiPriority w:val="99"/>
    <w:unhideWhenUsed/>
    <w:rsid w:val="00A81C71"/>
    <w:rPr>
      <w:color w:val="00B0F0" w:themeColor="hyperlink"/>
      <w:u w:val="single"/>
    </w:rPr>
  </w:style>
  <w:style w:type="paragraph" w:customStyle="1" w:styleId="HeadingContents">
    <w:name w:val="Heading / Contents"/>
    <w:basedOn w:val="Normal"/>
    <w:next w:val="Normal"/>
    <w:qFormat/>
    <w:rsid w:val="001A465C"/>
    <w:pPr>
      <w:pBdr>
        <w:bottom w:val="single" w:sz="4" w:space="1" w:color="005EA1" w:themeColor="accent1"/>
      </w:pBdr>
      <w:spacing w:before="240" w:after="120"/>
    </w:pPr>
    <w:rPr>
      <w:rFonts w:ascii="VIC" w:hAnsi="VIC" w:cs="Arial"/>
      <w:caps/>
      <w:sz w:val="32"/>
      <w:lang w:eastAsia="en-US"/>
    </w:rPr>
  </w:style>
  <w:style w:type="paragraph" w:customStyle="1" w:styleId="Heading2nonumbers">
    <w:name w:val="Heading 2 no numbers"/>
    <w:basedOn w:val="Heading2"/>
    <w:next w:val="Normal"/>
    <w:qFormat/>
    <w:rsid w:val="0045269F"/>
    <w:pPr>
      <w:numPr>
        <w:ilvl w:val="0"/>
        <w:numId w:val="0"/>
      </w:numPr>
    </w:pPr>
  </w:style>
  <w:style w:type="paragraph" w:customStyle="1" w:styleId="Referencesource">
    <w:name w:val="Reference / source"/>
    <w:basedOn w:val="Normal"/>
    <w:next w:val="Normal"/>
    <w:qFormat/>
    <w:rsid w:val="00D968DC"/>
    <w:pPr>
      <w:spacing w:before="80"/>
    </w:pPr>
    <w:rPr>
      <w:i/>
      <w:sz w:val="16"/>
      <w:lang w:eastAsia="en-US"/>
    </w:rPr>
  </w:style>
  <w:style w:type="paragraph" w:customStyle="1" w:styleId="List2quote">
    <w:name w:val="List 2 / quote"/>
    <w:basedOn w:val="List2indent"/>
    <w:qFormat/>
    <w:rsid w:val="00B7210B"/>
    <w:rPr>
      <w:i/>
    </w:rPr>
  </w:style>
  <w:style w:type="paragraph" w:customStyle="1" w:styleId="Heading3nonumbers">
    <w:name w:val="Heading 3 no numbers"/>
    <w:basedOn w:val="Heading3"/>
    <w:next w:val="Normal"/>
    <w:qFormat/>
    <w:rsid w:val="006C38E1"/>
    <w:pPr>
      <w:numPr>
        <w:ilvl w:val="0"/>
        <w:numId w:val="0"/>
      </w:numPr>
    </w:pPr>
  </w:style>
  <w:style w:type="paragraph" w:styleId="Caption">
    <w:name w:val="caption"/>
    <w:basedOn w:val="Normal"/>
    <w:next w:val="Normal"/>
    <w:qFormat/>
    <w:rsid w:val="00F95F5C"/>
    <w:pPr>
      <w:keepNext/>
      <w:spacing w:after="80"/>
    </w:pPr>
    <w:rPr>
      <w:rFonts w:ascii="VIC" w:hAnsi="VIC"/>
      <w:iCs/>
      <w:color w:val="005EA1" w:themeColor="accent1"/>
    </w:rPr>
  </w:style>
  <w:style w:type="paragraph" w:styleId="TableofFigures">
    <w:name w:val="table of figures"/>
    <w:basedOn w:val="Normal"/>
    <w:next w:val="Normal"/>
    <w:uiPriority w:val="99"/>
    <w:unhideWhenUsed/>
    <w:rsid w:val="006A715A"/>
    <w:pPr>
      <w:spacing w:before="120"/>
    </w:pPr>
    <w:rPr>
      <w:szCs w:val="22"/>
    </w:rPr>
  </w:style>
  <w:style w:type="paragraph" w:styleId="TOC3">
    <w:name w:val="toc 3"/>
    <w:basedOn w:val="Normal"/>
    <w:next w:val="Normal"/>
    <w:autoRedefine/>
    <w:uiPriority w:val="39"/>
    <w:unhideWhenUsed/>
    <w:rsid w:val="00C92B9B"/>
    <w:pPr>
      <w:spacing w:after="100"/>
      <w:ind w:left="360"/>
    </w:pPr>
  </w:style>
  <w:style w:type="paragraph" w:styleId="TOC4">
    <w:name w:val="toc 4"/>
    <w:basedOn w:val="Normal"/>
    <w:next w:val="Normal"/>
    <w:autoRedefine/>
    <w:uiPriority w:val="39"/>
    <w:unhideWhenUsed/>
    <w:rsid w:val="00C92B9B"/>
    <w:pPr>
      <w:spacing w:after="100"/>
      <w:ind w:left="540"/>
    </w:pPr>
  </w:style>
  <w:style w:type="table" w:styleId="GridTable5Dark-Accent1">
    <w:name w:val="Grid Table 5 Dark Accent 1"/>
    <w:basedOn w:val="TableNormal"/>
    <w:uiPriority w:val="50"/>
    <w:rsid w:val="00A7729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E1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EA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EA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EA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EA1" w:themeFill="accent1"/>
      </w:tcPr>
    </w:tblStylePr>
    <w:tblStylePr w:type="band1Vert">
      <w:tblPr/>
      <w:tcPr>
        <w:shd w:val="clear" w:color="auto" w:fill="73C4FF" w:themeFill="accent1" w:themeFillTint="66"/>
      </w:tcPr>
    </w:tblStylePr>
    <w:tblStylePr w:type="band1Horz">
      <w:tblPr/>
      <w:tcPr>
        <w:shd w:val="clear" w:color="auto" w:fill="73C4FF" w:themeFill="accent1" w:themeFillTint="66"/>
      </w:tcPr>
    </w:tblStylePr>
  </w:style>
  <w:style w:type="paragraph" w:customStyle="1" w:styleId="List1number">
    <w:name w:val="List 1 / number"/>
    <w:basedOn w:val="List1bullet"/>
    <w:qFormat/>
    <w:rsid w:val="00F16B89"/>
    <w:pPr>
      <w:numPr>
        <w:numId w:val="40"/>
      </w:numPr>
      <w:ind w:left="284" w:hanging="284"/>
    </w:pPr>
    <w:rPr>
      <w:lang w:eastAsia="en-US"/>
    </w:rPr>
  </w:style>
  <w:style w:type="paragraph" w:customStyle="1" w:styleId="NoParagraphStyle">
    <w:name w:val="[No Paragraph Style]"/>
    <w:rsid w:val="00C04134"/>
    <w:pPr>
      <w:autoSpaceDE w:val="0"/>
      <w:autoSpaceDN w:val="0"/>
      <w:adjustRightInd w:val="0"/>
      <w:spacing w:line="288" w:lineRule="auto"/>
      <w:textAlignment w:val="center"/>
    </w:pPr>
    <w:rPr>
      <w:rFonts w:ascii="Minion Pro" w:hAnsi="Minion Pro" w:cs="Minion Pro"/>
      <w:color w:val="000000"/>
      <w:sz w:val="24"/>
      <w:szCs w:val="24"/>
      <w:lang w:val="en-GB"/>
    </w:rPr>
  </w:style>
  <w:style w:type="paragraph" w:customStyle="1" w:styleId="BulletsContent">
    <w:name w:val="Bullets (Content)"/>
    <w:basedOn w:val="NoParagraphStyle"/>
    <w:uiPriority w:val="99"/>
    <w:rsid w:val="00C04134"/>
    <w:pPr>
      <w:tabs>
        <w:tab w:val="left" w:pos="283"/>
      </w:tabs>
      <w:suppressAutoHyphens/>
      <w:spacing w:before="57" w:after="57" w:line="220" w:lineRule="atLeast"/>
      <w:ind w:left="850" w:hanging="283"/>
    </w:pPr>
    <w:rPr>
      <w:rFonts w:ascii="Arial" w:hAnsi="Arial" w:cs="Arial"/>
      <w:spacing w:val="3"/>
      <w:sz w:val="17"/>
      <w:szCs w:val="17"/>
    </w:rPr>
  </w:style>
  <w:style w:type="character" w:customStyle="1" w:styleId="guidelinenumbering">
    <w:name w:val="&gt;guideline numbering"/>
    <w:uiPriority w:val="99"/>
    <w:rsid w:val="00C04134"/>
    <w:rPr>
      <w:rFonts w:ascii="VIC" w:hAnsi="VIC" w:cs="VIC"/>
      <w:b/>
      <w:bCs/>
      <w:color w:val="005DA0"/>
      <w:spacing w:val="0"/>
      <w:w w:val="100"/>
      <w:sz w:val="28"/>
      <w:szCs w:val="28"/>
    </w:rPr>
  </w:style>
  <w:style w:type="paragraph" w:styleId="Header">
    <w:name w:val="header"/>
    <w:basedOn w:val="Normal"/>
    <w:link w:val="HeaderChar"/>
    <w:unhideWhenUsed/>
    <w:rsid w:val="00724839"/>
    <w:pPr>
      <w:tabs>
        <w:tab w:val="center" w:pos="4513"/>
        <w:tab w:val="right" w:pos="9026"/>
      </w:tabs>
      <w:spacing w:before="0" w:line="240" w:lineRule="auto"/>
    </w:pPr>
  </w:style>
  <w:style w:type="character" w:customStyle="1" w:styleId="HeaderChar">
    <w:name w:val="Header Char"/>
    <w:basedOn w:val="DefaultParagraphFont"/>
    <w:link w:val="Header"/>
    <w:rsid w:val="00724839"/>
  </w:style>
  <w:style w:type="character" w:styleId="CommentReference">
    <w:name w:val="annotation reference"/>
    <w:basedOn w:val="DefaultParagraphFont"/>
    <w:semiHidden/>
    <w:unhideWhenUsed/>
    <w:rsid w:val="00C415FA"/>
    <w:rPr>
      <w:sz w:val="16"/>
      <w:szCs w:val="16"/>
    </w:rPr>
  </w:style>
  <w:style w:type="paragraph" w:styleId="CommentText">
    <w:name w:val="annotation text"/>
    <w:basedOn w:val="Normal"/>
    <w:link w:val="CommentTextChar"/>
    <w:semiHidden/>
    <w:unhideWhenUsed/>
    <w:rsid w:val="00C415FA"/>
    <w:pPr>
      <w:spacing w:line="240" w:lineRule="auto"/>
    </w:pPr>
    <w:rPr>
      <w:sz w:val="20"/>
      <w:szCs w:val="20"/>
    </w:rPr>
  </w:style>
  <w:style w:type="character" w:customStyle="1" w:styleId="CommentTextChar">
    <w:name w:val="Comment Text Char"/>
    <w:basedOn w:val="DefaultParagraphFont"/>
    <w:link w:val="CommentText"/>
    <w:semiHidden/>
    <w:rsid w:val="00C415FA"/>
    <w:rPr>
      <w:sz w:val="20"/>
      <w:szCs w:val="20"/>
    </w:rPr>
  </w:style>
  <w:style w:type="paragraph" w:styleId="CommentSubject">
    <w:name w:val="annotation subject"/>
    <w:basedOn w:val="CommentText"/>
    <w:next w:val="CommentText"/>
    <w:link w:val="CommentSubjectChar"/>
    <w:semiHidden/>
    <w:unhideWhenUsed/>
    <w:rsid w:val="00C415FA"/>
    <w:rPr>
      <w:b/>
      <w:bCs/>
    </w:rPr>
  </w:style>
  <w:style w:type="character" w:customStyle="1" w:styleId="CommentSubjectChar">
    <w:name w:val="Comment Subject Char"/>
    <w:basedOn w:val="CommentTextChar"/>
    <w:link w:val="CommentSubject"/>
    <w:semiHidden/>
    <w:rsid w:val="00C415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40168">
      <w:bodyDiv w:val="1"/>
      <w:marLeft w:val="0"/>
      <w:marRight w:val="0"/>
      <w:marTop w:val="0"/>
      <w:marBottom w:val="0"/>
      <w:divBdr>
        <w:top w:val="none" w:sz="0" w:space="0" w:color="auto"/>
        <w:left w:val="none" w:sz="0" w:space="0" w:color="auto"/>
        <w:bottom w:val="none" w:sz="0" w:space="0" w:color="auto"/>
        <w:right w:val="none" w:sz="0" w:space="0" w:color="auto"/>
      </w:divBdr>
    </w:div>
    <w:div w:id="194657035">
      <w:bodyDiv w:val="1"/>
      <w:marLeft w:val="0"/>
      <w:marRight w:val="0"/>
      <w:marTop w:val="0"/>
      <w:marBottom w:val="0"/>
      <w:divBdr>
        <w:top w:val="none" w:sz="0" w:space="0" w:color="auto"/>
        <w:left w:val="none" w:sz="0" w:space="0" w:color="auto"/>
        <w:bottom w:val="none" w:sz="0" w:space="0" w:color="auto"/>
        <w:right w:val="none" w:sz="0" w:space="0" w:color="auto"/>
      </w:divBdr>
    </w:div>
    <w:div w:id="275718700">
      <w:bodyDiv w:val="1"/>
      <w:marLeft w:val="0"/>
      <w:marRight w:val="0"/>
      <w:marTop w:val="0"/>
      <w:marBottom w:val="0"/>
      <w:divBdr>
        <w:top w:val="none" w:sz="0" w:space="0" w:color="auto"/>
        <w:left w:val="none" w:sz="0" w:space="0" w:color="auto"/>
        <w:bottom w:val="none" w:sz="0" w:space="0" w:color="auto"/>
        <w:right w:val="none" w:sz="0" w:space="0" w:color="auto"/>
      </w:divBdr>
    </w:div>
    <w:div w:id="288627740">
      <w:bodyDiv w:val="1"/>
      <w:marLeft w:val="0"/>
      <w:marRight w:val="0"/>
      <w:marTop w:val="0"/>
      <w:marBottom w:val="0"/>
      <w:divBdr>
        <w:top w:val="none" w:sz="0" w:space="0" w:color="auto"/>
        <w:left w:val="none" w:sz="0" w:space="0" w:color="auto"/>
        <w:bottom w:val="none" w:sz="0" w:space="0" w:color="auto"/>
        <w:right w:val="none" w:sz="0" w:space="0" w:color="auto"/>
      </w:divBdr>
    </w:div>
    <w:div w:id="513499236">
      <w:bodyDiv w:val="1"/>
      <w:marLeft w:val="0"/>
      <w:marRight w:val="0"/>
      <w:marTop w:val="0"/>
      <w:marBottom w:val="0"/>
      <w:divBdr>
        <w:top w:val="none" w:sz="0" w:space="0" w:color="auto"/>
        <w:left w:val="none" w:sz="0" w:space="0" w:color="auto"/>
        <w:bottom w:val="none" w:sz="0" w:space="0" w:color="auto"/>
        <w:right w:val="none" w:sz="0" w:space="0" w:color="auto"/>
      </w:divBdr>
    </w:div>
    <w:div w:id="515772241">
      <w:bodyDiv w:val="1"/>
      <w:marLeft w:val="0"/>
      <w:marRight w:val="0"/>
      <w:marTop w:val="0"/>
      <w:marBottom w:val="0"/>
      <w:divBdr>
        <w:top w:val="none" w:sz="0" w:space="0" w:color="auto"/>
        <w:left w:val="none" w:sz="0" w:space="0" w:color="auto"/>
        <w:bottom w:val="none" w:sz="0" w:space="0" w:color="auto"/>
        <w:right w:val="none" w:sz="0" w:space="0" w:color="auto"/>
      </w:divBdr>
      <w:divsChild>
        <w:div w:id="845289568">
          <w:marLeft w:val="850"/>
          <w:marRight w:val="0"/>
          <w:marTop w:val="0"/>
          <w:marBottom w:val="0"/>
          <w:divBdr>
            <w:top w:val="none" w:sz="0" w:space="0" w:color="auto"/>
            <w:left w:val="none" w:sz="0" w:space="0" w:color="auto"/>
            <w:bottom w:val="none" w:sz="0" w:space="0" w:color="auto"/>
            <w:right w:val="none" w:sz="0" w:space="0" w:color="auto"/>
          </w:divBdr>
        </w:div>
        <w:div w:id="930965612">
          <w:marLeft w:val="850"/>
          <w:marRight w:val="0"/>
          <w:marTop w:val="0"/>
          <w:marBottom w:val="0"/>
          <w:divBdr>
            <w:top w:val="none" w:sz="0" w:space="0" w:color="auto"/>
            <w:left w:val="none" w:sz="0" w:space="0" w:color="auto"/>
            <w:bottom w:val="none" w:sz="0" w:space="0" w:color="auto"/>
            <w:right w:val="none" w:sz="0" w:space="0" w:color="auto"/>
          </w:divBdr>
        </w:div>
        <w:div w:id="1720007632">
          <w:marLeft w:val="850"/>
          <w:marRight w:val="0"/>
          <w:marTop w:val="0"/>
          <w:marBottom w:val="0"/>
          <w:divBdr>
            <w:top w:val="none" w:sz="0" w:space="0" w:color="auto"/>
            <w:left w:val="none" w:sz="0" w:space="0" w:color="auto"/>
            <w:bottom w:val="none" w:sz="0" w:space="0" w:color="auto"/>
            <w:right w:val="none" w:sz="0" w:space="0" w:color="auto"/>
          </w:divBdr>
        </w:div>
      </w:divsChild>
    </w:div>
    <w:div w:id="552620378">
      <w:bodyDiv w:val="1"/>
      <w:marLeft w:val="0"/>
      <w:marRight w:val="0"/>
      <w:marTop w:val="0"/>
      <w:marBottom w:val="0"/>
      <w:divBdr>
        <w:top w:val="none" w:sz="0" w:space="0" w:color="auto"/>
        <w:left w:val="none" w:sz="0" w:space="0" w:color="auto"/>
        <w:bottom w:val="none" w:sz="0" w:space="0" w:color="auto"/>
        <w:right w:val="none" w:sz="0" w:space="0" w:color="auto"/>
      </w:divBdr>
    </w:div>
    <w:div w:id="606809069">
      <w:bodyDiv w:val="1"/>
      <w:marLeft w:val="0"/>
      <w:marRight w:val="0"/>
      <w:marTop w:val="0"/>
      <w:marBottom w:val="0"/>
      <w:divBdr>
        <w:top w:val="none" w:sz="0" w:space="0" w:color="auto"/>
        <w:left w:val="none" w:sz="0" w:space="0" w:color="auto"/>
        <w:bottom w:val="none" w:sz="0" w:space="0" w:color="auto"/>
        <w:right w:val="none" w:sz="0" w:space="0" w:color="auto"/>
      </w:divBdr>
    </w:div>
    <w:div w:id="929045713">
      <w:bodyDiv w:val="1"/>
      <w:marLeft w:val="0"/>
      <w:marRight w:val="0"/>
      <w:marTop w:val="0"/>
      <w:marBottom w:val="0"/>
      <w:divBdr>
        <w:top w:val="none" w:sz="0" w:space="0" w:color="auto"/>
        <w:left w:val="none" w:sz="0" w:space="0" w:color="auto"/>
        <w:bottom w:val="none" w:sz="0" w:space="0" w:color="auto"/>
        <w:right w:val="none" w:sz="0" w:space="0" w:color="auto"/>
      </w:divBdr>
    </w:div>
    <w:div w:id="1092163054">
      <w:bodyDiv w:val="1"/>
      <w:marLeft w:val="0"/>
      <w:marRight w:val="0"/>
      <w:marTop w:val="0"/>
      <w:marBottom w:val="0"/>
      <w:divBdr>
        <w:top w:val="none" w:sz="0" w:space="0" w:color="auto"/>
        <w:left w:val="none" w:sz="0" w:space="0" w:color="auto"/>
        <w:bottom w:val="none" w:sz="0" w:space="0" w:color="auto"/>
        <w:right w:val="none" w:sz="0" w:space="0" w:color="auto"/>
      </w:divBdr>
    </w:div>
    <w:div w:id="1122528911">
      <w:bodyDiv w:val="1"/>
      <w:marLeft w:val="0"/>
      <w:marRight w:val="0"/>
      <w:marTop w:val="0"/>
      <w:marBottom w:val="0"/>
      <w:divBdr>
        <w:top w:val="none" w:sz="0" w:space="0" w:color="auto"/>
        <w:left w:val="none" w:sz="0" w:space="0" w:color="auto"/>
        <w:bottom w:val="none" w:sz="0" w:space="0" w:color="auto"/>
        <w:right w:val="none" w:sz="0" w:space="0" w:color="auto"/>
      </w:divBdr>
      <w:divsChild>
        <w:div w:id="432550669">
          <w:marLeft w:val="1426"/>
          <w:marRight w:val="0"/>
          <w:marTop w:val="0"/>
          <w:marBottom w:val="0"/>
          <w:divBdr>
            <w:top w:val="none" w:sz="0" w:space="0" w:color="auto"/>
            <w:left w:val="none" w:sz="0" w:space="0" w:color="auto"/>
            <w:bottom w:val="none" w:sz="0" w:space="0" w:color="auto"/>
            <w:right w:val="none" w:sz="0" w:space="0" w:color="auto"/>
          </w:divBdr>
        </w:div>
        <w:div w:id="802889351">
          <w:marLeft w:val="547"/>
          <w:marRight w:val="0"/>
          <w:marTop w:val="0"/>
          <w:marBottom w:val="0"/>
          <w:divBdr>
            <w:top w:val="none" w:sz="0" w:space="0" w:color="auto"/>
            <w:left w:val="none" w:sz="0" w:space="0" w:color="auto"/>
            <w:bottom w:val="none" w:sz="0" w:space="0" w:color="auto"/>
            <w:right w:val="none" w:sz="0" w:space="0" w:color="auto"/>
          </w:divBdr>
        </w:div>
        <w:div w:id="878274818">
          <w:marLeft w:val="1138"/>
          <w:marRight w:val="0"/>
          <w:marTop w:val="0"/>
          <w:marBottom w:val="0"/>
          <w:divBdr>
            <w:top w:val="none" w:sz="0" w:space="0" w:color="auto"/>
            <w:left w:val="none" w:sz="0" w:space="0" w:color="auto"/>
            <w:bottom w:val="none" w:sz="0" w:space="0" w:color="auto"/>
            <w:right w:val="none" w:sz="0" w:space="0" w:color="auto"/>
          </w:divBdr>
        </w:div>
        <w:div w:id="1073505193">
          <w:marLeft w:val="547"/>
          <w:marRight w:val="0"/>
          <w:marTop w:val="0"/>
          <w:marBottom w:val="0"/>
          <w:divBdr>
            <w:top w:val="none" w:sz="0" w:space="0" w:color="auto"/>
            <w:left w:val="none" w:sz="0" w:space="0" w:color="auto"/>
            <w:bottom w:val="none" w:sz="0" w:space="0" w:color="auto"/>
            <w:right w:val="none" w:sz="0" w:space="0" w:color="auto"/>
          </w:divBdr>
        </w:div>
        <w:div w:id="1085806489">
          <w:marLeft w:val="547"/>
          <w:marRight w:val="0"/>
          <w:marTop w:val="0"/>
          <w:marBottom w:val="0"/>
          <w:divBdr>
            <w:top w:val="none" w:sz="0" w:space="0" w:color="auto"/>
            <w:left w:val="none" w:sz="0" w:space="0" w:color="auto"/>
            <w:bottom w:val="none" w:sz="0" w:space="0" w:color="auto"/>
            <w:right w:val="none" w:sz="0" w:space="0" w:color="auto"/>
          </w:divBdr>
        </w:div>
        <w:div w:id="1176727221">
          <w:marLeft w:val="1138"/>
          <w:marRight w:val="0"/>
          <w:marTop w:val="0"/>
          <w:marBottom w:val="0"/>
          <w:divBdr>
            <w:top w:val="none" w:sz="0" w:space="0" w:color="auto"/>
            <w:left w:val="none" w:sz="0" w:space="0" w:color="auto"/>
            <w:bottom w:val="none" w:sz="0" w:space="0" w:color="auto"/>
            <w:right w:val="none" w:sz="0" w:space="0" w:color="auto"/>
          </w:divBdr>
        </w:div>
        <w:div w:id="1217623772">
          <w:marLeft w:val="547"/>
          <w:marRight w:val="0"/>
          <w:marTop w:val="0"/>
          <w:marBottom w:val="0"/>
          <w:divBdr>
            <w:top w:val="none" w:sz="0" w:space="0" w:color="auto"/>
            <w:left w:val="none" w:sz="0" w:space="0" w:color="auto"/>
            <w:bottom w:val="none" w:sz="0" w:space="0" w:color="auto"/>
            <w:right w:val="none" w:sz="0" w:space="0" w:color="auto"/>
          </w:divBdr>
        </w:div>
        <w:div w:id="1381780309">
          <w:marLeft w:val="547"/>
          <w:marRight w:val="0"/>
          <w:marTop w:val="0"/>
          <w:marBottom w:val="0"/>
          <w:divBdr>
            <w:top w:val="none" w:sz="0" w:space="0" w:color="auto"/>
            <w:left w:val="none" w:sz="0" w:space="0" w:color="auto"/>
            <w:bottom w:val="none" w:sz="0" w:space="0" w:color="auto"/>
            <w:right w:val="none" w:sz="0" w:space="0" w:color="auto"/>
          </w:divBdr>
        </w:div>
        <w:div w:id="1452088634">
          <w:marLeft w:val="1426"/>
          <w:marRight w:val="0"/>
          <w:marTop w:val="0"/>
          <w:marBottom w:val="0"/>
          <w:divBdr>
            <w:top w:val="none" w:sz="0" w:space="0" w:color="auto"/>
            <w:left w:val="none" w:sz="0" w:space="0" w:color="auto"/>
            <w:bottom w:val="none" w:sz="0" w:space="0" w:color="auto"/>
            <w:right w:val="none" w:sz="0" w:space="0" w:color="auto"/>
          </w:divBdr>
        </w:div>
        <w:div w:id="1761096633">
          <w:marLeft w:val="547"/>
          <w:marRight w:val="0"/>
          <w:marTop w:val="0"/>
          <w:marBottom w:val="0"/>
          <w:divBdr>
            <w:top w:val="none" w:sz="0" w:space="0" w:color="auto"/>
            <w:left w:val="none" w:sz="0" w:space="0" w:color="auto"/>
            <w:bottom w:val="none" w:sz="0" w:space="0" w:color="auto"/>
            <w:right w:val="none" w:sz="0" w:space="0" w:color="auto"/>
          </w:divBdr>
        </w:div>
        <w:div w:id="2010524266">
          <w:marLeft w:val="547"/>
          <w:marRight w:val="0"/>
          <w:marTop w:val="0"/>
          <w:marBottom w:val="0"/>
          <w:divBdr>
            <w:top w:val="none" w:sz="0" w:space="0" w:color="auto"/>
            <w:left w:val="none" w:sz="0" w:space="0" w:color="auto"/>
            <w:bottom w:val="none" w:sz="0" w:space="0" w:color="auto"/>
            <w:right w:val="none" w:sz="0" w:space="0" w:color="auto"/>
          </w:divBdr>
        </w:div>
        <w:div w:id="2029674634">
          <w:marLeft w:val="547"/>
          <w:marRight w:val="0"/>
          <w:marTop w:val="0"/>
          <w:marBottom w:val="0"/>
          <w:divBdr>
            <w:top w:val="none" w:sz="0" w:space="0" w:color="auto"/>
            <w:left w:val="none" w:sz="0" w:space="0" w:color="auto"/>
            <w:bottom w:val="none" w:sz="0" w:space="0" w:color="auto"/>
            <w:right w:val="none" w:sz="0" w:space="0" w:color="auto"/>
          </w:divBdr>
        </w:div>
        <w:div w:id="2109815779">
          <w:marLeft w:val="547"/>
          <w:marRight w:val="0"/>
          <w:marTop w:val="0"/>
          <w:marBottom w:val="0"/>
          <w:divBdr>
            <w:top w:val="none" w:sz="0" w:space="0" w:color="auto"/>
            <w:left w:val="none" w:sz="0" w:space="0" w:color="auto"/>
            <w:bottom w:val="none" w:sz="0" w:space="0" w:color="auto"/>
            <w:right w:val="none" w:sz="0" w:space="0" w:color="auto"/>
          </w:divBdr>
        </w:div>
        <w:div w:id="2121096714">
          <w:marLeft w:val="547"/>
          <w:marRight w:val="0"/>
          <w:marTop w:val="0"/>
          <w:marBottom w:val="0"/>
          <w:divBdr>
            <w:top w:val="none" w:sz="0" w:space="0" w:color="auto"/>
            <w:left w:val="none" w:sz="0" w:space="0" w:color="auto"/>
            <w:bottom w:val="none" w:sz="0" w:space="0" w:color="auto"/>
            <w:right w:val="none" w:sz="0" w:space="0" w:color="auto"/>
          </w:divBdr>
        </w:div>
      </w:divsChild>
    </w:div>
    <w:div w:id="1159033655">
      <w:bodyDiv w:val="1"/>
      <w:marLeft w:val="0"/>
      <w:marRight w:val="0"/>
      <w:marTop w:val="0"/>
      <w:marBottom w:val="0"/>
      <w:divBdr>
        <w:top w:val="none" w:sz="0" w:space="0" w:color="auto"/>
        <w:left w:val="none" w:sz="0" w:space="0" w:color="auto"/>
        <w:bottom w:val="none" w:sz="0" w:space="0" w:color="auto"/>
        <w:right w:val="none" w:sz="0" w:space="0" w:color="auto"/>
      </w:divBdr>
    </w:div>
    <w:div w:id="1214580668">
      <w:bodyDiv w:val="1"/>
      <w:marLeft w:val="0"/>
      <w:marRight w:val="0"/>
      <w:marTop w:val="0"/>
      <w:marBottom w:val="0"/>
      <w:divBdr>
        <w:top w:val="none" w:sz="0" w:space="0" w:color="auto"/>
        <w:left w:val="none" w:sz="0" w:space="0" w:color="auto"/>
        <w:bottom w:val="none" w:sz="0" w:space="0" w:color="auto"/>
        <w:right w:val="none" w:sz="0" w:space="0" w:color="auto"/>
      </w:divBdr>
    </w:div>
    <w:div w:id="1235700577">
      <w:bodyDiv w:val="1"/>
      <w:marLeft w:val="0"/>
      <w:marRight w:val="0"/>
      <w:marTop w:val="0"/>
      <w:marBottom w:val="0"/>
      <w:divBdr>
        <w:top w:val="none" w:sz="0" w:space="0" w:color="auto"/>
        <w:left w:val="none" w:sz="0" w:space="0" w:color="auto"/>
        <w:bottom w:val="none" w:sz="0" w:space="0" w:color="auto"/>
        <w:right w:val="none" w:sz="0" w:space="0" w:color="auto"/>
      </w:divBdr>
    </w:div>
    <w:div w:id="1317609265">
      <w:bodyDiv w:val="1"/>
      <w:marLeft w:val="0"/>
      <w:marRight w:val="0"/>
      <w:marTop w:val="0"/>
      <w:marBottom w:val="0"/>
      <w:divBdr>
        <w:top w:val="none" w:sz="0" w:space="0" w:color="auto"/>
        <w:left w:val="none" w:sz="0" w:space="0" w:color="auto"/>
        <w:bottom w:val="none" w:sz="0" w:space="0" w:color="auto"/>
        <w:right w:val="none" w:sz="0" w:space="0" w:color="auto"/>
      </w:divBdr>
    </w:div>
    <w:div w:id="1501582596">
      <w:bodyDiv w:val="1"/>
      <w:marLeft w:val="0"/>
      <w:marRight w:val="0"/>
      <w:marTop w:val="0"/>
      <w:marBottom w:val="0"/>
      <w:divBdr>
        <w:top w:val="none" w:sz="0" w:space="0" w:color="auto"/>
        <w:left w:val="none" w:sz="0" w:space="0" w:color="auto"/>
        <w:bottom w:val="none" w:sz="0" w:space="0" w:color="auto"/>
        <w:right w:val="none" w:sz="0" w:space="0" w:color="auto"/>
      </w:divBdr>
    </w:div>
    <w:div w:id="1884554368">
      <w:bodyDiv w:val="1"/>
      <w:marLeft w:val="0"/>
      <w:marRight w:val="0"/>
      <w:marTop w:val="0"/>
      <w:marBottom w:val="0"/>
      <w:divBdr>
        <w:top w:val="none" w:sz="0" w:space="0" w:color="auto"/>
        <w:left w:val="none" w:sz="0" w:space="0" w:color="auto"/>
        <w:bottom w:val="none" w:sz="0" w:space="0" w:color="auto"/>
        <w:right w:val="none" w:sz="0" w:space="0" w:color="auto"/>
      </w:divBdr>
    </w:div>
    <w:div w:id="1892573148">
      <w:bodyDiv w:val="1"/>
      <w:marLeft w:val="0"/>
      <w:marRight w:val="0"/>
      <w:marTop w:val="0"/>
      <w:marBottom w:val="0"/>
      <w:divBdr>
        <w:top w:val="none" w:sz="0" w:space="0" w:color="auto"/>
        <w:left w:val="none" w:sz="0" w:space="0" w:color="auto"/>
        <w:bottom w:val="none" w:sz="0" w:space="0" w:color="auto"/>
        <w:right w:val="none" w:sz="0" w:space="0" w:color="auto"/>
      </w:divBdr>
    </w:div>
    <w:div w:id="2021352261">
      <w:bodyDiv w:val="1"/>
      <w:marLeft w:val="0"/>
      <w:marRight w:val="0"/>
      <w:marTop w:val="0"/>
      <w:marBottom w:val="0"/>
      <w:divBdr>
        <w:top w:val="none" w:sz="0" w:space="0" w:color="auto"/>
        <w:left w:val="none" w:sz="0" w:space="0" w:color="auto"/>
        <w:bottom w:val="none" w:sz="0" w:space="0" w:color="auto"/>
        <w:right w:val="none" w:sz="0" w:space="0" w:color="auto"/>
      </w:divBdr>
    </w:div>
    <w:div w:id="2057585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18" Type="http://schemas.openxmlformats.org/officeDocument/2006/relationships/footer" Target="footer1.xml"/><Relationship Id="rId26" Type="http://schemas.openxmlformats.org/officeDocument/2006/relationships/footer" Target="footer4.xml"/><Relationship Id="rId39" Type="http://schemas.openxmlformats.org/officeDocument/2006/relationships/oleObject" Target="embeddings/oleObject3.bin"/><Relationship Id="rId21" Type="http://schemas.openxmlformats.org/officeDocument/2006/relationships/image" Target="media/image5.png"/><Relationship Id="rId34" Type="http://schemas.openxmlformats.org/officeDocument/2006/relationships/image" Target="media/image15.png"/><Relationship Id="rId42" Type="http://schemas.openxmlformats.org/officeDocument/2006/relationships/oleObject" Target="embeddings/oleObject4.bin"/><Relationship Id="rId47" Type="http://schemas.openxmlformats.org/officeDocument/2006/relationships/image" Target="media/image24.emf"/><Relationship Id="rId50" Type="http://schemas.openxmlformats.org/officeDocument/2006/relationships/header" Target="header4.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1.png"/><Relationship Id="rId11"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24" Type="http://schemas.openxmlformats.org/officeDocument/2006/relationships/image" Target="media/image8.png"/><Relationship Id="rId32" Type="http://schemas.openxmlformats.org/officeDocument/2006/relationships/image" Target="media/image14.emf"/><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oleObject" Target="embeddings/oleObject5.bin"/><Relationship Id="rId53" Type="http://schemas.openxmlformats.org/officeDocument/2006/relationships/footer" Target="footer7.xml"/><Relationship Id="rId5" Type="http://schemas.openxmlformats.org/officeDocument/2006/relationships/webSettings" Target="webSettings.xml"/><Relationship Id="rId10"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19"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2.emf"/><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14"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emf"/><Relationship Id="rId43" Type="http://schemas.openxmlformats.org/officeDocument/2006/relationships/image" Target="media/image21.png"/><Relationship Id="rId48" Type="http://schemas.openxmlformats.org/officeDocument/2006/relationships/oleObject" Target="embeddings/oleObject6.bin"/><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17" Type="http://schemas.openxmlformats.org/officeDocument/2006/relationships/header" Target="header2.xml"/><Relationship Id="rId25" Type="http://schemas.openxmlformats.org/officeDocument/2006/relationships/footer" Target="footer3.xml"/><Relationship Id="rId33" Type="http://schemas.openxmlformats.org/officeDocument/2006/relationships/oleObject" Target="embeddings/oleObject1.bin"/><Relationship Id="rId38" Type="http://schemas.openxmlformats.org/officeDocument/2006/relationships/image" Target="media/image18.emf"/><Relationship Id="rId46" Type="http://schemas.openxmlformats.org/officeDocument/2006/relationships/image" Target="media/image23.png"/><Relationship Id="rId20" Type="http://schemas.openxmlformats.org/officeDocument/2006/relationships/image" Target="media/image4.png"/><Relationship Id="rId41" Type="http://schemas.openxmlformats.org/officeDocument/2006/relationships/image" Target="media/image20.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vpa-fs1\drafts$\Projects%20-%20Urban%20Renewal\Monash%20NEC\4.%20Meetings%20&amp;%20Consultation\Consultation\Framework%20Plan%20Exhibition\Website\MNEIC%20Framework%20Plan%20accessible%20word%20document.docx"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oleObject" Target="embeddings/oleObject2.bin"/><Relationship Id="rId49" Type="http://schemas.openxmlformats.org/officeDocument/2006/relationships/header" Target="head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7.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vpa-fs1\software$\Microsoft\Templates\13%20PSP%20Portrait%20Report.dotm" TargetMode="External"/></Relationships>
</file>

<file path=word/theme/theme1.xml><?xml version="1.0" encoding="utf-8"?>
<a:theme xmlns:a="http://schemas.openxmlformats.org/drawingml/2006/main" name="MPA">
  <a:themeElements>
    <a:clrScheme name="VPA">
      <a:dk1>
        <a:sysClr val="windowText" lastClr="000000"/>
      </a:dk1>
      <a:lt1>
        <a:sysClr val="window" lastClr="FFFFFF"/>
      </a:lt1>
      <a:dk2>
        <a:srgbClr val="003C74"/>
      </a:dk2>
      <a:lt2>
        <a:srgbClr val="E7E6E6"/>
      </a:lt2>
      <a:accent1>
        <a:srgbClr val="005EA1"/>
      </a:accent1>
      <a:accent2>
        <a:srgbClr val="008BD2"/>
      </a:accent2>
      <a:accent3>
        <a:srgbClr val="95C11F"/>
      </a:accent3>
      <a:accent4>
        <a:srgbClr val="9CA0A3"/>
      </a:accent4>
      <a:accent5>
        <a:srgbClr val="4CA22F"/>
      </a:accent5>
      <a:accent6>
        <a:srgbClr val="63B9E9"/>
      </a:accent6>
      <a:hlink>
        <a:srgbClr val="00B0F0"/>
      </a:hlink>
      <a:folHlink>
        <a:srgbClr val="7030A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9518A1-FF0C-4A52-AAA8-805615B61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 PSP Portrait Report</Template>
  <TotalTime>0</TotalTime>
  <Pages>39</Pages>
  <Words>5947</Words>
  <Characters>33901</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39769</CharactersWithSpaces>
  <SharedDoc>false</SharedDoc>
  <HLinks>
    <vt:vector size="6" baseType="variant">
      <vt:variant>
        <vt:i4>1900595</vt:i4>
      </vt:variant>
      <vt:variant>
        <vt:i4>2</vt:i4>
      </vt:variant>
      <vt:variant>
        <vt:i4>0</vt:i4>
      </vt:variant>
      <vt:variant>
        <vt:i4>5</vt:i4>
      </vt:variant>
      <vt:variant>
        <vt:lpwstr/>
      </vt:variant>
      <vt:variant>
        <vt:lpwstr>_Toc286321508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Spillane</dc:creator>
  <cp:keywords/>
  <dc:description/>
  <cp:lastModifiedBy>Hannah Carrodus</cp:lastModifiedBy>
  <cp:revision>2</cp:revision>
  <cp:lastPrinted>2015-12-22T05:31:00Z</cp:lastPrinted>
  <dcterms:created xsi:type="dcterms:W3CDTF">2017-03-21T23:59:00Z</dcterms:created>
  <dcterms:modified xsi:type="dcterms:W3CDTF">2017-03-21T23:59:00Z</dcterms:modified>
</cp:coreProperties>
</file>