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364" w:rsidRPr="00024F84" w:rsidRDefault="00956508" w:rsidP="00937364">
      <w:pPr>
        <w:pBdr>
          <w:bottom w:val="single" w:sz="4" w:space="1" w:color="005EA1" w:themeColor="accent1"/>
        </w:pBdr>
        <w:spacing w:before="6000"/>
        <w:jc w:val="right"/>
        <w:rPr>
          <w:rFonts w:asciiTheme="minorHAnsi" w:hAnsiTheme="minorHAnsi"/>
          <w:color w:val="9CA0A3" w:themeColor="accent4"/>
          <w:sz w:val="52"/>
          <w:szCs w:val="76"/>
        </w:rPr>
      </w:pPr>
      <w:r w:rsidRPr="00024F84">
        <w:rPr>
          <w:rFonts w:asciiTheme="minorHAnsi" w:hAnsiTheme="minorHAnsi"/>
          <w:color w:val="9CA0A3" w:themeColor="accent4"/>
          <w:sz w:val="52"/>
          <w:szCs w:val="76"/>
        </w:rPr>
        <w:t>PSP 74 &amp; 75 Sunbury South &amp; Lancefield Road</w:t>
      </w:r>
    </w:p>
    <w:p w:rsidR="00937364" w:rsidRPr="00024F84" w:rsidRDefault="00937364" w:rsidP="00937364">
      <w:pPr>
        <w:jc w:val="right"/>
        <w:rPr>
          <w:rFonts w:asciiTheme="minorHAnsi" w:hAnsiTheme="minorHAnsi"/>
          <w:color w:val="008BD2" w:themeColor="accent2"/>
          <w:sz w:val="40"/>
          <w:szCs w:val="40"/>
        </w:rPr>
      </w:pPr>
      <w:r w:rsidRPr="00024F84">
        <w:rPr>
          <w:rFonts w:asciiTheme="minorHAnsi" w:hAnsiTheme="minorHAnsi"/>
          <w:noProof/>
          <w:color w:val="9CA0A3" w:themeColor="accent4"/>
          <w:sz w:val="28"/>
          <w:szCs w:val="28"/>
        </w:rPr>
        <w:drawing>
          <wp:inline distT="0" distB="0" distL="0" distR="0" wp14:anchorId="348004C5" wp14:editId="2E43D129">
            <wp:extent cx="1629187" cy="666301"/>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rsidR="00937364" w:rsidRPr="00024F84" w:rsidRDefault="004A1F7E" w:rsidP="00937364">
      <w:pPr>
        <w:jc w:val="right"/>
        <w:rPr>
          <w:rFonts w:asciiTheme="minorHAnsi" w:hAnsiTheme="minorHAnsi"/>
          <w:color w:val="008BD2" w:themeColor="accent2"/>
          <w:sz w:val="32"/>
          <w:szCs w:val="32"/>
        </w:rPr>
      </w:pPr>
      <w:r w:rsidRPr="00024F84">
        <w:rPr>
          <w:rFonts w:asciiTheme="minorHAnsi" w:hAnsiTheme="minorHAnsi"/>
          <w:color w:val="008BD2" w:themeColor="accent2"/>
          <w:sz w:val="32"/>
          <w:szCs w:val="32"/>
        </w:rPr>
        <w:t>Amendments C207 and C208 to the Hume Planning Scheme</w:t>
      </w:r>
    </w:p>
    <w:p w:rsidR="00AA0774" w:rsidRPr="00024F84" w:rsidRDefault="007B39C2" w:rsidP="00AA0774">
      <w:pPr>
        <w:jc w:val="right"/>
        <w:rPr>
          <w:rFonts w:asciiTheme="minorHAnsi" w:hAnsiTheme="minorHAnsi"/>
          <w:color w:val="008BD2" w:themeColor="accent2"/>
          <w:sz w:val="32"/>
          <w:szCs w:val="32"/>
        </w:rPr>
      </w:pPr>
      <w:r>
        <w:rPr>
          <w:rFonts w:asciiTheme="minorHAnsi" w:hAnsiTheme="minorHAnsi"/>
          <w:color w:val="008BD2" w:themeColor="accent2"/>
          <w:sz w:val="32"/>
          <w:szCs w:val="32"/>
        </w:rPr>
        <w:t>Response to Panel Queries</w:t>
      </w:r>
      <w:r w:rsidR="00744C1A">
        <w:rPr>
          <w:rFonts w:asciiTheme="minorHAnsi" w:hAnsiTheme="minorHAnsi"/>
          <w:color w:val="008BD2" w:themeColor="accent2"/>
          <w:sz w:val="32"/>
          <w:szCs w:val="32"/>
        </w:rPr>
        <w:t xml:space="preserve"> </w:t>
      </w:r>
      <w:r w:rsidR="003057DD">
        <w:rPr>
          <w:rFonts w:asciiTheme="minorHAnsi" w:hAnsiTheme="minorHAnsi"/>
          <w:color w:val="008BD2" w:themeColor="accent2"/>
          <w:sz w:val="32"/>
          <w:szCs w:val="32"/>
        </w:rPr>
        <w:t>–</w:t>
      </w:r>
      <w:r w:rsidR="00744C1A">
        <w:rPr>
          <w:rFonts w:asciiTheme="minorHAnsi" w:hAnsiTheme="minorHAnsi"/>
          <w:color w:val="008BD2" w:themeColor="accent2"/>
          <w:sz w:val="32"/>
          <w:szCs w:val="32"/>
        </w:rPr>
        <w:t xml:space="preserve"> </w:t>
      </w:r>
      <w:r w:rsidR="003057DD">
        <w:rPr>
          <w:rFonts w:asciiTheme="minorHAnsi" w:hAnsiTheme="minorHAnsi"/>
          <w:color w:val="008BD2" w:themeColor="accent2"/>
          <w:sz w:val="32"/>
          <w:szCs w:val="32"/>
        </w:rPr>
        <w:t>Week 1</w:t>
      </w:r>
      <w:r w:rsidR="00AA0774" w:rsidRPr="00024F84">
        <w:rPr>
          <w:rFonts w:asciiTheme="minorHAnsi" w:hAnsiTheme="minorHAnsi"/>
          <w:color w:val="008BD2" w:themeColor="accent2"/>
          <w:sz w:val="32"/>
          <w:szCs w:val="32"/>
        </w:rPr>
        <w:t xml:space="preserve"> </w:t>
      </w:r>
    </w:p>
    <w:p w:rsidR="00937364" w:rsidRPr="00024F84" w:rsidRDefault="000C5BEE" w:rsidP="00937364">
      <w:pPr>
        <w:jc w:val="right"/>
        <w:rPr>
          <w:rFonts w:asciiTheme="minorHAnsi" w:hAnsiTheme="minorHAnsi"/>
          <w:color w:val="9CA0A3" w:themeColor="accent4"/>
        </w:rPr>
      </w:pPr>
      <w:r>
        <w:rPr>
          <w:rFonts w:asciiTheme="minorHAnsi" w:hAnsiTheme="minorHAnsi"/>
          <w:color w:val="9CA0A3" w:themeColor="accent4"/>
          <w:sz w:val="28"/>
          <w:szCs w:val="28"/>
        </w:rPr>
        <w:t xml:space="preserve">4 </w:t>
      </w:r>
      <w:r w:rsidR="007B39C2">
        <w:rPr>
          <w:rFonts w:asciiTheme="minorHAnsi" w:hAnsiTheme="minorHAnsi"/>
          <w:color w:val="9CA0A3" w:themeColor="accent4"/>
          <w:sz w:val="28"/>
          <w:szCs w:val="28"/>
        </w:rPr>
        <w:t>September</w:t>
      </w:r>
      <w:r w:rsidR="00956508" w:rsidRPr="00024F84">
        <w:rPr>
          <w:rFonts w:asciiTheme="minorHAnsi" w:hAnsiTheme="minorHAnsi"/>
          <w:color w:val="9CA0A3" w:themeColor="accent4"/>
          <w:sz w:val="28"/>
          <w:szCs w:val="28"/>
        </w:rPr>
        <w:t xml:space="preserve"> 2017</w:t>
      </w:r>
    </w:p>
    <w:p w:rsidR="00937364" w:rsidRPr="00024F84" w:rsidRDefault="00937364" w:rsidP="00937364">
      <w:pPr>
        <w:rPr>
          <w:rFonts w:asciiTheme="minorHAnsi" w:hAnsiTheme="minorHAnsi"/>
        </w:rPr>
      </w:pPr>
    </w:p>
    <w:p w:rsidR="00937364" w:rsidRPr="00024F84" w:rsidRDefault="00937364" w:rsidP="00937364">
      <w:pPr>
        <w:rPr>
          <w:rFonts w:asciiTheme="minorHAnsi" w:hAnsiTheme="minorHAnsi"/>
        </w:rPr>
        <w:sectPr w:rsidR="00937364" w:rsidRPr="00024F84" w:rsidSect="00AA5F37">
          <w:pgSz w:w="11901" w:h="16846" w:code="9"/>
          <w:pgMar w:top="1701" w:right="1134" w:bottom="851" w:left="1985" w:header="283" w:footer="0" w:gutter="0"/>
          <w:cols w:space="720"/>
          <w:titlePg/>
          <w:docGrid w:linePitch="299"/>
        </w:sectPr>
      </w:pPr>
    </w:p>
    <w:p w:rsidR="00937364" w:rsidRPr="00024F84" w:rsidRDefault="00937364" w:rsidP="00937364">
      <w:pPr>
        <w:rPr>
          <w:rFonts w:asciiTheme="minorHAnsi" w:hAnsiTheme="minorHAnsi"/>
          <w:vanish/>
          <w:color w:val="9CA0A3" w:themeColor="accent4"/>
        </w:rPr>
      </w:pPr>
      <w:r w:rsidRPr="00024F84">
        <w:rPr>
          <w:rFonts w:asciiTheme="minorHAnsi" w:hAnsiTheme="minorHAnsi"/>
          <w:vanish/>
          <w:color w:val="9CA0A3" w:themeColor="accent4"/>
        </w:rPr>
        <w:lastRenderedPageBreak/>
        <w:t xml:space="preserve">Keep page blank </w:t>
      </w:r>
    </w:p>
    <w:p w:rsidR="00937364" w:rsidRPr="00024F84" w:rsidRDefault="00937364" w:rsidP="00937364">
      <w:pPr>
        <w:rPr>
          <w:rFonts w:asciiTheme="minorHAnsi" w:hAnsiTheme="minorHAnsi"/>
        </w:rPr>
      </w:pPr>
    </w:p>
    <w:p w:rsidR="00937364" w:rsidRPr="00024F84" w:rsidRDefault="00937364" w:rsidP="00937364">
      <w:pPr>
        <w:rPr>
          <w:rFonts w:asciiTheme="minorHAnsi" w:hAnsiTheme="minorHAnsi"/>
        </w:rPr>
      </w:pPr>
    </w:p>
    <w:p w:rsidR="00937364" w:rsidRPr="00024F84" w:rsidRDefault="00937364" w:rsidP="00937364">
      <w:pPr>
        <w:rPr>
          <w:rFonts w:asciiTheme="minorHAnsi" w:hAnsiTheme="minorHAnsi"/>
        </w:rPr>
        <w:sectPr w:rsidR="00937364" w:rsidRPr="00024F84" w:rsidSect="00545D48">
          <w:pgSz w:w="11901" w:h="16846" w:code="9"/>
          <w:pgMar w:top="1701" w:right="1134" w:bottom="851" w:left="1985" w:header="283" w:footer="0" w:gutter="0"/>
          <w:cols w:space="720"/>
          <w:titlePg/>
          <w:docGrid w:linePitch="299"/>
        </w:sectPr>
      </w:pPr>
    </w:p>
    <w:p w:rsidR="00162AAB" w:rsidRPr="0070346E" w:rsidRDefault="00E83645" w:rsidP="0070346E">
      <w:pPr>
        <w:pStyle w:val="Heading1"/>
      </w:pPr>
      <w:bookmarkStart w:id="0" w:name="_Toc491417208"/>
      <w:bookmarkStart w:id="1" w:name="_Toc488335743"/>
      <w:r w:rsidRPr="0070346E">
        <w:lastRenderedPageBreak/>
        <w:t>Introduction</w:t>
      </w:r>
      <w:bookmarkEnd w:id="0"/>
    </w:p>
    <w:p w:rsidR="00C457AE" w:rsidRDefault="00703C45" w:rsidP="00CC3E4D">
      <w:pPr>
        <w:rPr>
          <w:rFonts w:asciiTheme="minorHAnsi" w:hAnsiTheme="minorHAnsi"/>
          <w:sz w:val="22"/>
          <w:lang w:eastAsia="en-US"/>
        </w:rPr>
      </w:pPr>
      <w:bookmarkStart w:id="2" w:name="_Toc491417209"/>
      <w:r>
        <w:rPr>
          <w:rFonts w:asciiTheme="minorHAnsi" w:hAnsiTheme="minorHAnsi"/>
          <w:sz w:val="22"/>
          <w:lang w:eastAsia="en-US"/>
        </w:rPr>
        <w:t>During the first week of th</w:t>
      </w:r>
      <w:r w:rsidR="00E811DD">
        <w:rPr>
          <w:rFonts w:asciiTheme="minorHAnsi" w:hAnsiTheme="minorHAnsi"/>
          <w:sz w:val="22"/>
          <w:lang w:eastAsia="en-US"/>
        </w:rPr>
        <w:t xml:space="preserve">e </w:t>
      </w:r>
      <w:r>
        <w:rPr>
          <w:rFonts w:asciiTheme="minorHAnsi" w:hAnsiTheme="minorHAnsi"/>
          <w:sz w:val="22"/>
          <w:lang w:eastAsia="en-US"/>
        </w:rPr>
        <w:t>hearing, the VPA took a number of questions on notice from the Panel</w:t>
      </w:r>
      <w:r w:rsidR="00C457AE">
        <w:rPr>
          <w:rFonts w:asciiTheme="minorHAnsi" w:hAnsiTheme="minorHAnsi"/>
          <w:sz w:val="22"/>
          <w:lang w:eastAsia="en-US"/>
        </w:rPr>
        <w:t>.  This submission sets out the VPA’s response</w:t>
      </w:r>
      <w:r w:rsidR="008B20CF">
        <w:rPr>
          <w:rFonts w:asciiTheme="minorHAnsi" w:hAnsiTheme="minorHAnsi"/>
          <w:sz w:val="22"/>
          <w:lang w:eastAsia="en-US"/>
        </w:rPr>
        <w:t>s</w:t>
      </w:r>
      <w:r w:rsidR="00C457AE">
        <w:rPr>
          <w:rFonts w:asciiTheme="minorHAnsi" w:hAnsiTheme="minorHAnsi"/>
          <w:sz w:val="22"/>
          <w:lang w:eastAsia="en-US"/>
        </w:rPr>
        <w:t xml:space="preserve"> to those questions.</w:t>
      </w:r>
    </w:p>
    <w:p w:rsidR="00162AAB" w:rsidRPr="00E83645" w:rsidRDefault="003E326D" w:rsidP="0070346E">
      <w:pPr>
        <w:pStyle w:val="Heading1"/>
      </w:pPr>
      <w:r>
        <w:t>Zon</w:t>
      </w:r>
      <w:bookmarkEnd w:id="2"/>
      <w:r w:rsidR="00153707">
        <w:t xml:space="preserve">ing within pipeline measurement length </w:t>
      </w:r>
    </w:p>
    <w:p w:rsidR="005B47A4" w:rsidRDefault="002C6175" w:rsidP="00153707">
      <w:pPr>
        <w:rPr>
          <w:rFonts w:asciiTheme="minorHAnsi" w:hAnsiTheme="minorHAnsi"/>
          <w:sz w:val="22"/>
          <w:lang w:eastAsia="en-US"/>
        </w:rPr>
      </w:pPr>
      <w:r>
        <w:rPr>
          <w:rFonts w:asciiTheme="minorHAnsi" w:hAnsiTheme="minorHAnsi"/>
          <w:sz w:val="22"/>
          <w:lang w:eastAsia="en-US"/>
        </w:rPr>
        <w:t xml:space="preserve">The Sunbury South precinct is traversed by the Deer Park-Sunbury </w:t>
      </w:r>
      <w:r w:rsidR="005C2767">
        <w:rPr>
          <w:rFonts w:asciiTheme="minorHAnsi" w:hAnsiTheme="minorHAnsi"/>
          <w:sz w:val="22"/>
          <w:lang w:eastAsia="en-US"/>
        </w:rPr>
        <w:t xml:space="preserve">high pressure gas transmission </w:t>
      </w:r>
      <w:r>
        <w:rPr>
          <w:rFonts w:asciiTheme="minorHAnsi" w:hAnsiTheme="minorHAnsi"/>
          <w:sz w:val="22"/>
          <w:lang w:eastAsia="en-US"/>
        </w:rPr>
        <w:t>pipeline, which runs north-south adjacent to the rai</w:t>
      </w:r>
      <w:r w:rsidR="005B47A4">
        <w:rPr>
          <w:rFonts w:asciiTheme="minorHAnsi" w:hAnsiTheme="minorHAnsi"/>
          <w:sz w:val="22"/>
          <w:lang w:eastAsia="en-US"/>
        </w:rPr>
        <w:t>lway corridor in the west of the precinct.</w:t>
      </w:r>
      <w:r w:rsidR="003909BC">
        <w:rPr>
          <w:rFonts w:asciiTheme="minorHAnsi" w:hAnsiTheme="minorHAnsi"/>
          <w:sz w:val="22"/>
          <w:lang w:eastAsia="en-US"/>
        </w:rPr>
        <w:t xml:space="preserve">  </w:t>
      </w:r>
    </w:p>
    <w:p w:rsidR="002F224D" w:rsidRDefault="002F224D" w:rsidP="00153707">
      <w:pPr>
        <w:rPr>
          <w:rFonts w:asciiTheme="minorHAnsi" w:hAnsiTheme="minorHAnsi"/>
          <w:sz w:val="22"/>
          <w:lang w:eastAsia="en-US"/>
        </w:rPr>
      </w:pPr>
      <w:r>
        <w:rPr>
          <w:rFonts w:asciiTheme="minorHAnsi" w:hAnsiTheme="minorHAnsi"/>
          <w:sz w:val="22"/>
          <w:lang w:eastAsia="en-US"/>
        </w:rPr>
        <w:t xml:space="preserve">Plan 2 (Precinct Features) in the Sunbury South PSP depicts </w:t>
      </w:r>
      <w:r w:rsidR="00B53005">
        <w:rPr>
          <w:rFonts w:asciiTheme="minorHAnsi" w:hAnsiTheme="minorHAnsi"/>
          <w:sz w:val="22"/>
          <w:lang w:eastAsia="en-US"/>
        </w:rPr>
        <w:t>the location of both the ‘gas pipeline’ and the ‘gas pipeline buffer’, also known as the pipeline measurement length.</w:t>
      </w:r>
    </w:p>
    <w:p w:rsidR="002C3222" w:rsidRDefault="002C3222" w:rsidP="00153707">
      <w:pPr>
        <w:rPr>
          <w:rFonts w:asciiTheme="minorHAnsi" w:hAnsiTheme="minorHAnsi"/>
          <w:sz w:val="22"/>
          <w:lang w:eastAsia="en-US"/>
        </w:rPr>
      </w:pPr>
      <w:r>
        <w:rPr>
          <w:rFonts w:asciiTheme="minorHAnsi" w:hAnsiTheme="minorHAnsi"/>
          <w:sz w:val="22"/>
          <w:lang w:eastAsia="en-US"/>
        </w:rPr>
        <w:t>The gas pipeline is owned and operated by APA VTS Australia (Operations) Pty Ltd (</w:t>
      </w:r>
      <w:r>
        <w:rPr>
          <w:rFonts w:asciiTheme="minorHAnsi" w:hAnsiTheme="minorHAnsi"/>
          <w:b/>
          <w:sz w:val="22"/>
          <w:lang w:eastAsia="en-US"/>
        </w:rPr>
        <w:t>APA</w:t>
      </w:r>
      <w:r>
        <w:rPr>
          <w:rFonts w:asciiTheme="minorHAnsi" w:hAnsiTheme="minorHAnsi"/>
          <w:sz w:val="22"/>
          <w:lang w:eastAsia="en-US"/>
        </w:rPr>
        <w:t>)</w:t>
      </w:r>
      <w:r w:rsidR="00CB29B6">
        <w:rPr>
          <w:rFonts w:asciiTheme="minorHAnsi" w:hAnsiTheme="minorHAnsi"/>
          <w:sz w:val="22"/>
          <w:lang w:eastAsia="en-US"/>
        </w:rPr>
        <w:t>.</w:t>
      </w:r>
      <w:r w:rsidR="00470BAF">
        <w:rPr>
          <w:rFonts w:asciiTheme="minorHAnsi" w:hAnsiTheme="minorHAnsi"/>
          <w:sz w:val="22"/>
          <w:lang w:eastAsia="en-US"/>
        </w:rPr>
        <w:t xml:space="preserve">  The VPA consulted with APA during the pre-exhibition, agency consultation </w:t>
      </w:r>
      <w:r w:rsidR="00CC1AD1">
        <w:rPr>
          <w:rFonts w:asciiTheme="minorHAnsi" w:hAnsiTheme="minorHAnsi"/>
          <w:sz w:val="22"/>
          <w:lang w:eastAsia="en-US"/>
        </w:rPr>
        <w:t>stage of preparing the Sunbury South PSP an</w:t>
      </w:r>
      <w:r w:rsidR="00212CCF">
        <w:rPr>
          <w:rFonts w:asciiTheme="minorHAnsi" w:hAnsiTheme="minorHAnsi"/>
          <w:sz w:val="22"/>
          <w:lang w:eastAsia="en-US"/>
        </w:rPr>
        <w:t>d</w:t>
      </w:r>
      <w:r w:rsidR="00CC1AD1">
        <w:rPr>
          <w:rFonts w:asciiTheme="minorHAnsi" w:hAnsiTheme="minorHAnsi"/>
          <w:sz w:val="22"/>
          <w:lang w:eastAsia="en-US"/>
        </w:rPr>
        <w:t xml:space="preserve"> provided notice to APA as part of formal exhibition of Amendment C207.  </w:t>
      </w:r>
      <w:r w:rsidR="00212CCF">
        <w:rPr>
          <w:rFonts w:asciiTheme="minorHAnsi" w:hAnsiTheme="minorHAnsi"/>
          <w:sz w:val="22"/>
          <w:lang w:eastAsia="en-US"/>
        </w:rPr>
        <w:t xml:space="preserve">APA provided submission 34 in response to exhibition. </w:t>
      </w:r>
      <w:r w:rsidR="00CB29B6">
        <w:rPr>
          <w:rFonts w:asciiTheme="minorHAnsi" w:hAnsiTheme="minorHAnsi"/>
          <w:sz w:val="22"/>
          <w:lang w:eastAsia="en-US"/>
        </w:rPr>
        <w:t xml:space="preserve">  </w:t>
      </w:r>
    </w:p>
    <w:p w:rsidR="007553D2" w:rsidRDefault="007553D2" w:rsidP="00153707">
      <w:pPr>
        <w:rPr>
          <w:rFonts w:asciiTheme="minorHAnsi" w:hAnsiTheme="minorHAnsi"/>
          <w:sz w:val="22"/>
          <w:lang w:eastAsia="en-US"/>
        </w:rPr>
      </w:pPr>
      <w:r>
        <w:rPr>
          <w:rFonts w:asciiTheme="minorHAnsi" w:hAnsiTheme="minorHAnsi"/>
          <w:sz w:val="22"/>
          <w:lang w:eastAsia="en-US"/>
        </w:rPr>
        <w:t>The APA submission identifies the pipeline as follows:</w:t>
      </w:r>
    </w:p>
    <w:p w:rsidR="007553D2" w:rsidRPr="002C3222" w:rsidRDefault="007553D2" w:rsidP="00153707">
      <w:pPr>
        <w:rPr>
          <w:rFonts w:asciiTheme="minorHAnsi" w:hAnsiTheme="minorHAnsi"/>
          <w:sz w:val="22"/>
          <w:lang w:eastAsia="en-US"/>
        </w:rPr>
      </w:pPr>
      <w:r>
        <w:rPr>
          <w:noProof/>
        </w:rPr>
        <w:drawing>
          <wp:inline distT="0" distB="0" distL="0" distR="0" wp14:anchorId="495CFC69" wp14:editId="4EEFA392">
            <wp:extent cx="5576570" cy="81153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6570" cy="811530"/>
                    </a:xfrm>
                    <a:prstGeom prst="rect">
                      <a:avLst/>
                    </a:prstGeom>
                  </pic:spPr>
                </pic:pic>
              </a:graphicData>
            </a:graphic>
          </wp:inline>
        </w:drawing>
      </w:r>
    </w:p>
    <w:p w:rsidR="00153707" w:rsidRPr="00CC3E4D" w:rsidRDefault="00153707" w:rsidP="00153707">
      <w:pPr>
        <w:rPr>
          <w:rFonts w:asciiTheme="minorHAnsi" w:hAnsiTheme="minorHAnsi"/>
          <w:sz w:val="22"/>
          <w:lang w:eastAsia="en-US"/>
        </w:rPr>
      </w:pPr>
      <w:r w:rsidRPr="00CC3E4D">
        <w:rPr>
          <w:rFonts w:asciiTheme="minorHAnsi" w:hAnsiTheme="minorHAnsi"/>
          <w:sz w:val="22"/>
          <w:lang w:eastAsia="en-US"/>
        </w:rPr>
        <w:t xml:space="preserve">Amendment C207 proposes to apply the Residential Growth Zone and General Residential Zone within the measurement length. </w:t>
      </w:r>
    </w:p>
    <w:p w:rsidR="00153707" w:rsidRPr="00CC3E4D" w:rsidRDefault="009F5A9D" w:rsidP="00153707">
      <w:pPr>
        <w:rPr>
          <w:rFonts w:asciiTheme="minorHAnsi" w:hAnsiTheme="minorHAnsi"/>
          <w:sz w:val="22"/>
          <w:lang w:eastAsia="en-US"/>
        </w:rPr>
      </w:pPr>
      <w:r>
        <w:rPr>
          <w:rFonts w:asciiTheme="minorHAnsi" w:hAnsiTheme="minorHAnsi"/>
          <w:sz w:val="22"/>
          <w:lang w:eastAsia="en-US"/>
        </w:rPr>
        <w:t>The APA submission states as follows:</w:t>
      </w:r>
    </w:p>
    <w:p w:rsidR="00153707" w:rsidRPr="009B590C" w:rsidRDefault="00153707" w:rsidP="009B590C">
      <w:pPr>
        <w:ind w:left="709"/>
        <w:rPr>
          <w:rFonts w:asciiTheme="minorHAnsi" w:hAnsiTheme="minorHAnsi"/>
          <w:i/>
          <w:sz w:val="22"/>
          <w:lang w:eastAsia="en-US"/>
        </w:rPr>
      </w:pPr>
      <w:r w:rsidRPr="009B590C">
        <w:rPr>
          <w:rFonts w:asciiTheme="minorHAnsi" w:hAnsiTheme="minorHAnsi"/>
          <w:i/>
          <w:sz w:val="22"/>
          <w:lang w:eastAsia="en-US"/>
        </w:rPr>
        <w:t>Plan 3 indicates that the gas pipeline will be contained within the “walkable catchment boundary”. Requirement R9 states that a minimum averaged density of 17 dwelling per net developable area must be achieved in this “walkable catchment”. APA is comfortable with this density as identified in the PSP but observes that given the location of the railway station and surrounding amenities there may be pressure for higher densities to be considered. Depending on that increased density it may trigger the need for further consideration of the risk profile of the pipeline.</w:t>
      </w:r>
    </w:p>
    <w:p w:rsidR="00392033" w:rsidRPr="00CC3E4D" w:rsidRDefault="00153707" w:rsidP="00392033">
      <w:pPr>
        <w:rPr>
          <w:rFonts w:asciiTheme="minorHAnsi" w:hAnsiTheme="minorHAnsi"/>
          <w:sz w:val="22"/>
          <w:lang w:eastAsia="en-US"/>
        </w:rPr>
      </w:pPr>
      <w:r w:rsidRPr="00CC3E4D">
        <w:rPr>
          <w:rFonts w:asciiTheme="minorHAnsi" w:hAnsiTheme="minorHAnsi"/>
          <w:sz w:val="22"/>
          <w:lang w:eastAsia="en-US"/>
        </w:rPr>
        <w:t xml:space="preserve">The current proposed risk profile of the gas pipeline measurement length is </w:t>
      </w:r>
      <w:r w:rsidR="006158B4">
        <w:rPr>
          <w:rFonts w:asciiTheme="minorHAnsi" w:hAnsiTheme="minorHAnsi"/>
          <w:sz w:val="22"/>
          <w:lang w:eastAsia="en-US"/>
        </w:rPr>
        <w:t xml:space="preserve">‘Residential’ </w:t>
      </w:r>
      <w:r w:rsidR="00A6166A">
        <w:rPr>
          <w:rFonts w:asciiTheme="minorHAnsi" w:hAnsiTheme="minorHAnsi"/>
          <w:sz w:val="22"/>
          <w:lang w:eastAsia="en-US"/>
        </w:rPr>
        <w:t xml:space="preserve">having regard to </w:t>
      </w:r>
      <w:r w:rsidRPr="00CC3E4D">
        <w:rPr>
          <w:rFonts w:asciiTheme="minorHAnsi" w:hAnsiTheme="minorHAnsi"/>
          <w:sz w:val="22"/>
          <w:lang w:eastAsia="en-US"/>
        </w:rPr>
        <w:t xml:space="preserve">the definitions in </w:t>
      </w:r>
      <w:r w:rsidR="00A6166A">
        <w:rPr>
          <w:rFonts w:asciiTheme="minorHAnsi" w:hAnsiTheme="minorHAnsi"/>
          <w:i/>
          <w:sz w:val="22"/>
          <w:lang w:eastAsia="en-US"/>
        </w:rPr>
        <w:t xml:space="preserve">Australian Standard 2885 for Pipelines – Gas and Liquid Petroleum </w:t>
      </w:r>
      <w:r w:rsidR="00A6166A">
        <w:rPr>
          <w:rFonts w:asciiTheme="minorHAnsi" w:hAnsiTheme="minorHAnsi"/>
          <w:sz w:val="22"/>
          <w:lang w:eastAsia="en-US"/>
        </w:rPr>
        <w:t>(</w:t>
      </w:r>
      <w:r w:rsidRPr="00A6166A">
        <w:rPr>
          <w:rFonts w:asciiTheme="minorHAnsi" w:hAnsiTheme="minorHAnsi"/>
          <w:b/>
          <w:sz w:val="22"/>
          <w:lang w:eastAsia="en-US"/>
        </w:rPr>
        <w:t>AS2885</w:t>
      </w:r>
      <w:r w:rsidR="00A6166A">
        <w:rPr>
          <w:rFonts w:asciiTheme="minorHAnsi" w:hAnsiTheme="minorHAnsi"/>
          <w:sz w:val="22"/>
          <w:lang w:eastAsia="en-US"/>
        </w:rPr>
        <w:t>)</w:t>
      </w:r>
      <w:r w:rsidRPr="00CC3E4D">
        <w:rPr>
          <w:rFonts w:asciiTheme="minorHAnsi" w:hAnsiTheme="minorHAnsi"/>
          <w:sz w:val="22"/>
          <w:lang w:eastAsia="en-US"/>
        </w:rPr>
        <w:t>.</w:t>
      </w:r>
      <w:r w:rsidR="00392033">
        <w:rPr>
          <w:rFonts w:asciiTheme="minorHAnsi" w:hAnsiTheme="minorHAnsi"/>
          <w:sz w:val="22"/>
          <w:lang w:eastAsia="en-US"/>
        </w:rPr>
        <w:t xml:space="preserve">  </w:t>
      </w:r>
      <w:r w:rsidR="00392033" w:rsidRPr="00CC3E4D">
        <w:rPr>
          <w:rFonts w:asciiTheme="minorHAnsi" w:hAnsiTheme="minorHAnsi"/>
          <w:sz w:val="22"/>
          <w:lang w:eastAsia="en-US"/>
        </w:rPr>
        <w:t>The ‘Residential’ definition states</w:t>
      </w:r>
      <w:r w:rsidR="009F2903">
        <w:rPr>
          <w:rFonts w:asciiTheme="minorHAnsi" w:hAnsiTheme="minorHAnsi"/>
          <w:sz w:val="22"/>
          <w:lang w:eastAsia="en-US"/>
        </w:rPr>
        <w:t xml:space="preserve"> as follows</w:t>
      </w:r>
      <w:r w:rsidR="00392033" w:rsidRPr="00CC3E4D">
        <w:rPr>
          <w:rFonts w:asciiTheme="minorHAnsi" w:hAnsiTheme="minorHAnsi"/>
          <w:sz w:val="22"/>
          <w:lang w:eastAsia="en-US"/>
        </w:rPr>
        <w:t>:</w:t>
      </w:r>
    </w:p>
    <w:p w:rsidR="00392033" w:rsidRPr="009B590C" w:rsidRDefault="00392033" w:rsidP="00392033">
      <w:pPr>
        <w:ind w:left="709"/>
        <w:rPr>
          <w:rFonts w:asciiTheme="minorHAnsi" w:hAnsiTheme="minorHAnsi"/>
          <w:i/>
          <w:sz w:val="22"/>
          <w:lang w:eastAsia="en-US"/>
        </w:rPr>
      </w:pPr>
      <w:r w:rsidRPr="009B590C">
        <w:rPr>
          <w:rFonts w:asciiTheme="minorHAnsi" w:hAnsiTheme="minorHAnsi"/>
          <w:i/>
          <w:sz w:val="22"/>
          <w:lang w:eastAsia="en-US"/>
        </w:rPr>
        <w:lastRenderedPageBreak/>
        <w:t xml:space="preserve">Residential land use may include isolated higher density areas provided they are not more than 10% of the land use. </w:t>
      </w:r>
    </w:p>
    <w:p w:rsidR="00BD740F" w:rsidRDefault="00153707" w:rsidP="00392033">
      <w:pPr>
        <w:rPr>
          <w:rFonts w:asciiTheme="minorHAnsi" w:hAnsiTheme="minorHAnsi"/>
          <w:sz w:val="22"/>
          <w:lang w:eastAsia="en-US"/>
        </w:rPr>
      </w:pPr>
      <w:r w:rsidRPr="00CC3E4D">
        <w:rPr>
          <w:rFonts w:asciiTheme="minorHAnsi" w:hAnsiTheme="minorHAnsi"/>
          <w:sz w:val="22"/>
          <w:lang w:eastAsia="en-US"/>
        </w:rPr>
        <w:t>The VPA understand</w:t>
      </w:r>
      <w:r w:rsidR="008008D0">
        <w:rPr>
          <w:rFonts w:asciiTheme="minorHAnsi" w:hAnsiTheme="minorHAnsi"/>
          <w:sz w:val="22"/>
          <w:lang w:eastAsia="en-US"/>
        </w:rPr>
        <w:t>s</w:t>
      </w:r>
      <w:r w:rsidR="00BD740F">
        <w:rPr>
          <w:rFonts w:asciiTheme="minorHAnsi" w:hAnsiTheme="minorHAnsi"/>
          <w:sz w:val="22"/>
          <w:lang w:eastAsia="en-US"/>
        </w:rPr>
        <w:t xml:space="preserve"> that APA considers densities </w:t>
      </w:r>
      <w:r w:rsidR="007A4A23">
        <w:rPr>
          <w:rFonts w:asciiTheme="minorHAnsi" w:hAnsiTheme="minorHAnsi"/>
          <w:sz w:val="22"/>
          <w:lang w:eastAsia="en-US"/>
        </w:rPr>
        <w:t>above 30 dwellings per hectare to be ‘high density’ and that</w:t>
      </w:r>
      <w:r w:rsidR="00F64DF5">
        <w:rPr>
          <w:rFonts w:asciiTheme="minorHAnsi" w:hAnsiTheme="minorHAnsi"/>
          <w:sz w:val="22"/>
          <w:lang w:eastAsia="en-US"/>
        </w:rPr>
        <w:t xml:space="preserve"> development yielding an average density in excess of th</w:t>
      </w:r>
      <w:r w:rsidR="009F2903">
        <w:rPr>
          <w:rFonts w:asciiTheme="minorHAnsi" w:hAnsiTheme="minorHAnsi"/>
          <w:sz w:val="22"/>
          <w:lang w:eastAsia="en-US"/>
        </w:rPr>
        <w:t>at</w:t>
      </w:r>
      <w:r w:rsidR="00F64DF5">
        <w:rPr>
          <w:rFonts w:asciiTheme="minorHAnsi" w:hAnsiTheme="minorHAnsi"/>
          <w:sz w:val="22"/>
          <w:lang w:eastAsia="en-US"/>
        </w:rPr>
        <w:t xml:space="preserve"> may change the risk profile of the pipeline.</w:t>
      </w:r>
    </w:p>
    <w:p w:rsidR="00583126" w:rsidRDefault="00583126" w:rsidP="00937364">
      <w:pPr>
        <w:rPr>
          <w:rFonts w:asciiTheme="minorHAnsi" w:hAnsiTheme="minorHAnsi"/>
          <w:sz w:val="22"/>
          <w:lang w:eastAsia="en-US"/>
        </w:rPr>
      </w:pPr>
      <w:r>
        <w:rPr>
          <w:rFonts w:asciiTheme="minorHAnsi" w:hAnsiTheme="minorHAnsi"/>
          <w:sz w:val="22"/>
          <w:lang w:eastAsia="en-US"/>
        </w:rPr>
        <w:t xml:space="preserve">The VPA does not anticipate </w:t>
      </w:r>
      <w:r w:rsidR="00A50095">
        <w:rPr>
          <w:rFonts w:asciiTheme="minorHAnsi" w:hAnsiTheme="minorHAnsi"/>
          <w:sz w:val="22"/>
          <w:lang w:eastAsia="en-US"/>
        </w:rPr>
        <w:t>that more than 10% of the pipeline measurement length would yield more than 30 dwellings per hectare, due to the undulating topography in this area and other constraints, including waterways and access.</w:t>
      </w:r>
    </w:p>
    <w:p w:rsidR="001207A5" w:rsidRDefault="0062214B" w:rsidP="00937364">
      <w:pPr>
        <w:rPr>
          <w:rFonts w:asciiTheme="minorHAnsi" w:hAnsiTheme="minorHAnsi"/>
          <w:sz w:val="22"/>
          <w:lang w:eastAsia="en-US"/>
        </w:rPr>
      </w:pPr>
      <w:r>
        <w:rPr>
          <w:rFonts w:asciiTheme="minorHAnsi" w:hAnsiTheme="minorHAnsi"/>
          <w:sz w:val="22"/>
          <w:lang w:eastAsia="en-US"/>
        </w:rPr>
        <w:t xml:space="preserve">At Plumpton and </w:t>
      </w:r>
      <w:proofErr w:type="spellStart"/>
      <w:r>
        <w:rPr>
          <w:rFonts w:asciiTheme="minorHAnsi" w:hAnsiTheme="minorHAnsi"/>
          <w:sz w:val="22"/>
          <w:lang w:eastAsia="en-US"/>
        </w:rPr>
        <w:t>Kororoit</w:t>
      </w:r>
      <w:proofErr w:type="spellEnd"/>
      <w:r w:rsidR="001207A5">
        <w:rPr>
          <w:rFonts w:asciiTheme="minorHAnsi" w:hAnsiTheme="minorHAnsi"/>
          <w:sz w:val="22"/>
          <w:lang w:eastAsia="en-US"/>
        </w:rPr>
        <w:t xml:space="preserve"> (Melton C46 &amp;C147) the Panel stated:</w:t>
      </w:r>
    </w:p>
    <w:p w:rsidR="001207A5" w:rsidRPr="001207A5" w:rsidRDefault="001207A5" w:rsidP="001207A5">
      <w:pPr>
        <w:ind w:left="709"/>
        <w:rPr>
          <w:rFonts w:asciiTheme="minorHAnsi" w:hAnsiTheme="minorHAnsi"/>
          <w:i/>
          <w:sz w:val="22"/>
          <w:lang w:eastAsia="en-US"/>
        </w:rPr>
      </w:pPr>
      <w:r w:rsidRPr="001207A5">
        <w:rPr>
          <w:rFonts w:asciiTheme="minorHAnsi" w:hAnsiTheme="minorHAnsi"/>
          <w:i/>
          <w:sz w:val="22"/>
          <w:lang w:eastAsia="en-US"/>
        </w:rPr>
        <w:t xml:space="preserve">The Panel notes that no land with an applied RGZ is included within the pipeline measurement length, and it is unlikely that buildings greater than four storeys or 30 dwellings per hectare (being the originally suggested density control by APA) will be sought within the GRZ land. </w:t>
      </w:r>
    </w:p>
    <w:p w:rsidR="0062214B" w:rsidRPr="001207A5" w:rsidRDefault="001207A5" w:rsidP="001207A5">
      <w:pPr>
        <w:ind w:left="709"/>
        <w:rPr>
          <w:rFonts w:asciiTheme="minorHAnsi" w:hAnsiTheme="minorHAnsi"/>
          <w:i/>
          <w:sz w:val="22"/>
          <w:lang w:eastAsia="en-US"/>
        </w:rPr>
      </w:pPr>
      <w:r w:rsidRPr="001207A5">
        <w:rPr>
          <w:rFonts w:asciiTheme="minorHAnsi" w:hAnsiTheme="minorHAnsi"/>
          <w:i/>
          <w:sz w:val="22"/>
          <w:lang w:eastAsia="en-US"/>
        </w:rPr>
        <w:t>On this basis, the Panel does not seek to include a density control, however does suggest that all parties give more thought to this for future PSP processes in areas that contain pipeline assets.</w:t>
      </w:r>
    </w:p>
    <w:p w:rsidR="00C72D86" w:rsidRDefault="00C72D86" w:rsidP="00937364">
      <w:pPr>
        <w:rPr>
          <w:rFonts w:asciiTheme="minorHAnsi" w:hAnsiTheme="minorHAnsi"/>
          <w:sz w:val="22"/>
          <w:lang w:eastAsia="en-US"/>
        </w:rPr>
      </w:pPr>
      <w:r>
        <w:rPr>
          <w:rFonts w:asciiTheme="minorHAnsi" w:hAnsiTheme="minorHAnsi"/>
          <w:sz w:val="22"/>
          <w:lang w:eastAsia="en-US"/>
        </w:rPr>
        <w:t xml:space="preserve">It is noted that APA has not elected to be part of the current </w:t>
      </w:r>
      <w:r w:rsidR="00AC5746">
        <w:rPr>
          <w:rFonts w:asciiTheme="minorHAnsi" w:hAnsiTheme="minorHAnsi"/>
          <w:sz w:val="22"/>
          <w:lang w:eastAsia="en-US"/>
        </w:rPr>
        <w:t xml:space="preserve">Panel process in the manner that it has at times previously been involved.  </w:t>
      </w:r>
    </w:p>
    <w:p w:rsidR="0026458B" w:rsidRDefault="0026458B" w:rsidP="00937364">
      <w:pPr>
        <w:rPr>
          <w:rFonts w:asciiTheme="minorHAnsi" w:hAnsiTheme="minorHAnsi"/>
          <w:sz w:val="22"/>
          <w:lang w:eastAsia="en-US"/>
        </w:rPr>
      </w:pPr>
      <w:r>
        <w:rPr>
          <w:rFonts w:asciiTheme="minorHAnsi" w:hAnsiTheme="minorHAnsi"/>
          <w:sz w:val="22"/>
          <w:lang w:eastAsia="en-US"/>
        </w:rPr>
        <w:t xml:space="preserve">The VPA observes that it has proposed inclusion of </w:t>
      </w:r>
      <w:r w:rsidR="00152C12">
        <w:rPr>
          <w:rFonts w:asciiTheme="minorHAnsi" w:hAnsiTheme="minorHAnsi"/>
          <w:sz w:val="22"/>
          <w:lang w:eastAsia="en-US"/>
        </w:rPr>
        <w:t>notice to APA in respect of applications within the pipeline measurement length for</w:t>
      </w:r>
      <w:r w:rsidR="00E94878">
        <w:rPr>
          <w:rFonts w:asciiTheme="minorHAnsi" w:hAnsiTheme="minorHAnsi"/>
          <w:sz w:val="22"/>
          <w:lang w:eastAsia="en-US"/>
        </w:rPr>
        <w:t>:</w:t>
      </w:r>
    </w:p>
    <w:p w:rsidR="00E94878" w:rsidRPr="00E94878" w:rsidRDefault="00E94878" w:rsidP="00883590">
      <w:pPr>
        <w:pStyle w:val="ListParagraph"/>
        <w:numPr>
          <w:ilvl w:val="0"/>
          <w:numId w:val="15"/>
        </w:numPr>
      </w:pPr>
      <w:r w:rsidRPr="00E94878">
        <w:t>Residential aged care facility</w:t>
      </w:r>
    </w:p>
    <w:p w:rsidR="00E94878" w:rsidRPr="00E94878" w:rsidRDefault="00E94878" w:rsidP="00883590">
      <w:pPr>
        <w:pStyle w:val="ListParagraph"/>
        <w:numPr>
          <w:ilvl w:val="0"/>
          <w:numId w:val="15"/>
        </w:numPr>
      </w:pPr>
      <w:r w:rsidRPr="00E94878">
        <w:t>Child care centre</w:t>
      </w:r>
    </w:p>
    <w:p w:rsidR="00E94878" w:rsidRPr="00E94878" w:rsidRDefault="00E94878" w:rsidP="00883590">
      <w:pPr>
        <w:pStyle w:val="ListParagraph"/>
        <w:numPr>
          <w:ilvl w:val="0"/>
          <w:numId w:val="15"/>
        </w:numPr>
      </w:pPr>
      <w:r w:rsidRPr="00E94878">
        <w:t>Cinema based entertainment facility</w:t>
      </w:r>
    </w:p>
    <w:p w:rsidR="00E94878" w:rsidRPr="00E94878" w:rsidRDefault="00E94878" w:rsidP="00883590">
      <w:pPr>
        <w:pStyle w:val="ListParagraph"/>
        <w:numPr>
          <w:ilvl w:val="0"/>
          <w:numId w:val="15"/>
        </w:numPr>
      </w:pPr>
      <w:r w:rsidRPr="00E94878">
        <w:t>Education centre</w:t>
      </w:r>
    </w:p>
    <w:p w:rsidR="00E94878" w:rsidRPr="00E94878" w:rsidRDefault="00E94878" w:rsidP="00883590">
      <w:pPr>
        <w:pStyle w:val="ListParagraph"/>
        <w:numPr>
          <w:ilvl w:val="0"/>
          <w:numId w:val="15"/>
        </w:numPr>
      </w:pPr>
      <w:r w:rsidRPr="00E94878">
        <w:t>Hospital</w:t>
      </w:r>
    </w:p>
    <w:p w:rsidR="00E94878" w:rsidRPr="00E94878" w:rsidRDefault="00E94878" w:rsidP="00883590">
      <w:pPr>
        <w:pStyle w:val="ListParagraph"/>
        <w:numPr>
          <w:ilvl w:val="0"/>
          <w:numId w:val="15"/>
        </w:numPr>
      </w:pPr>
      <w:r w:rsidRPr="00E94878">
        <w:t>Place of assembly</w:t>
      </w:r>
    </w:p>
    <w:p w:rsidR="00E94878" w:rsidRPr="00E94878" w:rsidRDefault="00E94878" w:rsidP="00883590">
      <w:pPr>
        <w:pStyle w:val="ListParagraph"/>
        <w:numPr>
          <w:ilvl w:val="0"/>
          <w:numId w:val="15"/>
        </w:numPr>
      </w:pPr>
      <w:r w:rsidRPr="00E94878">
        <w:t>Retail premises</w:t>
      </w:r>
    </w:p>
    <w:p w:rsidR="00AC5746" w:rsidRDefault="00AC5746" w:rsidP="00937364">
      <w:pPr>
        <w:rPr>
          <w:rFonts w:asciiTheme="minorHAnsi" w:hAnsiTheme="minorHAnsi"/>
          <w:sz w:val="22"/>
          <w:lang w:eastAsia="en-US"/>
        </w:rPr>
      </w:pPr>
      <w:r>
        <w:rPr>
          <w:rFonts w:asciiTheme="minorHAnsi" w:hAnsiTheme="minorHAnsi"/>
          <w:sz w:val="22"/>
          <w:lang w:eastAsia="en-US"/>
        </w:rPr>
        <w:t xml:space="preserve">A safety management study </w:t>
      </w:r>
      <w:r w:rsidR="00C25681">
        <w:rPr>
          <w:rFonts w:asciiTheme="minorHAnsi" w:hAnsiTheme="minorHAnsi"/>
          <w:sz w:val="22"/>
          <w:lang w:eastAsia="en-US"/>
        </w:rPr>
        <w:t>(</w:t>
      </w:r>
      <w:r w:rsidR="00C25681" w:rsidRPr="00C25681">
        <w:rPr>
          <w:rFonts w:asciiTheme="minorHAnsi" w:hAnsiTheme="minorHAnsi"/>
          <w:b/>
          <w:sz w:val="22"/>
          <w:lang w:eastAsia="en-US"/>
        </w:rPr>
        <w:t>SMS</w:t>
      </w:r>
      <w:r w:rsidR="00C25681">
        <w:rPr>
          <w:rFonts w:asciiTheme="minorHAnsi" w:hAnsiTheme="minorHAnsi"/>
          <w:sz w:val="22"/>
          <w:lang w:eastAsia="en-US"/>
        </w:rPr>
        <w:t xml:space="preserve">) </w:t>
      </w:r>
      <w:r>
        <w:rPr>
          <w:rFonts w:asciiTheme="minorHAnsi" w:hAnsiTheme="minorHAnsi"/>
          <w:sz w:val="22"/>
          <w:lang w:eastAsia="en-US"/>
        </w:rPr>
        <w:t>workshop was completed on 28 August 2017.</w:t>
      </w:r>
      <w:r w:rsidR="00C25681">
        <w:rPr>
          <w:rFonts w:asciiTheme="minorHAnsi" w:hAnsiTheme="minorHAnsi"/>
          <w:sz w:val="22"/>
          <w:lang w:eastAsia="en-US"/>
        </w:rPr>
        <w:t xml:space="preserve">  It is anticipated that the SMS process will be completed within the timeframe of t</w:t>
      </w:r>
      <w:r w:rsidR="00635CEC">
        <w:rPr>
          <w:rFonts w:asciiTheme="minorHAnsi" w:hAnsiTheme="minorHAnsi"/>
          <w:sz w:val="22"/>
          <w:lang w:eastAsia="en-US"/>
        </w:rPr>
        <w:t xml:space="preserve">his hearing and the VPA will report back at the appropriate time.  </w:t>
      </w:r>
    </w:p>
    <w:p w:rsidR="002967E5" w:rsidRDefault="002967E5" w:rsidP="00937364">
      <w:pPr>
        <w:rPr>
          <w:rFonts w:asciiTheme="minorHAnsi" w:hAnsiTheme="minorHAnsi"/>
          <w:sz w:val="22"/>
          <w:lang w:eastAsia="en-US"/>
        </w:rPr>
      </w:pPr>
      <w:r>
        <w:rPr>
          <w:rFonts w:asciiTheme="minorHAnsi" w:hAnsiTheme="minorHAnsi"/>
          <w:sz w:val="22"/>
          <w:lang w:eastAsia="en-US"/>
        </w:rPr>
        <w:t xml:space="preserve">Finally the VPA notes that the recent </w:t>
      </w:r>
      <w:r w:rsidR="00D91261">
        <w:rPr>
          <w:rFonts w:asciiTheme="minorHAnsi" w:hAnsiTheme="minorHAnsi"/>
          <w:sz w:val="22"/>
          <w:lang w:eastAsia="en-US"/>
        </w:rPr>
        <w:t xml:space="preserve">Major Hazard Facility Advisory Committee Report suggested the establishment of a working group around gas pipelines and </w:t>
      </w:r>
      <w:r w:rsidR="004E3945">
        <w:rPr>
          <w:rFonts w:asciiTheme="minorHAnsi" w:hAnsiTheme="minorHAnsi"/>
          <w:sz w:val="22"/>
          <w:lang w:eastAsia="en-US"/>
        </w:rPr>
        <w:t xml:space="preserve">further that the working group </w:t>
      </w:r>
      <w:r w:rsidR="004E3945">
        <w:rPr>
          <w:rFonts w:asciiTheme="minorHAnsi" w:hAnsiTheme="minorHAnsi"/>
          <w:sz w:val="22"/>
          <w:lang w:eastAsia="en-US"/>
        </w:rPr>
        <w:lastRenderedPageBreak/>
        <w:t>consider the appropriateness of an ESO as a control for pipelines areas.</w:t>
      </w:r>
      <w:r w:rsidR="004E3945">
        <w:rPr>
          <w:rStyle w:val="FootnoteReference"/>
          <w:rFonts w:asciiTheme="minorHAnsi" w:hAnsiTheme="minorHAnsi"/>
          <w:sz w:val="22"/>
          <w:lang w:eastAsia="en-US"/>
        </w:rPr>
        <w:footnoteReference w:id="1"/>
      </w:r>
      <w:r w:rsidR="004E3945">
        <w:rPr>
          <w:rFonts w:asciiTheme="minorHAnsi" w:hAnsiTheme="minorHAnsi"/>
          <w:sz w:val="22"/>
          <w:lang w:eastAsia="en-US"/>
        </w:rPr>
        <w:t xml:space="preserve">  The Committee also recommended a chance to the referral provisions at Clause 66 to nominate ESV as the referral body for subdivision.  It is the VPA’s understanding that these processes have not been finalised.  </w:t>
      </w:r>
    </w:p>
    <w:p w:rsidR="009504E8" w:rsidRPr="00E83645" w:rsidRDefault="009504E8" w:rsidP="009504E8">
      <w:pPr>
        <w:pStyle w:val="Heading1"/>
      </w:pPr>
      <w:bookmarkStart w:id="3" w:name="_Hlk492266621"/>
      <w:bookmarkEnd w:id="1"/>
      <w:r>
        <w:t xml:space="preserve">PSP reviews </w:t>
      </w:r>
    </w:p>
    <w:bookmarkEnd w:id="3"/>
    <w:p w:rsidR="000C226B" w:rsidRDefault="00AD34D2" w:rsidP="00AD34D2">
      <w:pPr>
        <w:rPr>
          <w:rFonts w:asciiTheme="minorHAnsi" w:hAnsiTheme="minorHAnsi"/>
          <w:sz w:val="22"/>
          <w:lang w:eastAsia="en-US"/>
        </w:rPr>
      </w:pPr>
      <w:r w:rsidRPr="00CC3E4D">
        <w:rPr>
          <w:rFonts w:asciiTheme="minorHAnsi" w:hAnsiTheme="minorHAnsi"/>
          <w:sz w:val="22"/>
          <w:lang w:eastAsia="en-US"/>
        </w:rPr>
        <w:t xml:space="preserve">The VPA is not tasked with reviewing </w:t>
      </w:r>
      <w:r w:rsidR="00B25DC5">
        <w:rPr>
          <w:rFonts w:asciiTheme="minorHAnsi" w:hAnsiTheme="minorHAnsi"/>
          <w:sz w:val="22"/>
          <w:lang w:eastAsia="en-US"/>
        </w:rPr>
        <w:t xml:space="preserve">PSPs.  </w:t>
      </w:r>
      <w:r w:rsidR="0061174B">
        <w:rPr>
          <w:rFonts w:asciiTheme="minorHAnsi" w:hAnsiTheme="minorHAnsi"/>
          <w:sz w:val="22"/>
          <w:lang w:eastAsia="en-US"/>
        </w:rPr>
        <w:t xml:space="preserve">The VPA expects PSPs to be reviewed by councils </w:t>
      </w:r>
      <w:r w:rsidR="008A2870">
        <w:rPr>
          <w:rFonts w:asciiTheme="minorHAnsi" w:hAnsiTheme="minorHAnsi"/>
          <w:sz w:val="22"/>
          <w:lang w:eastAsia="en-US"/>
        </w:rPr>
        <w:t xml:space="preserve">in accordance with their broader statutory obligation to review </w:t>
      </w:r>
      <w:r w:rsidR="000C226B">
        <w:rPr>
          <w:rFonts w:asciiTheme="minorHAnsi" w:hAnsiTheme="minorHAnsi"/>
          <w:sz w:val="22"/>
          <w:lang w:eastAsia="en-US"/>
        </w:rPr>
        <w:t>their planning scheme</w:t>
      </w:r>
      <w:r w:rsidR="008A2870">
        <w:rPr>
          <w:rFonts w:asciiTheme="minorHAnsi" w:hAnsiTheme="minorHAnsi"/>
          <w:sz w:val="22"/>
          <w:lang w:eastAsia="en-US"/>
        </w:rPr>
        <w:t xml:space="preserve"> every </w:t>
      </w:r>
      <w:r w:rsidR="00C069EA">
        <w:rPr>
          <w:rFonts w:asciiTheme="minorHAnsi" w:hAnsiTheme="minorHAnsi"/>
          <w:sz w:val="22"/>
          <w:lang w:eastAsia="en-US"/>
        </w:rPr>
        <w:t>four years</w:t>
      </w:r>
      <w:r w:rsidR="000C226B">
        <w:rPr>
          <w:rFonts w:asciiTheme="minorHAnsi" w:hAnsiTheme="minorHAnsi"/>
          <w:sz w:val="22"/>
          <w:lang w:eastAsia="en-US"/>
        </w:rPr>
        <w:t>.</w:t>
      </w:r>
      <w:r w:rsidR="00C069EA">
        <w:rPr>
          <w:rStyle w:val="FootnoteReference"/>
          <w:rFonts w:asciiTheme="minorHAnsi" w:hAnsiTheme="minorHAnsi"/>
          <w:sz w:val="22"/>
          <w:lang w:eastAsia="en-US"/>
        </w:rPr>
        <w:footnoteReference w:id="2"/>
      </w:r>
      <w:r w:rsidR="000C226B">
        <w:rPr>
          <w:rFonts w:asciiTheme="minorHAnsi" w:hAnsiTheme="minorHAnsi"/>
          <w:sz w:val="22"/>
          <w:lang w:eastAsia="en-US"/>
        </w:rPr>
        <w:t xml:space="preserve">  As incorporated documents, PSPs form part of planning schemes.</w:t>
      </w:r>
      <w:r w:rsidR="00381005">
        <w:rPr>
          <w:rFonts w:asciiTheme="minorHAnsi" w:hAnsiTheme="minorHAnsi"/>
          <w:sz w:val="22"/>
          <w:lang w:eastAsia="en-US"/>
        </w:rPr>
        <w:t xml:space="preserve">  </w:t>
      </w:r>
    </w:p>
    <w:p w:rsidR="00381005" w:rsidRDefault="00381005" w:rsidP="00AD34D2">
      <w:pPr>
        <w:rPr>
          <w:rFonts w:asciiTheme="minorHAnsi" w:hAnsiTheme="minorHAnsi"/>
          <w:sz w:val="22"/>
          <w:lang w:eastAsia="en-US"/>
        </w:rPr>
      </w:pPr>
      <w:r>
        <w:rPr>
          <w:rFonts w:asciiTheme="minorHAnsi" w:hAnsiTheme="minorHAnsi"/>
          <w:sz w:val="22"/>
          <w:lang w:eastAsia="en-US"/>
        </w:rPr>
        <w:t xml:space="preserve">The VPA expects </w:t>
      </w:r>
      <w:r w:rsidR="007E24D8">
        <w:rPr>
          <w:rFonts w:asciiTheme="minorHAnsi" w:hAnsiTheme="minorHAnsi"/>
          <w:sz w:val="22"/>
          <w:lang w:eastAsia="en-US"/>
        </w:rPr>
        <w:t xml:space="preserve">to be consulted, together with other relevant State government agencies, during planning scheme reviews </w:t>
      </w:r>
      <w:r w:rsidR="00F551FD">
        <w:rPr>
          <w:rFonts w:asciiTheme="minorHAnsi" w:hAnsiTheme="minorHAnsi"/>
          <w:sz w:val="22"/>
          <w:lang w:eastAsia="en-US"/>
        </w:rPr>
        <w:t>where planning schemes incorporate one or more PSPs.</w:t>
      </w:r>
    </w:p>
    <w:p w:rsidR="00F551FD" w:rsidRDefault="00F551FD" w:rsidP="00AD34D2">
      <w:pPr>
        <w:rPr>
          <w:rFonts w:asciiTheme="minorHAnsi" w:hAnsiTheme="minorHAnsi"/>
          <w:sz w:val="22"/>
          <w:lang w:eastAsia="en-US"/>
        </w:rPr>
      </w:pPr>
      <w:r>
        <w:rPr>
          <w:rFonts w:asciiTheme="minorHAnsi" w:hAnsiTheme="minorHAnsi"/>
          <w:sz w:val="22"/>
          <w:lang w:eastAsia="en-US"/>
        </w:rPr>
        <w:t xml:space="preserve">The VPA does not consider there to be a defined scope </w:t>
      </w:r>
      <w:r w:rsidR="00ED39B2">
        <w:rPr>
          <w:rFonts w:asciiTheme="minorHAnsi" w:hAnsiTheme="minorHAnsi"/>
          <w:sz w:val="22"/>
          <w:lang w:eastAsia="en-US"/>
        </w:rPr>
        <w:t>for PSP reviews.</w:t>
      </w:r>
    </w:p>
    <w:p w:rsidR="00ED39B2" w:rsidRDefault="00ED39B2" w:rsidP="00AD34D2">
      <w:pPr>
        <w:rPr>
          <w:rFonts w:asciiTheme="minorHAnsi" w:hAnsiTheme="minorHAnsi"/>
          <w:sz w:val="22"/>
          <w:lang w:eastAsia="en-US"/>
        </w:rPr>
      </w:pPr>
      <w:r>
        <w:rPr>
          <w:rFonts w:asciiTheme="minorHAnsi" w:hAnsiTheme="minorHAnsi"/>
          <w:sz w:val="22"/>
          <w:lang w:eastAsia="en-US"/>
        </w:rPr>
        <w:t xml:space="preserve">The </w:t>
      </w:r>
      <w:r>
        <w:rPr>
          <w:rFonts w:asciiTheme="minorHAnsi" w:hAnsiTheme="minorHAnsi"/>
          <w:i/>
          <w:sz w:val="22"/>
          <w:lang w:eastAsia="en-US"/>
        </w:rPr>
        <w:t>Precinct Structure Planning Guidelines</w:t>
      </w:r>
      <w:r w:rsidR="00436C1B">
        <w:rPr>
          <w:rFonts w:asciiTheme="minorHAnsi" w:hAnsiTheme="minorHAnsi"/>
          <w:i/>
          <w:sz w:val="22"/>
          <w:lang w:eastAsia="en-US"/>
        </w:rPr>
        <w:t xml:space="preserve"> – Part Two (Preparing the Structure Plan) </w:t>
      </w:r>
      <w:r w:rsidR="00436C1B">
        <w:rPr>
          <w:rFonts w:asciiTheme="minorHAnsi" w:hAnsiTheme="minorHAnsi"/>
          <w:sz w:val="22"/>
          <w:lang w:eastAsia="en-US"/>
        </w:rPr>
        <w:t xml:space="preserve">state </w:t>
      </w:r>
      <w:r w:rsidR="00A6387A">
        <w:rPr>
          <w:rFonts w:asciiTheme="minorHAnsi" w:hAnsiTheme="minorHAnsi"/>
          <w:sz w:val="22"/>
          <w:lang w:eastAsia="en-US"/>
        </w:rPr>
        <w:t>relevantly as follows:</w:t>
      </w:r>
      <w:r w:rsidR="00A6387A">
        <w:rPr>
          <w:rStyle w:val="FootnoteReference"/>
          <w:rFonts w:asciiTheme="minorHAnsi" w:hAnsiTheme="minorHAnsi"/>
          <w:sz w:val="22"/>
          <w:lang w:eastAsia="en-US"/>
        </w:rPr>
        <w:footnoteReference w:id="3"/>
      </w:r>
    </w:p>
    <w:p w:rsidR="00A6387A" w:rsidRPr="005819CC" w:rsidRDefault="00A6387A" w:rsidP="00A6387A">
      <w:pPr>
        <w:ind w:left="709"/>
        <w:rPr>
          <w:rFonts w:asciiTheme="minorHAnsi" w:hAnsiTheme="minorHAnsi"/>
          <w:b/>
          <w:i/>
          <w:sz w:val="22"/>
          <w:lang w:eastAsia="en-US"/>
        </w:rPr>
      </w:pPr>
      <w:r w:rsidRPr="005819CC">
        <w:rPr>
          <w:rFonts w:asciiTheme="minorHAnsi" w:hAnsiTheme="minorHAnsi"/>
          <w:b/>
          <w:i/>
          <w:sz w:val="22"/>
          <w:lang w:eastAsia="en-US"/>
        </w:rPr>
        <w:t>5.4 Monitoring and Review</w:t>
      </w:r>
    </w:p>
    <w:p w:rsidR="00A6387A" w:rsidRPr="005819CC" w:rsidRDefault="00A6387A" w:rsidP="00A6387A">
      <w:pPr>
        <w:ind w:left="709"/>
        <w:rPr>
          <w:rFonts w:asciiTheme="minorHAnsi" w:hAnsiTheme="minorHAnsi"/>
          <w:i/>
          <w:sz w:val="22"/>
          <w:lang w:eastAsia="en-US"/>
        </w:rPr>
      </w:pPr>
      <w:r w:rsidRPr="005819CC">
        <w:rPr>
          <w:rFonts w:asciiTheme="minorHAnsi" w:hAnsiTheme="minorHAnsi"/>
          <w:i/>
          <w:sz w:val="22"/>
          <w:lang w:eastAsia="en-US"/>
        </w:rPr>
        <w:t>The Precinct Structure Plan should be written in a flexible manner in order to facilitate innovative development proposals and to avoid as far as possible the need for future planning scheme amendments.</w:t>
      </w:r>
    </w:p>
    <w:p w:rsidR="00A6387A" w:rsidRPr="005819CC" w:rsidRDefault="00A6387A" w:rsidP="005819CC">
      <w:pPr>
        <w:ind w:left="709"/>
        <w:rPr>
          <w:rFonts w:asciiTheme="minorHAnsi" w:hAnsiTheme="minorHAnsi"/>
          <w:i/>
          <w:sz w:val="22"/>
          <w:lang w:eastAsia="en-US"/>
        </w:rPr>
      </w:pPr>
      <w:r w:rsidRPr="005819CC">
        <w:rPr>
          <w:rFonts w:asciiTheme="minorHAnsi" w:hAnsiTheme="minorHAnsi"/>
          <w:i/>
          <w:sz w:val="22"/>
          <w:lang w:eastAsia="en-US"/>
        </w:rPr>
        <w:t xml:space="preserve">The council will be responsible for monitoring and reviewing the development of the precinct in consultation with the Growth Areas Authority and other agencies such as the Department of Planning and Community Development, the Department of Transport and the Department of Sustainability and Environment.  </w:t>
      </w:r>
      <w:r w:rsidR="005819CC" w:rsidRPr="005819CC">
        <w:rPr>
          <w:rFonts w:asciiTheme="minorHAnsi" w:hAnsiTheme="minorHAnsi"/>
          <w:i/>
          <w:sz w:val="22"/>
          <w:lang w:eastAsia="en-US"/>
        </w:rPr>
        <w:t>…</w:t>
      </w:r>
    </w:p>
    <w:p w:rsidR="002769BC" w:rsidRDefault="00AD34D2" w:rsidP="00AD34D2">
      <w:pPr>
        <w:rPr>
          <w:rFonts w:asciiTheme="minorHAnsi" w:hAnsiTheme="minorHAnsi"/>
          <w:sz w:val="22"/>
          <w:lang w:eastAsia="en-US"/>
        </w:rPr>
      </w:pPr>
      <w:r w:rsidRPr="00CC3E4D">
        <w:rPr>
          <w:rFonts w:asciiTheme="minorHAnsi" w:hAnsiTheme="minorHAnsi"/>
          <w:sz w:val="22"/>
          <w:lang w:eastAsia="en-US"/>
        </w:rPr>
        <w:t>A PSP review will not necessarily result in the need for changes to the PSP.</w:t>
      </w:r>
      <w:r w:rsidR="000748CD">
        <w:rPr>
          <w:rFonts w:asciiTheme="minorHAnsi" w:hAnsiTheme="minorHAnsi"/>
          <w:sz w:val="22"/>
          <w:lang w:eastAsia="en-US"/>
        </w:rPr>
        <w:t xml:space="preserve">  If changes are </w:t>
      </w:r>
      <w:r w:rsidR="001A24F6">
        <w:rPr>
          <w:rFonts w:asciiTheme="minorHAnsi" w:hAnsiTheme="minorHAnsi"/>
          <w:sz w:val="22"/>
          <w:lang w:eastAsia="en-US"/>
        </w:rPr>
        <w:t xml:space="preserve">required, the council in question will </w:t>
      </w:r>
      <w:r w:rsidR="00A238FD">
        <w:rPr>
          <w:rFonts w:asciiTheme="minorHAnsi" w:hAnsiTheme="minorHAnsi"/>
          <w:sz w:val="22"/>
          <w:lang w:eastAsia="en-US"/>
        </w:rPr>
        <w:t xml:space="preserve">need to consider a planning scheme amendment, </w:t>
      </w:r>
      <w:r w:rsidR="00921EB0">
        <w:rPr>
          <w:rFonts w:asciiTheme="minorHAnsi" w:hAnsiTheme="minorHAnsi"/>
          <w:sz w:val="22"/>
          <w:lang w:eastAsia="en-US"/>
        </w:rPr>
        <w:t xml:space="preserve">under section 20A or 20(4) of the </w:t>
      </w:r>
      <w:r w:rsidR="00921EB0">
        <w:rPr>
          <w:rFonts w:asciiTheme="minorHAnsi" w:hAnsiTheme="minorHAnsi"/>
          <w:i/>
          <w:sz w:val="22"/>
          <w:lang w:eastAsia="en-US"/>
        </w:rPr>
        <w:t xml:space="preserve">Planning and Environment Act 1987 </w:t>
      </w:r>
      <w:r w:rsidR="00921EB0">
        <w:rPr>
          <w:rFonts w:asciiTheme="minorHAnsi" w:hAnsiTheme="minorHAnsi"/>
          <w:sz w:val="22"/>
          <w:lang w:eastAsia="en-US"/>
        </w:rPr>
        <w:t>if it would be appropriate to waive or modify the exhibition process, or otherwis</w:t>
      </w:r>
      <w:r w:rsidR="00C22EF5">
        <w:rPr>
          <w:rFonts w:asciiTheme="minorHAnsi" w:hAnsiTheme="minorHAnsi"/>
          <w:sz w:val="22"/>
          <w:lang w:eastAsia="en-US"/>
        </w:rPr>
        <w:t>e with notice provided under section 19.</w:t>
      </w:r>
    </w:p>
    <w:p w:rsidR="00A474D6" w:rsidRDefault="00A474D6" w:rsidP="00AD34D2">
      <w:pPr>
        <w:rPr>
          <w:rFonts w:asciiTheme="minorHAnsi" w:hAnsiTheme="minorHAnsi"/>
          <w:sz w:val="22"/>
          <w:lang w:eastAsia="en-US"/>
        </w:rPr>
      </w:pPr>
      <w:r>
        <w:rPr>
          <w:rFonts w:asciiTheme="minorHAnsi" w:hAnsiTheme="minorHAnsi"/>
          <w:sz w:val="22"/>
          <w:lang w:eastAsia="en-US"/>
        </w:rPr>
        <w:t xml:space="preserve">The </w:t>
      </w:r>
      <w:r w:rsidR="00EC52F8">
        <w:rPr>
          <w:rFonts w:asciiTheme="minorHAnsi" w:hAnsiTheme="minorHAnsi"/>
          <w:sz w:val="22"/>
          <w:lang w:eastAsia="en-US"/>
        </w:rPr>
        <w:t>VPA does undertake PSP reviews</w:t>
      </w:r>
      <w:r>
        <w:rPr>
          <w:rFonts w:asciiTheme="minorHAnsi" w:hAnsiTheme="minorHAnsi"/>
          <w:sz w:val="22"/>
          <w:lang w:eastAsia="en-US"/>
        </w:rPr>
        <w:t xml:space="preserve"> </w:t>
      </w:r>
      <w:r w:rsidR="005879E5">
        <w:rPr>
          <w:rFonts w:asciiTheme="minorHAnsi" w:hAnsiTheme="minorHAnsi"/>
          <w:sz w:val="22"/>
          <w:lang w:eastAsia="en-US"/>
        </w:rPr>
        <w:t>in particular circumstances.  Examples of this include:</w:t>
      </w:r>
    </w:p>
    <w:p w:rsidR="005879E5" w:rsidRDefault="005879E5" w:rsidP="00883590">
      <w:pPr>
        <w:pStyle w:val="ListParagraph"/>
        <w:numPr>
          <w:ilvl w:val="0"/>
          <w:numId w:val="14"/>
        </w:numPr>
      </w:pPr>
      <w:r>
        <w:t>the Cranbourne East PSP, where the VPA initiated a review as a model exercise to consider how future PSPs could be improved;</w:t>
      </w:r>
    </w:p>
    <w:p w:rsidR="005879E5" w:rsidRDefault="005879E5" w:rsidP="00883590">
      <w:pPr>
        <w:pStyle w:val="ListParagraph"/>
        <w:numPr>
          <w:ilvl w:val="0"/>
          <w:numId w:val="14"/>
        </w:numPr>
      </w:pPr>
      <w:r>
        <w:lastRenderedPageBreak/>
        <w:t xml:space="preserve">the </w:t>
      </w:r>
      <w:r w:rsidR="001A79B4">
        <w:t xml:space="preserve">Botanic Ridge PSP, where the VPA was requested by DELWP to </w:t>
      </w:r>
      <w:r w:rsidR="007C344A">
        <w:t xml:space="preserve">consider amendments to </w:t>
      </w:r>
      <w:r w:rsidR="001A79B4">
        <w:t>address biodiversity changes; and</w:t>
      </w:r>
    </w:p>
    <w:p w:rsidR="001A79B4" w:rsidRDefault="001A79B4" w:rsidP="00883590">
      <w:pPr>
        <w:pStyle w:val="ListParagraph"/>
        <w:numPr>
          <w:ilvl w:val="0"/>
          <w:numId w:val="14"/>
        </w:numPr>
      </w:pPr>
      <w:r>
        <w:t xml:space="preserve">the Officer </w:t>
      </w:r>
      <w:r w:rsidR="0041493A">
        <w:t>PSP</w:t>
      </w:r>
      <w:r>
        <w:t>, where the Minister for Planning requested the VPA consider issues discouraging investment in the town centre.</w:t>
      </w:r>
    </w:p>
    <w:p w:rsidR="00CC5156" w:rsidRPr="004E3945" w:rsidRDefault="008A327F" w:rsidP="002F20E4">
      <w:pPr>
        <w:rPr>
          <w:rFonts w:asciiTheme="minorHAnsi" w:hAnsiTheme="minorHAnsi"/>
          <w:sz w:val="22"/>
          <w:lang w:eastAsia="en-US"/>
        </w:rPr>
      </w:pPr>
      <w:r w:rsidRPr="004E3945">
        <w:rPr>
          <w:rFonts w:asciiTheme="minorHAnsi" w:hAnsiTheme="minorHAnsi"/>
          <w:sz w:val="22"/>
          <w:lang w:eastAsia="en-US"/>
        </w:rPr>
        <w:t xml:space="preserve">A current </w:t>
      </w:r>
      <w:r w:rsidR="00C321D1" w:rsidRPr="004E3945">
        <w:rPr>
          <w:rFonts w:asciiTheme="minorHAnsi" w:hAnsiTheme="minorHAnsi"/>
          <w:sz w:val="22"/>
          <w:lang w:eastAsia="en-US"/>
        </w:rPr>
        <w:t xml:space="preserve">PSP review example is Casey C219.  </w:t>
      </w:r>
    </w:p>
    <w:p w:rsidR="00C321D1" w:rsidRPr="004E3945" w:rsidRDefault="00C321D1" w:rsidP="002F20E4">
      <w:pPr>
        <w:rPr>
          <w:rFonts w:asciiTheme="minorHAnsi" w:hAnsiTheme="minorHAnsi"/>
          <w:sz w:val="22"/>
          <w:lang w:eastAsia="en-US"/>
        </w:rPr>
      </w:pPr>
      <w:r w:rsidRPr="004E3945">
        <w:rPr>
          <w:rFonts w:asciiTheme="minorHAnsi" w:hAnsiTheme="minorHAnsi"/>
          <w:sz w:val="22"/>
          <w:lang w:eastAsia="en-US"/>
        </w:rPr>
        <w:t>The explanatory report for that amendment confirms that it seeks to:</w:t>
      </w:r>
    </w:p>
    <w:p w:rsidR="00C321D1" w:rsidRPr="004E3945" w:rsidRDefault="00C321D1" w:rsidP="004E3945">
      <w:pPr>
        <w:ind w:left="709"/>
        <w:rPr>
          <w:rFonts w:asciiTheme="minorHAnsi" w:hAnsiTheme="minorHAnsi"/>
          <w:i/>
          <w:sz w:val="22"/>
          <w:lang w:eastAsia="en-US"/>
        </w:rPr>
      </w:pPr>
      <w:r w:rsidRPr="004E3945">
        <w:rPr>
          <w:rFonts w:asciiTheme="minorHAnsi" w:hAnsiTheme="minorHAnsi"/>
          <w:i/>
          <w:sz w:val="22"/>
          <w:lang w:eastAsia="en-US"/>
        </w:rPr>
        <w:t xml:space="preserve">The amendment proposes to facilitate the future use and development of the Amendment Area for residential purposes by amending the applied zoning of the Amendment Area from Commercial 2 Zone to General Residential Zone Schedule 1; applying a 5.9% public open space contribution to the same land; updating and replacing the Cranbourne West Precinct Structure Plan (the Incorporated Document) and making consequential changes to Schedule 1 to Clause 37.07 - Urban Growth Zone and Clauses 21.02, 21.18-3, 21.18-5 and 22.03-6. </w:t>
      </w:r>
    </w:p>
    <w:p w:rsidR="00C321D1" w:rsidRPr="004E3945" w:rsidRDefault="00C321D1" w:rsidP="004E3945">
      <w:pPr>
        <w:ind w:left="709"/>
        <w:rPr>
          <w:rFonts w:asciiTheme="minorHAnsi" w:hAnsiTheme="minorHAnsi"/>
          <w:sz w:val="22"/>
          <w:lang w:eastAsia="en-US"/>
        </w:rPr>
      </w:pPr>
      <w:r w:rsidRPr="004E3945">
        <w:rPr>
          <w:rFonts w:asciiTheme="minorHAnsi" w:hAnsiTheme="minorHAnsi"/>
          <w:i/>
          <w:sz w:val="22"/>
          <w:lang w:eastAsia="en-US"/>
        </w:rPr>
        <w:t>Additionally, Amendment C219 proposes to amend the Cranbourne West Precinct Structure Plan and Schedule 1 to Clause 37-07 - Urban Growth Zone to reflect Amendment C199 to the Casey Planning Scheme (gazetted on 14 January 2016). Amendment C199 amended the application of the Public Acquisition Overlay within the Cranbourne West Precinct Structure Plan area to land required for the proposed Western Port Highway Upgrade Project.</w:t>
      </w:r>
      <w:r w:rsidRPr="004E3945">
        <w:rPr>
          <w:rFonts w:asciiTheme="minorHAnsi" w:hAnsiTheme="minorHAnsi"/>
          <w:i/>
          <w:sz w:val="22"/>
        </w:rPr>
        <w:footnoteReference w:id="4"/>
      </w:r>
    </w:p>
    <w:p w:rsidR="00CC5156" w:rsidRPr="004E3945" w:rsidRDefault="00C321D1" w:rsidP="002F20E4">
      <w:pPr>
        <w:rPr>
          <w:rFonts w:asciiTheme="minorHAnsi" w:hAnsiTheme="minorHAnsi"/>
          <w:sz w:val="22"/>
          <w:lang w:eastAsia="en-US"/>
        </w:rPr>
      </w:pPr>
      <w:r w:rsidRPr="004E3945">
        <w:rPr>
          <w:rFonts w:asciiTheme="minorHAnsi" w:hAnsiTheme="minorHAnsi"/>
          <w:sz w:val="22"/>
          <w:lang w:eastAsia="en-US"/>
        </w:rPr>
        <w:t>The explanatory report goes on to confirm that:</w:t>
      </w:r>
    </w:p>
    <w:p w:rsidR="00C321D1" w:rsidRPr="004E3945" w:rsidRDefault="00C321D1" w:rsidP="00C321D1">
      <w:pPr>
        <w:ind w:left="709"/>
        <w:rPr>
          <w:rFonts w:asciiTheme="minorHAnsi" w:hAnsiTheme="minorHAnsi"/>
          <w:i/>
          <w:sz w:val="22"/>
          <w:lang w:eastAsia="en-US"/>
        </w:rPr>
      </w:pPr>
      <w:r w:rsidRPr="004E3945">
        <w:rPr>
          <w:rFonts w:asciiTheme="minorHAnsi" w:hAnsiTheme="minorHAnsi"/>
          <w:i/>
          <w:sz w:val="22"/>
          <w:lang w:eastAsia="en-US"/>
        </w:rPr>
        <w:t>The Cranbourne West Precinct Structure Plan (PSP) was given effect in the Casey Planning Scheme on 3 February 2010 via Amendment C102. The Cranbourne West PSP applies to 791 hectares and sets out a land use planning framework to deliver an integrated employment and residential precinct. Council commenced a review of the Cranbourne West PSP in 2014, with a particular focus on the interface between the residential and employment areas.</w:t>
      </w:r>
    </w:p>
    <w:p w:rsidR="00CC5156" w:rsidRPr="004E3945" w:rsidRDefault="00A80BE7" w:rsidP="002F20E4">
      <w:pPr>
        <w:rPr>
          <w:rFonts w:asciiTheme="minorHAnsi" w:hAnsiTheme="minorHAnsi"/>
          <w:sz w:val="22"/>
          <w:lang w:eastAsia="en-US"/>
        </w:rPr>
      </w:pPr>
      <w:r w:rsidRPr="004E3945">
        <w:rPr>
          <w:rFonts w:asciiTheme="minorHAnsi" w:hAnsiTheme="minorHAnsi"/>
          <w:sz w:val="22"/>
          <w:lang w:eastAsia="en-US"/>
        </w:rPr>
        <w:t xml:space="preserve">This represents a current example of the process at work which will go to Panel in late 2017.  </w:t>
      </w:r>
    </w:p>
    <w:p w:rsidR="00A80BE7" w:rsidRDefault="00A80BE7" w:rsidP="002F20E4">
      <w:pPr>
        <w:rPr>
          <w:lang w:eastAsia="en-US"/>
        </w:rPr>
      </w:pPr>
    </w:p>
    <w:p w:rsidR="00A80BE7" w:rsidRPr="00E83645" w:rsidRDefault="006B35B1" w:rsidP="00A80BE7">
      <w:pPr>
        <w:pStyle w:val="Heading1"/>
      </w:pPr>
      <w:r>
        <w:t>ICP Implementation</w:t>
      </w:r>
    </w:p>
    <w:p w:rsidR="002F20E4" w:rsidRPr="00B7678E" w:rsidRDefault="002F20E4" w:rsidP="002F20E4">
      <w:pPr>
        <w:rPr>
          <w:rFonts w:asciiTheme="minorHAnsi" w:hAnsiTheme="minorHAnsi"/>
          <w:sz w:val="22"/>
          <w:lang w:eastAsia="en-US"/>
        </w:rPr>
      </w:pPr>
      <w:r w:rsidRPr="00B7678E">
        <w:rPr>
          <w:rFonts w:asciiTheme="minorHAnsi" w:hAnsiTheme="minorHAnsi"/>
          <w:sz w:val="22"/>
          <w:lang w:eastAsia="en-US"/>
        </w:rPr>
        <w:t xml:space="preserve">The Panel has sought advice on the basis upon which the inclusion of an item in the </w:t>
      </w:r>
      <w:r w:rsidR="006B35B1" w:rsidRPr="00B7678E">
        <w:rPr>
          <w:rFonts w:asciiTheme="minorHAnsi" w:hAnsiTheme="minorHAnsi"/>
          <w:sz w:val="22"/>
          <w:lang w:eastAsia="en-US"/>
        </w:rPr>
        <w:t>Precinct</w:t>
      </w:r>
      <w:r w:rsidRPr="00B7678E">
        <w:rPr>
          <w:rFonts w:asciiTheme="minorHAnsi" w:hAnsiTheme="minorHAnsi"/>
          <w:sz w:val="22"/>
          <w:lang w:eastAsia="en-US"/>
        </w:rPr>
        <w:t xml:space="preserve"> Infrastructure Plan (PIP), compels a relevant agency to provide that item.  It is first necessary to consider the legislative framework under which contributions are made and expended.  </w:t>
      </w:r>
    </w:p>
    <w:p w:rsidR="002F20E4" w:rsidRPr="00B7678E" w:rsidRDefault="002F20E4" w:rsidP="002F20E4">
      <w:pPr>
        <w:rPr>
          <w:rFonts w:asciiTheme="minorHAnsi" w:hAnsiTheme="minorHAnsi"/>
          <w:sz w:val="22"/>
          <w:lang w:eastAsia="en-US"/>
        </w:rPr>
      </w:pPr>
      <w:r w:rsidRPr="00B7678E">
        <w:rPr>
          <w:rFonts w:asciiTheme="minorHAnsi" w:hAnsiTheme="minorHAnsi"/>
          <w:sz w:val="22"/>
          <w:lang w:eastAsia="en-US"/>
        </w:rPr>
        <w:t>Section 46GA includes definitions relevant to infrastructure contributions.  This includes:</w:t>
      </w:r>
    </w:p>
    <w:p w:rsidR="002F20E4" w:rsidRPr="00B7678E" w:rsidRDefault="002F20E4" w:rsidP="006B35B1">
      <w:pPr>
        <w:ind w:left="709"/>
        <w:rPr>
          <w:rFonts w:asciiTheme="minorHAnsi" w:hAnsiTheme="minorHAnsi"/>
          <w:i/>
          <w:sz w:val="22"/>
          <w:lang w:eastAsia="en-US"/>
        </w:rPr>
      </w:pPr>
      <w:r w:rsidRPr="00B7678E">
        <w:rPr>
          <w:rFonts w:asciiTheme="minorHAnsi" w:hAnsiTheme="minorHAnsi"/>
          <w:i/>
          <w:sz w:val="22"/>
          <w:lang w:eastAsia="en-US"/>
        </w:rPr>
        <w:lastRenderedPageBreak/>
        <w:t>"collecting agency" means a person specified in an infrastructure contributions plan as a person to whom or to which an infrastructure levy is payable under this Part;</w:t>
      </w:r>
    </w:p>
    <w:p w:rsidR="002F20E4" w:rsidRPr="00B7678E" w:rsidRDefault="002F20E4" w:rsidP="006B35B1">
      <w:pPr>
        <w:ind w:left="709"/>
        <w:rPr>
          <w:rFonts w:asciiTheme="minorHAnsi" w:hAnsiTheme="minorHAnsi"/>
          <w:i/>
          <w:sz w:val="22"/>
          <w:lang w:eastAsia="en-US"/>
        </w:rPr>
      </w:pPr>
      <w:r w:rsidRPr="00B7678E">
        <w:rPr>
          <w:rFonts w:asciiTheme="minorHAnsi" w:hAnsiTheme="minorHAnsi"/>
          <w:i/>
          <w:sz w:val="22"/>
          <w:lang w:eastAsia="en-US"/>
        </w:rPr>
        <w:t>"development agency" means a person specified in an infrastructure contributions plan as a person responsible for the provision of works, services or facilities or for the plan preparation costs for which an infrastructure levy or part of that levy is payable under this Part;</w:t>
      </w:r>
    </w:p>
    <w:p w:rsidR="002F20E4" w:rsidRPr="00B7678E" w:rsidRDefault="002F20E4" w:rsidP="002F20E4">
      <w:pPr>
        <w:rPr>
          <w:rFonts w:asciiTheme="minorHAnsi" w:hAnsiTheme="minorHAnsi"/>
          <w:sz w:val="22"/>
          <w:lang w:eastAsia="en-US"/>
        </w:rPr>
      </w:pPr>
      <w:r w:rsidRPr="00B7678E">
        <w:rPr>
          <w:rFonts w:asciiTheme="minorHAnsi" w:hAnsiTheme="minorHAnsi"/>
          <w:sz w:val="22"/>
          <w:lang w:eastAsia="en-US"/>
        </w:rPr>
        <w:t xml:space="preserve">The VPA notes that the roles of a collecting agency and a development agency are defined roles under the PE Act and impose distinct obligations upon the nominated body </w:t>
      </w:r>
      <w:r w:rsidR="00E9178A">
        <w:rPr>
          <w:rFonts w:asciiTheme="minorHAnsi" w:hAnsiTheme="minorHAnsi"/>
          <w:sz w:val="22"/>
          <w:lang w:eastAsia="en-US"/>
        </w:rPr>
        <w:t xml:space="preserve">separate </w:t>
      </w:r>
      <w:r w:rsidRPr="00B7678E">
        <w:rPr>
          <w:rFonts w:asciiTheme="minorHAnsi" w:hAnsiTheme="minorHAnsi"/>
          <w:sz w:val="22"/>
          <w:lang w:eastAsia="en-US"/>
        </w:rPr>
        <w:t>to other parts of the PE Act or indeed other enactments such as the Local Government Act 1989.  It is noted that there is nothing in section 46GA that requires that the relevant agency be a municipal Council</w:t>
      </w:r>
      <w:r w:rsidR="00E9178A">
        <w:rPr>
          <w:rFonts w:asciiTheme="minorHAnsi" w:hAnsiTheme="minorHAnsi"/>
          <w:sz w:val="22"/>
          <w:lang w:eastAsia="en-US"/>
        </w:rPr>
        <w:t xml:space="preserve"> (though there are specific provisions which consider this circumstance considered below)</w:t>
      </w:r>
      <w:r w:rsidRPr="00B7678E">
        <w:rPr>
          <w:rFonts w:asciiTheme="minorHAnsi" w:hAnsiTheme="minorHAnsi"/>
          <w:sz w:val="22"/>
          <w:lang w:eastAsia="en-US"/>
        </w:rPr>
        <w:t xml:space="preserve">.  Section 46GE(k) and (l) both contemplate that the collecting agency and the development agency by be the Minister, a public authority or a council and that there may be more than one development agency.   </w:t>
      </w:r>
    </w:p>
    <w:p w:rsidR="002F20E4" w:rsidRPr="00B7678E" w:rsidRDefault="002F20E4" w:rsidP="002F20E4">
      <w:pPr>
        <w:rPr>
          <w:rFonts w:asciiTheme="minorHAnsi" w:hAnsiTheme="minorHAnsi"/>
          <w:sz w:val="22"/>
          <w:lang w:eastAsia="en-US"/>
        </w:rPr>
      </w:pPr>
      <w:r w:rsidRPr="00B7678E">
        <w:rPr>
          <w:rFonts w:asciiTheme="minorHAnsi" w:hAnsiTheme="minorHAnsi"/>
          <w:sz w:val="22"/>
          <w:lang w:eastAsia="en-US"/>
        </w:rPr>
        <w:t>Section 46H of the PE Act also includes similar definitions in relation to Development Contributions Plans:</w:t>
      </w:r>
    </w:p>
    <w:p w:rsidR="002F20E4" w:rsidRPr="00B7678E" w:rsidRDefault="002F20E4" w:rsidP="005762B1">
      <w:pPr>
        <w:ind w:left="709"/>
        <w:rPr>
          <w:rFonts w:asciiTheme="minorHAnsi" w:hAnsiTheme="minorHAnsi"/>
          <w:i/>
          <w:sz w:val="22"/>
          <w:lang w:eastAsia="en-US"/>
        </w:rPr>
      </w:pPr>
      <w:r w:rsidRPr="00B7678E">
        <w:rPr>
          <w:rFonts w:asciiTheme="minorHAnsi" w:hAnsiTheme="minorHAnsi"/>
          <w:i/>
          <w:sz w:val="22"/>
          <w:lang w:eastAsia="en-US"/>
        </w:rPr>
        <w:t>"collecting agency" means a person specified in a development contributions plan as a person to whom a community infrastructure levy or development infrastructure levy is payable under this Part;</w:t>
      </w:r>
    </w:p>
    <w:p w:rsidR="002F20E4" w:rsidRPr="00B7678E" w:rsidRDefault="002F20E4" w:rsidP="005762B1">
      <w:pPr>
        <w:ind w:left="709"/>
        <w:rPr>
          <w:rFonts w:asciiTheme="minorHAnsi" w:hAnsiTheme="minorHAnsi"/>
          <w:i/>
          <w:sz w:val="22"/>
          <w:lang w:eastAsia="en-US"/>
        </w:rPr>
      </w:pPr>
      <w:r w:rsidRPr="00B7678E">
        <w:rPr>
          <w:rFonts w:asciiTheme="minorHAnsi" w:hAnsiTheme="minorHAnsi"/>
          <w:i/>
          <w:sz w:val="22"/>
          <w:lang w:eastAsia="en-US"/>
        </w:rPr>
        <w:t>"development agency" means a person specified in a development contributions plan as a person responsible for the provision of works, services or facilities or for the plan preparation costs for which a community infrastructure levy or development infrastructure levy or part of a levy is payable under this Part;</w:t>
      </w:r>
    </w:p>
    <w:p w:rsidR="002F20E4" w:rsidRPr="00B7678E" w:rsidRDefault="005762B1" w:rsidP="002F20E4">
      <w:pPr>
        <w:rPr>
          <w:rFonts w:asciiTheme="minorHAnsi" w:hAnsiTheme="minorHAnsi"/>
          <w:sz w:val="22"/>
          <w:lang w:eastAsia="en-US"/>
        </w:rPr>
      </w:pPr>
      <w:r w:rsidRPr="00B7678E">
        <w:rPr>
          <w:rFonts w:asciiTheme="minorHAnsi" w:hAnsiTheme="minorHAnsi"/>
          <w:sz w:val="22"/>
          <w:lang w:eastAsia="en-US"/>
        </w:rPr>
        <w:t>T</w:t>
      </w:r>
      <w:r w:rsidR="002F20E4" w:rsidRPr="00B7678E">
        <w:rPr>
          <w:rFonts w:asciiTheme="minorHAnsi" w:hAnsiTheme="minorHAnsi"/>
          <w:sz w:val="22"/>
          <w:lang w:eastAsia="en-US"/>
        </w:rPr>
        <w:t xml:space="preserve">his is relevant in so far as the ICP system has not yet been the subject of legal consideration in the Tribunal or to </w:t>
      </w:r>
      <w:r w:rsidR="00810D4D" w:rsidRPr="00B7678E">
        <w:rPr>
          <w:rFonts w:asciiTheme="minorHAnsi" w:hAnsiTheme="minorHAnsi"/>
          <w:sz w:val="22"/>
          <w:lang w:eastAsia="en-US"/>
        </w:rPr>
        <w:t>any great,</w:t>
      </w:r>
      <w:r w:rsidR="002F20E4" w:rsidRPr="00B7678E">
        <w:rPr>
          <w:rFonts w:asciiTheme="minorHAnsi" w:hAnsiTheme="minorHAnsi"/>
          <w:sz w:val="22"/>
          <w:lang w:eastAsia="en-US"/>
        </w:rPr>
        <w:t xml:space="preserve"> Panels.  </w:t>
      </w:r>
    </w:p>
    <w:p w:rsidR="002F20E4" w:rsidRPr="00B7678E" w:rsidRDefault="002F20E4" w:rsidP="002F20E4">
      <w:pPr>
        <w:rPr>
          <w:rFonts w:asciiTheme="minorHAnsi" w:hAnsiTheme="minorHAnsi"/>
          <w:sz w:val="22"/>
          <w:lang w:eastAsia="en-US"/>
        </w:rPr>
      </w:pPr>
      <w:r w:rsidRPr="00B7678E">
        <w:rPr>
          <w:rFonts w:asciiTheme="minorHAnsi" w:hAnsiTheme="minorHAnsi"/>
          <w:sz w:val="22"/>
          <w:lang w:eastAsia="en-US"/>
        </w:rPr>
        <w:t xml:space="preserve">Section 46GG imparts an obligation on a responsible authority to impose a condition securing the collection of the </w:t>
      </w:r>
      <w:r w:rsidR="00810D4D" w:rsidRPr="00B7678E">
        <w:rPr>
          <w:rFonts w:asciiTheme="minorHAnsi" w:hAnsiTheme="minorHAnsi"/>
          <w:sz w:val="22"/>
          <w:lang w:eastAsia="en-US"/>
        </w:rPr>
        <w:t xml:space="preserve">ICP </w:t>
      </w:r>
      <w:r w:rsidRPr="00B7678E">
        <w:rPr>
          <w:rFonts w:asciiTheme="minorHAnsi" w:hAnsiTheme="minorHAnsi"/>
          <w:sz w:val="22"/>
          <w:lang w:eastAsia="en-US"/>
        </w:rPr>
        <w:t>levy on any relevant development permit</w:t>
      </w:r>
      <w:r w:rsidR="00810D4D" w:rsidRPr="00B7678E">
        <w:rPr>
          <w:rFonts w:asciiTheme="minorHAnsi" w:hAnsiTheme="minorHAnsi"/>
          <w:sz w:val="22"/>
          <w:lang w:eastAsia="en-US"/>
        </w:rPr>
        <w:t>s</w:t>
      </w:r>
      <w:r w:rsidRPr="00B7678E">
        <w:rPr>
          <w:rFonts w:asciiTheme="minorHAnsi" w:hAnsiTheme="minorHAnsi"/>
          <w:sz w:val="22"/>
          <w:lang w:eastAsia="en-US"/>
        </w:rPr>
        <w:t xml:space="preserve"> and further imparts an obligation on a person undertaking development where no permit is required to make the contribution.  It follows that once the ICP is in place the collection must occur.  </w:t>
      </w:r>
    </w:p>
    <w:p w:rsidR="002F20E4" w:rsidRPr="00B7678E" w:rsidRDefault="002F20E4" w:rsidP="002F20E4">
      <w:pPr>
        <w:rPr>
          <w:rFonts w:asciiTheme="minorHAnsi" w:hAnsiTheme="minorHAnsi"/>
          <w:sz w:val="22"/>
          <w:lang w:eastAsia="en-US"/>
        </w:rPr>
      </w:pPr>
      <w:r w:rsidRPr="00B7678E">
        <w:rPr>
          <w:rFonts w:asciiTheme="minorHAnsi" w:hAnsiTheme="minorHAnsi"/>
          <w:sz w:val="22"/>
          <w:lang w:eastAsia="en-US"/>
        </w:rPr>
        <w:t>Section 46GI outlines the responsibility of councils.  In part it provides that:</w:t>
      </w:r>
    </w:p>
    <w:p w:rsidR="002F20E4" w:rsidRPr="00810D4D" w:rsidRDefault="002F20E4" w:rsidP="00810D4D">
      <w:pPr>
        <w:ind w:left="709"/>
        <w:rPr>
          <w:i/>
          <w:lang w:eastAsia="en-US"/>
        </w:rPr>
      </w:pPr>
      <w:r w:rsidRPr="00810D4D">
        <w:rPr>
          <w:i/>
          <w:lang w:eastAsia="en-US"/>
        </w:rPr>
        <w:t>(3)     Subject to this section, a municipal council to which an amount of infrastructure levy is paid as a development agency under this Part must apply that amount only—</w:t>
      </w:r>
    </w:p>
    <w:p w:rsidR="002F20E4" w:rsidRPr="00810D4D" w:rsidRDefault="002F20E4" w:rsidP="00810D4D">
      <w:pPr>
        <w:ind w:left="1418"/>
        <w:rPr>
          <w:i/>
          <w:lang w:eastAsia="en-US"/>
        </w:rPr>
      </w:pPr>
      <w:r w:rsidRPr="00810D4D">
        <w:rPr>
          <w:i/>
          <w:lang w:eastAsia="en-US"/>
        </w:rPr>
        <w:t>(a)     for a purpose relating to plan preparation costs or the provision of works, services and facilities in respect of which the levy was imposed; and</w:t>
      </w:r>
    </w:p>
    <w:p w:rsidR="002F20E4" w:rsidRPr="00810D4D" w:rsidRDefault="002F20E4" w:rsidP="00810D4D">
      <w:pPr>
        <w:ind w:left="1418"/>
        <w:rPr>
          <w:i/>
          <w:lang w:eastAsia="en-US"/>
        </w:rPr>
      </w:pPr>
      <w:r w:rsidRPr="00810D4D">
        <w:rPr>
          <w:i/>
          <w:lang w:eastAsia="en-US"/>
        </w:rPr>
        <w:t>(b)     in accordance with the approved infrastructure contributions plan.</w:t>
      </w:r>
    </w:p>
    <w:p w:rsidR="002F20E4" w:rsidRPr="00810D4D" w:rsidRDefault="002F20E4" w:rsidP="00810D4D">
      <w:pPr>
        <w:ind w:left="709"/>
        <w:rPr>
          <w:i/>
          <w:lang w:eastAsia="en-US"/>
        </w:rPr>
      </w:pPr>
      <w:r w:rsidRPr="00810D4D">
        <w:rPr>
          <w:i/>
          <w:lang w:eastAsia="en-US"/>
        </w:rPr>
        <w:lastRenderedPageBreak/>
        <w:t>(4)     A municipal council may refund any amount of infrastructure levy paid to it as a development agency under this Part in respect of a development if it is satisfied that the development is not to proceed.</w:t>
      </w:r>
    </w:p>
    <w:p w:rsidR="002F20E4" w:rsidRDefault="002F20E4" w:rsidP="002F20E4">
      <w:pPr>
        <w:rPr>
          <w:lang w:eastAsia="en-US"/>
        </w:rPr>
      </w:pPr>
    </w:p>
    <w:p w:rsidR="00124B0E" w:rsidRPr="00E9178A" w:rsidRDefault="002F20E4" w:rsidP="00124B0E">
      <w:pPr>
        <w:rPr>
          <w:rFonts w:asciiTheme="minorHAnsi" w:hAnsiTheme="minorHAnsi"/>
          <w:sz w:val="22"/>
          <w:lang w:eastAsia="en-US"/>
        </w:rPr>
      </w:pPr>
      <w:r w:rsidRPr="00E9178A">
        <w:rPr>
          <w:rFonts w:asciiTheme="minorHAnsi" w:hAnsiTheme="minorHAnsi"/>
          <w:sz w:val="22"/>
          <w:lang w:eastAsia="en-US"/>
        </w:rPr>
        <w:t>A provision relating to</w:t>
      </w:r>
      <w:r w:rsidR="00810D4D" w:rsidRPr="00E9178A">
        <w:rPr>
          <w:rFonts w:asciiTheme="minorHAnsi" w:hAnsiTheme="minorHAnsi"/>
          <w:sz w:val="22"/>
          <w:lang w:eastAsia="en-US"/>
        </w:rPr>
        <w:t xml:space="preserve"> the</w:t>
      </w:r>
      <w:r w:rsidRPr="00E9178A">
        <w:rPr>
          <w:rFonts w:asciiTheme="minorHAnsi" w:hAnsiTheme="minorHAnsi"/>
          <w:sz w:val="22"/>
          <w:lang w:eastAsia="en-US"/>
        </w:rPr>
        <w:t xml:space="preserve"> development contributions </w:t>
      </w:r>
      <w:r w:rsidR="00810D4D" w:rsidRPr="00E9178A">
        <w:rPr>
          <w:rFonts w:asciiTheme="minorHAnsi" w:hAnsiTheme="minorHAnsi"/>
          <w:sz w:val="22"/>
          <w:lang w:eastAsia="en-US"/>
        </w:rPr>
        <w:t xml:space="preserve">plan system </w:t>
      </w:r>
      <w:r w:rsidRPr="00E9178A">
        <w:rPr>
          <w:rFonts w:asciiTheme="minorHAnsi" w:hAnsiTheme="minorHAnsi"/>
          <w:sz w:val="22"/>
          <w:lang w:eastAsia="en-US"/>
        </w:rPr>
        <w:t>on substantively the same</w:t>
      </w:r>
      <w:r w:rsidR="00124B0E" w:rsidRPr="00E9178A">
        <w:rPr>
          <w:rFonts w:asciiTheme="minorHAnsi" w:hAnsiTheme="minorHAnsi"/>
          <w:sz w:val="22"/>
          <w:lang w:eastAsia="en-US"/>
        </w:rPr>
        <w:t xml:space="preserve"> terms is found at Section 46Q:</w:t>
      </w:r>
    </w:p>
    <w:p w:rsidR="002F20E4" w:rsidRPr="00124B0E" w:rsidRDefault="002F20E4" w:rsidP="00124B0E">
      <w:pPr>
        <w:ind w:left="709"/>
        <w:rPr>
          <w:i/>
          <w:lang w:eastAsia="en-US"/>
        </w:rPr>
      </w:pPr>
      <w:r w:rsidRPr="00124B0E">
        <w:rPr>
          <w:i/>
          <w:lang w:eastAsia="en-US"/>
        </w:rPr>
        <w:t>(2)     Subject to this section, a municipal council to which an amount of levy is paid as a development agency under this Part must apply that amount only—</w:t>
      </w:r>
    </w:p>
    <w:p w:rsidR="00124B0E" w:rsidRDefault="002F20E4" w:rsidP="00124B0E">
      <w:pPr>
        <w:ind w:left="1418"/>
        <w:rPr>
          <w:i/>
          <w:lang w:eastAsia="en-US"/>
        </w:rPr>
      </w:pPr>
      <w:r w:rsidRPr="00124B0E">
        <w:rPr>
          <w:i/>
          <w:lang w:eastAsia="en-US"/>
        </w:rPr>
        <w:t>(a)     for a purpose relating to plan preparation costs or the provision of works, services and facilities in respect of</w:t>
      </w:r>
      <w:r w:rsidR="00124B0E">
        <w:rPr>
          <w:i/>
          <w:lang w:eastAsia="en-US"/>
        </w:rPr>
        <w:t xml:space="preserve"> which the levy was imposed’</w:t>
      </w:r>
    </w:p>
    <w:p w:rsidR="002F20E4" w:rsidRPr="00124B0E" w:rsidRDefault="002F20E4" w:rsidP="00124B0E">
      <w:pPr>
        <w:ind w:left="1418"/>
        <w:rPr>
          <w:i/>
          <w:lang w:eastAsia="en-US"/>
        </w:rPr>
      </w:pPr>
      <w:r w:rsidRPr="00124B0E">
        <w:rPr>
          <w:i/>
          <w:lang w:eastAsia="en-US"/>
        </w:rPr>
        <w:t>(b)     in accordance with the approved development contributions plan.</w:t>
      </w:r>
    </w:p>
    <w:p w:rsidR="002F20E4" w:rsidRPr="00124B0E" w:rsidRDefault="002F20E4" w:rsidP="00124B0E">
      <w:pPr>
        <w:ind w:left="709"/>
        <w:rPr>
          <w:i/>
          <w:lang w:eastAsia="en-US"/>
        </w:rPr>
      </w:pPr>
      <w:r w:rsidRPr="00124B0E">
        <w:rPr>
          <w:i/>
          <w:lang w:eastAsia="en-US"/>
        </w:rPr>
        <w:t>(3)     A municipal council may refund any amount of levy paid to it as a development agency under this Part in respect of a development if it is satisfied that the development is not to proceed.</w:t>
      </w:r>
    </w:p>
    <w:p w:rsidR="002F20E4" w:rsidRPr="00DA0775" w:rsidRDefault="002F20E4" w:rsidP="002F20E4">
      <w:pPr>
        <w:rPr>
          <w:rFonts w:asciiTheme="minorHAnsi" w:hAnsiTheme="minorHAnsi"/>
          <w:sz w:val="22"/>
          <w:lang w:eastAsia="en-US"/>
        </w:rPr>
      </w:pPr>
      <w:r w:rsidRPr="00DA0775">
        <w:rPr>
          <w:rFonts w:asciiTheme="minorHAnsi" w:hAnsiTheme="minorHAnsi"/>
          <w:sz w:val="22"/>
          <w:lang w:eastAsia="en-US"/>
        </w:rPr>
        <w:t>The provisions at 46Q were considered in the decision of Dennis Family Corporation v Casey CC [2006] VCAT 2372 (23 November 2006).  In that matter the Tribuna</w:t>
      </w:r>
      <w:r w:rsidR="00DA0775" w:rsidRPr="00DA0775">
        <w:rPr>
          <w:rFonts w:asciiTheme="minorHAnsi" w:hAnsiTheme="minorHAnsi"/>
          <w:sz w:val="22"/>
          <w:lang w:eastAsia="en-US"/>
        </w:rPr>
        <w:t>l</w:t>
      </w:r>
      <w:r w:rsidRPr="00DA0775">
        <w:rPr>
          <w:rFonts w:asciiTheme="minorHAnsi" w:hAnsiTheme="minorHAnsi"/>
          <w:sz w:val="22"/>
          <w:lang w:eastAsia="en-US"/>
        </w:rPr>
        <w:t xml:space="preserve"> consider the Act, Ministerial Direction and then the Development Contributions Guidelines concluding that:</w:t>
      </w:r>
    </w:p>
    <w:p w:rsidR="002F20E4" w:rsidRPr="00DA0775" w:rsidRDefault="002F20E4" w:rsidP="00DA0775">
      <w:pPr>
        <w:ind w:left="709"/>
        <w:rPr>
          <w:rFonts w:asciiTheme="minorHAnsi" w:hAnsiTheme="minorHAnsi"/>
          <w:i/>
          <w:sz w:val="22"/>
          <w:lang w:eastAsia="en-US"/>
        </w:rPr>
      </w:pPr>
      <w:r w:rsidRPr="00DA0775">
        <w:rPr>
          <w:rFonts w:asciiTheme="minorHAnsi" w:hAnsiTheme="minorHAnsi"/>
          <w:i/>
          <w:sz w:val="22"/>
          <w:lang w:eastAsia="en-US"/>
        </w:rPr>
        <w:t>69</w:t>
      </w:r>
      <w:r w:rsidRPr="00DA0775">
        <w:rPr>
          <w:rFonts w:asciiTheme="minorHAnsi" w:hAnsiTheme="minorHAnsi"/>
          <w:i/>
          <w:sz w:val="22"/>
          <w:lang w:eastAsia="en-US"/>
        </w:rPr>
        <w:tab/>
        <w:t xml:space="preserve">In our view, when the provisions of Part 3B of the Act are read in conjunction with the Development Contributions Guidelines, it is quite clear that once an infrastructure item is included in a development contributions plan, the council is responsible in its role as development agency to provide that item of infrastructure in accordance with the development contributions plan. This means that the infrastructure must be provided in accordance with any staging or timing included in the development contributions plan and the infrastructure must be in accordance with the specifications relating to standards of construction </w:t>
      </w:r>
      <w:proofErr w:type="spellStart"/>
      <w:r w:rsidRPr="00DA0775">
        <w:rPr>
          <w:rFonts w:asciiTheme="minorHAnsi" w:hAnsiTheme="minorHAnsi"/>
          <w:i/>
          <w:sz w:val="22"/>
          <w:lang w:eastAsia="en-US"/>
        </w:rPr>
        <w:t>etc</w:t>
      </w:r>
      <w:proofErr w:type="spellEnd"/>
      <w:r w:rsidRPr="00DA0775">
        <w:rPr>
          <w:rFonts w:asciiTheme="minorHAnsi" w:hAnsiTheme="minorHAnsi"/>
          <w:i/>
          <w:sz w:val="22"/>
          <w:lang w:eastAsia="en-US"/>
        </w:rPr>
        <w:t xml:space="preserve"> set out in the plan. If there are insufficient funds in the DCP account then the council, as development agency, must provide funding from other sources to pay for the infrastructure.</w:t>
      </w:r>
    </w:p>
    <w:p w:rsidR="007E6E22" w:rsidRDefault="002F20E4" w:rsidP="002F20E4">
      <w:pPr>
        <w:rPr>
          <w:rFonts w:asciiTheme="minorHAnsi" w:hAnsiTheme="minorHAnsi"/>
          <w:sz w:val="22"/>
          <w:lang w:eastAsia="en-US"/>
        </w:rPr>
      </w:pPr>
      <w:r w:rsidRPr="00DA0775">
        <w:rPr>
          <w:rFonts w:asciiTheme="minorHAnsi" w:hAnsiTheme="minorHAnsi"/>
          <w:sz w:val="22"/>
          <w:lang w:eastAsia="en-US"/>
        </w:rPr>
        <w:t>In respect of the ICP system, the VPA notes:</w:t>
      </w:r>
    </w:p>
    <w:p w:rsidR="007E6E22" w:rsidRPr="00DA0775" w:rsidRDefault="007E6E22" w:rsidP="002F20E4">
      <w:pPr>
        <w:rPr>
          <w:rFonts w:asciiTheme="minorHAnsi" w:hAnsiTheme="minorHAnsi"/>
          <w:sz w:val="22"/>
          <w:lang w:eastAsia="en-US"/>
        </w:rPr>
      </w:pPr>
    </w:p>
    <w:p w:rsidR="002F20E4" w:rsidRPr="00DA0775" w:rsidRDefault="002F20E4" w:rsidP="00883590">
      <w:pPr>
        <w:pStyle w:val="ListParagraph"/>
        <w:numPr>
          <w:ilvl w:val="0"/>
          <w:numId w:val="16"/>
        </w:numPr>
        <w:rPr>
          <w:rFonts w:eastAsia="Times" w:cs="Times New Roman"/>
          <w:szCs w:val="18"/>
        </w:rPr>
      </w:pPr>
      <w:r w:rsidRPr="00DA0775">
        <w:rPr>
          <w:rFonts w:eastAsia="Times" w:cs="Times New Roman"/>
          <w:szCs w:val="18"/>
        </w:rPr>
        <w:t xml:space="preserve">The legislative framework between the DCP and ICP systems are substantially the same. (a point noted at Page 36 of the ICP Guidelines).   </w:t>
      </w:r>
    </w:p>
    <w:p w:rsidR="002F20E4" w:rsidRDefault="002F20E4" w:rsidP="00883590">
      <w:pPr>
        <w:pStyle w:val="ListParagraph"/>
        <w:numPr>
          <w:ilvl w:val="0"/>
          <w:numId w:val="16"/>
        </w:numPr>
        <w:rPr>
          <w:rFonts w:eastAsia="Times" w:cs="Times New Roman"/>
          <w:szCs w:val="18"/>
        </w:rPr>
      </w:pPr>
      <w:r w:rsidRPr="00DA0775">
        <w:rPr>
          <w:rFonts w:eastAsia="Times" w:cs="Times New Roman"/>
          <w:szCs w:val="18"/>
        </w:rPr>
        <w:t xml:space="preserve">The reporting </w:t>
      </w:r>
      <w:r w:rsidR="003555D2">
        <w:rPr>
          <w:rFonts w:eastAsia="Times" w:cs="Times New Roman"/>
          <w:szCs w:val="18"/>
        </w:rPr>
        <w:t xml:space="preserve">requirements of each framework </w:t>
      </w:r>
      <w:r w:rsidRPr="00DA0775">
        <w:rPr>
          <w:rFonts w:eastAsia="Times" w:cs="Times New Roman"/>
          <w:szCs w:val="18"/>
        </w:rPr>
        <w:t xml:space="preserve">are substantially the same. </w:t>
      </w:r>
    </w:p>
    <w:p w:rsidR="001037A0" w:rsidRPr="001037A0" w:rsidRDefault="003555D2" w:rsidP="00883590">
      <w:pPr>
        <w:pStyle w:val="ListParagraph"/>
        <w:numPr>
          <w:ilvl w:val="0"/>
          <w:numId w:val="16"/>
        </w:numPr>
      </w:pPr>
      <w:r w:rsidRPr="001037A0">
        <w:rPr>
          <w:rFonts w:eastAsia="Times" w:cs="Times New Roman"/>
          <w:szCs w:val="18"/>
        </w:rPr>
        <w:t xml:space="preserve">The content of the guidelines while different in format </w:t>
      </w:r>
      <w:r w:rsidR="007E6E22">
        <w:rPr>
          <w:rFonts w:eastAsia="Times" w:cs="Times New Roman"/>
          <w:szCs w:val="18"/>
        </w:rPr>
        <w:t>is</w:t>
      </w:r>
      <w:r w:rsidRPr="001037A0">
        <w:rPr>
          <w:rFonts w:eastAsia="Times" w:cs="Times New Roman"/>
          <w:szCs w:val="18"/>
        </w:rPr>
        <w:t xml:space="preserve"> substantially the same</w:t>
      </w:r>
      <w:r w:rsidR="001037A0" w:rsidRPr="001037A0">
        <w:rPr>
          <w:rFonts w:eastAsia="Times" w:cs="Times New Roman"/>
          <w:szCs w:val="18"/>
        </w:rPr>
        <w:t xml:space="preserve"> if somewhat clearer</w:t>
      </w:r>
      <w:r w:rsidR="007E6E22">
        <w:rPr>
          <w:rFonts w:eastAsia="Times" w:cs="Times New Roman"/>
          <w:szCs w:val="18"/>
        </w:rPr>
        <w:t xml:space="preserve"> in its intent surrounding completion of infrastructure</w:t>
      </w:r>
      <w:r w:rsidR="001037A0" w:rsidRPr="001037A0">
        <w:rPr>
          <w:rFonts w:eastAsia="Times" w:cs="Times New Roman"/>
          <w:szCs w:val="18"/>
        </w:rPr>
        <w:t xml:space="preserve">.  </w:t>
      </w:r>
      <w:r w:rsidR="001037A0" w:rsidRPr="001037A0">
        <w:t xml:space="preserve">Section 1.2 of the </w:t>
      </w:r>
      <w:r w:rsidR="001037A0" w:rsidRPr="001037A0">
        <w:rPr>
          <w:i/>
        </w:rPr>
        <w:t xml:space="preserve">Infrastructure Contribution Plan Guidelines, 2016 </w:t>
      </w:r>
      <w:r w:rsidR="001037A0" w:rsidRPr="001037A0">
        <w:t>(Department of Environment, Land, Water and Planning) states:</w:t>
      </w:r>
    </w:p>
    <w:p w:rsidR="001037A0" w:rsidRDefault="001037A0" w:rsidP="001037A0">
      <w:pPr>
        <w:pStyle w:val="ListParagraph"/>
        <w:ind w:left="1418"/>
        <w:rPr>
          <w:i/>
        </w:rPr>
      </w:pPr>
    </w:p>
    <w:p w:rsidR="001037A0" w:rsidRPr="001037A0" w:rsidRDefault="001037A0" w:rsidP="001037A0">
      <w:pPr>
        <w:pStyle w:val="ListParagraph"/>
        <w:ind w:left="1418"/>
        <w:rPr>
          <w:i/>
        </w:rPr>
      </w:pPr>
      <w:r w:rsidRPr="001037A0">
        <w:rPr>
          <w:i/>
        </w:rPr>
        <w:t xml:space="preserve">“Once an ICP is approved, this imposes a binding obligation on the infrastructure provider to deliver the infrastructure set out in the plan.” </w:t>
      </w:r>
    </w:p>
    <w:p w:rsidR="003555D2" w:rsidRPr="00DA0775" w:rsidRDefault="003555D2" w:rsidP="001037A0">
      <w:pPr>
        <w:pStyle w:val="ListParagraph"/>
        <w:rPr>
          <w:rFonts w:eastAsia="Times" w:cs="Times New Roman"/>
          <w:szCs w:val="18"/>
        </w:rPr>
      </w:pPr>
    </w:p>
    <w:p w:rsidR="009504E8" w:rsidRDefault="002F20E4" w:rsidP="002F20E4">
      <w:pPr>
        <w:rPr>
          <w:rFonts w:asciiTheme="minorHAnsi" w:hAnsiTheme="minorHAnsi"/>
          <w:sz w:val="22"/>
          <w:lang w:eastAsia="en-US"/>
        </w:rPr>
      </w:pPr>
      <w:r w:rsidRPr="00DA0775">
        <w:rPr>
          <w:rFonts w:asciiTheme="minorHAnsi" w:hAnsiTheme="minorHAnsi"/>
          <w:sz w:val="22"/>
          <w:lang w:eastAsia="en-US"/>
        </w:rPr>
        <w:t xml:space="preserve">The VPA concludes that the rationale provided for in the </w:t>
      </w:r>
      <w:r w:rsidRPr="003555D2">
        <w:rPr>
          <w:rFonts w:asciiTheme="minorHAnsi" w:hAnsiTheme="minorHAnsi"/>
          <w:i/>
          <w:sz w:val="22"/>
          <w:lang w:eastAsia="en-US"/>
        </w:rPr>
        <w:t>Dennis Family</w:t>
      </w:r>
      <w:r w:rsidRPr="00DA0775">
        <w:rPr>
          <w:rFonts w:asciiTheme="minorHAnsi" w:hAnsiTheme="minorHAnsi"/>
          <w:sz w:val="22"/>
          <w:lang w:eastAsia="en-US"/>
        </w:rPr>
        <w:t xml:space="preserve"> decision applies equally to the ICP system as it does to the DCP system considered in that matter.  </w:t>
      </w:r>
    </w:p>
    <w:p w:rsidR="003555D2" w:rsidRDefault="003555D2" w:rsidP="002F20E4">
      <w:pPr>
        <w:rPr>
          <w:rFonts w:asciiTheme="minorHAnsi" w:hAnsiTheme="minorHAnsi"/>
          <w:sz w:val="22"/>
          <w:lang w:eastAsia="en-US"/>
        </w:rPr>
      </w:pPr>
      <w:r>
        <w:rPr>
          <w:rFonts w:asciiTheme="minorHAnsi" w:hAnsiTheme="minorHAnsi"/>
          <w:sz w:val="22"/>
          <w:lang w:eastAsia="en-US"/>
        </w:rPr>
        <w:t xml:space="preserve">It follows that once included within an PIP and ICP, the </w:t>
      </w:r>
      <w:r w:rsidR="00B7678E">
        <w:rPr>
          <w:rFonts w:asciiTheme="minorHAnsi" w:hAnsiTheme="minorHAnsi"/>
          <w:sz w:val="22"/>
          <w:lang w:eastAsia="en-US"/>
        </w:rPr>
        <w:t xml:space="preserve">Council (if it is the development agency) is responsible for the completion of items.  </w:t>
      </w:r>
    </w:p>
    <w:p w:rsidR="00B7678E" w:rsidRDefault="00B7678E" w:rsidP="002F20E4">
      <w:pPr>
        <w:rPr>
          <w:rFonts w:asciiTheme="minorHAnsi" w:hAnsiTheme="minorHAnsi"/>
          <w:sz w:val="22"/>
          <w:lang w:eastAsia="en-US"/>
        </w:rPr>
      </w:pPr>
      <w:r>
        <w:rPr>
          <w:rFonts w:asciiTheme="minorHAnsi" w:hAnsiTheme="minorHAnsi"/>
          <w:sz w:val="22"/>
          <w:lang w:eastAsia="en-US"/>
        </w:rPr>
        <w:t xml:space="preserve">Where a change </w:t>
      </w:r>
      <w:r w:rsidR="007E6E22">
        <w:rPr>
          <w:rFonts w:asciiTheme="minorHAnsi" w:hAnsiTheme="minorHAnsi"/>
          <w:sz w:val="22"/>
          <w:lang w:eastAsia="en-US"/>
        </w:rPr>
        <w:t xml:space="preserve">is </w:t>
      </w:r>
      <w:r>
        <w:rPr>
          <w:rFonts w:asciiTheme="minorHAnsi" w:hAnsiTheme="minorHAnsi"/>
          <w:sz w:val="22"/>
          <w:lang w:eastAsia="en-US"/>
        </w:rPr>
        <w:t xml:space="preserve">proposed to the PIP or ICP then this would require an amendment to the Planning Scheme.  </w:t>
      </w:r>
    </w:p>
    <w:p w:rsidR="0074009D" w:rsidRDefault="0074009D" w:rsidP="0074009D">
      <w:pPr>
        <w:pStyle w:val="Heading1"/>
      </w:pPr>
      <w:r>
        <w:t>Ministerial Direction No. 1</w:t>
      </w:r>
      <w:r w:rsidR="007E51EA">
        <w:t xml:space="preserve"> and management of buffer issues</w:t>
      </w:r>
    </w:p>
    <w:p w:rsidR="0074009D" w:rsidRPr="00DA4D78" w:rsidRDefault="0074009D" w:rsidP="0074009D">
      <w:pPr>
        <w:rPr>
          <w:rFonts w:asciiTheme="minorHAnsi" w:hAnsiTheme="minorHAnsi"/>
          <w:sz w:val="22"/>
          <w:lang w:eastAsia="en-US"/>
        </w:rPr>
      </w:pPr>
      <w:r w:rsidRPr="00DA4D78">
        <w:rPr>
          <w:rFonts w:asciiTheme="minorHAnsi" w:hAnsiTheme="minorHAnsi"/>
          <w:sz w:val="22"/>
          <w:lang w:eastAsia="en-US"/>
        </w:rPr>
        <w:t xml:space="preserve">Ministerial Direction No.1 relates to Potentially Contaminated Land. The purpose of this Direction is to ensure that potentially contaminated land is suitable for a use which is proposed to be allowed under an amendment to a planning scheme and which could be significantly adversely affected by any contamination. </w:t>
      </w:r>
    </w:p>
    <w:p w:rsidR="0074009D" w:rsidRPr="00DA4D78" w:rsidRDefault="0074009D" w:rsidP="0074009D">
      <w:pPr>
        <w:rPr>
          <w:rFonts w:asciiTheme="minorHAnsi" w:hAnsiTheme="minorHAnsi"/>
          <w:sz w:val="22"/>
          <w:lang w:eastAsia="en-US"/>
        </w:rPr>
      </w:pPr>
      <w:r w:rsidRPr="00DA4D78">
        <w:rPr>
          <w:rFonts w:asciiTheme="minorHAnsi" w:hAnsiTheme="minorHAnsi"/>
          <w:sz w:val="22"/>
          <w:lang w:eastAsia="en-US"/>
        </w:rPr>
        <w:t>The Panel has requested that the VPA consider the potential application of this Direction to the land to be affected by the landfill gas migration buffer. The VPA note that the land does not meet the definition of “potentially contaminated land” at Part 3 of Direction No.1</w:t>
      </w:r>
      <w:r w:rsidR="002C467C">
        <w:rPr>
          <w:rFonts w:asciiTheme="minorHAnsi" w:hAnsiTheme="minorHAnsi"/>
          <w:sz w:val="22"/>
          <w:lang w:eastAsia="en-US"/>
        </w:rPr>
        <w:t>, which direction</w:t>
      </w:r>
      <w:r w:rsidR="009A74ED">
        <w:rPr>
          <w:rFonts w:asciiTheme="minorHAnsi" w:hAnsiTheme="minorHAnsi"/>
          <w:sz w:val="22"/>
          <w:lang w:eastAsia="en-US"/>
        </w:rPr>
        <w:t xml:space="preserve"> concerns the</w:t>
      </w:r>
      <w:r w:rsidRPr="00DA4D78">
        <w:rPr>
          <w:rFonts w:asciiTheme="minorHAnsi" w:hAnsiTheme="minorHAnsi"/>
          <w:sz w:val="22"/>
          <w:lang w:eastAsia="en-US"/>
        </w:rPr>
        <w:t xml:space="preserve"> contamination of soil or groundwater as a result of industrial, mining or the storage of chemicals, gas, wastes or liquid fuel results in existing contamination which can be tested and possible remediated if required. In the instance of a buffer for landfill gas, the potential contaminant is unlikely to exist at present, nor in the short-term future.  </w:t>
      </w:r>
    </w:p>
    <w:p w:rsidR="0074009D" w:rsidRPr="004D25E9" w:rsidRDefault="0074009D" w:rsidP="0074009D">
      <w:pPr>
        <w:rPr>
          <w:rFonts w:asciiTheme="minorHAnsi" w:hAnsiTheme="minorHAnsi"/>
          <w:sz w:val="22"/>
          <w:lang w:eastAsia="en-US"/>
        </w:rPr>
      </w:pPr>
      <w:r w:rsidRPr="004D25E9">
        <w:rPr>
          <w:rFonts w:asciiTheme="minorHAnsi" w:hAnsiTheme="minorHAnsi"/>
          <w:sz w:val="22"/>
          <w:lang w:eastAsia="en-US"/>
        </w:rPr>
        <w:t xml:space="preserve">Nonetheless, the VPA has considered the intent of this Direction. </w:t>
      </w:r>
    </w:p>
    <w:p w:rsidR="0074009D" w:rsidRPr="004D25E9" w:rsidRDefault="0074009D" w:rsidP="0074009D">
      <w:pPr>
        <w:rPr>
          <w:rFonts w:asciiTheme="minorHAnsi" w:hAnsiTheme="minorHAnsi"/>
          <w:sz w:val="22"/>
          <w:lang w:eastAsia="en-US"/>
        </w:rPr>
      </w:pPr>
      <w:r w:rsidRPr="004D25E9">
        <w:rPr>
          <w:rFonts w:asciiTheme="minorHAnsi" w:hAnsiTheme="minorHAnsi"/>
          <w:sz w:val="22"/>
          <w:lang w:eastAsia="en-US"/>
        </w:rPr>
        <w:t>Clause 4 of the Direction states:</w:t>
      </w:r>
    </w:p>
    <w:p w:rsidR="0074009D" w:rsidRDefault="0074009D" w:rsidP="009A74ED">
      <w:pPr>
        <w:pStyle w:val="ListParagraph"/>
        <w:ind w:left="1418"/>
        <w:rPr>
          <w:i/>
        </w:rPr>
      </w:pPr>
      <w:r>
        <w:rPr>
          <w:i/>
        </w:rPr>
        <w:t>“In preparing an amendment which would have the effect of allowing (whether or not subject to the grant of a permit) potentially contaminated land to be used for a sensitive use, agriculture or public open space, a planning authority must satisfy itself that the environmental conditions of that land are or will be suitable for that use.”</w:t>
      </w:r>
    </w:p>
    <w:p w:rsidR="0074009D" w:rsidRPr="00F0589E" w:rsidRDefault="0074009D" w:rsidP="0074009D">
      <w:pPr>
        <w:rPr>
          <w:rFonts w:asciiTheme="minorHAnsi" w:hAnsiTheme="minorHAnsi"/>
          <w:sz w:val="22"/>
          <w:lang w:eastAsia="en-US"/>
        </w:rPr>
      </w:pPr>
      <w:r w:rsidRPr="00F0589E">
        <w:rPr>
          <w:rFonts w:asciiTheme="minorHAnsi" w:hAnsiTheme="minorHAnsi"/>
          <w:sz w:val="22"/>
          <w:lang w:eastAsia="en-US"/>
        </w:rPr>
        <w:t xml:space="preserve">Clause 5 of the Direction states (emphasis added): </w:t>
      </w:r>
    </w:p>
    <w:p w:rsidR="0074009D" w:rsidRDefault="0074009D" w:rsidP="009A74ED">
      <w:pPr>
        <w:pStyle w:val="ListParagraph"/>
        <w:ind w:left="1418"/>
        <w:rPr>
          <w:i/>
        </w:rPr>
      </w:pPr>
      <w:r>
        <w:rPr>
          <w:i/>
        </w:rPr>
        <w:t xml:space="preserve">In satisfying itself in relation to an amendment allowing a sensitive use, a planning authority must comply with </w:t>
      </w:r>
      <w:r w:rsidRPr="009A74ED">
        <w:rPr>
          <w:i/>
        </w:rPr>
        <w:t>either</w:t>
      </w:r>
      <w:r>
        <w:rPr>
          <w:i/>
        </w:rPr>
        <w:t xml:space="preserve"> sub-clause (1) or (2): </w:t>
      </w:r>
    </w:p>
    <w:p w:rsidR="009A74ED" w:rsidRDefault="009A74ED" w:rsidP="009A74ED">
      <w:pPr>
        <w:pStyle w:val="ListParagraph"/>
        <w:ind w:left="1418"/>
        <w:rPr>
          <w:i/>
        </w:rPr>
      </w:pPr>
    </w:p>
    <w:p w:rsidR="0074009D" w:rsidRDefault="0074009D" w:rsidP="009A74ED">
      <w:pPr>
        <w:pStyle w:val="ListParagraph"/>
        <w:ind w:left="1418"/>
        <w:rPr>
          <w:i/>
        </w:rPr>
      </w:pPr>
      <w:r>
        <w:rPr>
          <w:i/>
        </w:rPr>
        <w:t xml:space="preserve">(1) Before it gives a copy or notice of the amendment under Section 17, 18 or 19 of the Act, a planning authority must ensure that: </w:t>
      </w:r>
    </w:p>
    <w:p w:rsidR="009A74ED" w:rsidRDefault="009A74ED" w:rsidP="009A74ED">
      <w:pPr>
        <w:pStyle w:val="ListParagraph"/>
        <w:ind w:left="1418"/>
        <w:rPr>
          <w:i/>
        </w:rPr>
      </w:pPr>
    </w:p>
    <w:p w:rsidR="0074009D" w:rsidRDefault="0074009D" w:rsidP="009A74ED">
      <w:pPr>
        <w:pStyle w:val="ListParagraph"/>
        <w:ind w:left="2127"/>
        <w:rPr>
          <w:i/>
        </w:rPr>
      </w:pPr>
      <w:r>
        <w:rPr>
          <w:i/>
        </w:rPr>
        <w:t xml:space="preserve">a) A certificate of environmental audit has been issued for the land in accordance with Part IXD of the Environment Protection Act 1970, or </w:t>
      </w:r>
    </w:p>
    <w:p w:rsidR="009A74ED" w:rsidRDefault="009A74ED" w:rsidP="009A74ED">
      <w:pPr>
        <w:pStyle w:val="ListParagraph"/>
        <w:ind w:left="1418"/>
        <w:rPr>
          <w:i/>
        </w:rPr>
      </w:pPr>
    </w:p>
    <w:p w:rsidR="0074009D" w:rsidRDefault="0074009D" w:rsidP="009A74ED">
      <w:pPr>
        <w:pStyle w:val="ListParagraph"/>
        <w:ind w:left="2127"/>
        <w:rPr>
          <w:i/>
        </w:rPr>
      </w:pPr>
      <w:r>
        <w:rPr>
          <w:i/>
        </w:rPr>
        <w:lastRenderedPageBreak/>
        <w:t xml:space="preserve">b) If the amendment allows a sensitive use only in accordance with plans included or referred to in the amendment an environmental auditor appointed under the Environment Protection Act 1970 has made a statement in accordance with Part IXD of that Act that the environmental conditions are suitable for the sensitive use in accordance with those plans. </w:t>
      </w:r>
    </w:p>
    <w:p w:rsidR="009A74ED" w:rsidRDefault="0074009D" w:rsidP="009A74ED">
      <w:pPr>
        <w:pStyle w:val="ListParagraph"/>
        <w:ind w:left="1418"/>
        <w:rPr>
          <w:i/>
        </w:rPr>
      </w:pPr>
      <w:r>
        <w:rPr>
          <w:i/>
        </w:rPr>
        <w:t>(2) A planning authority must include in the amendment a requirement to the effect that before a sensitive use commences or before the construction or carrying out of buildings or works in association with a sensitive use commences:</w:t>
      </w:r>
    </w:p>
    <w:p w:rsidR="0074009D" w:rsidRDefault="0074009D" w:rsidP="009A74ED">
      <w:pPr>
        <w:pStyle w:val="ListParagraph"/>
        <w:ind w:left="1418"/>
        <w:rPr>
          <w:i/>
        </w:rPr>
      </w:pPr>
      <w:r>
        <w:rPr>
          <w:i/>
        </w:rPr>
        <w:t xml:space="preserve"> </w:t>
      </w:r>
    </w:p>
    <w:p w:rsidR="0074009D" w:rsidRDefault="0074009D" w:rsidP="009A74ED">
      <w:pPr>
        <w:pStyle w:val="ListParagraph"/>
        <w:ind w:left="2127"/>
        <w:rPr>
          <w:i/>
        </w:rPr>
      </w:pPr>
      <w:r>
        <w:rPr>
          <w:i/>
        </w:rPr>
        <w:t xml:space="preserve">a) A certificate of environmental audit must be issued for the land in accordance with Part IXD of the Environment Protection Act 1970, or </w:t>
      </w:r>
    </w:p>
    <w:p w:rsidR="009A74ED" w:rsidRDefault="009A74ED" w:rsidP="009A74ED">
      <w:pPr>
        <w:pStyle w:val="ListParagraph"/>
        <w:ind w:left="2127"/>
        <w:rPr>
          <w:i/>
        </w:rPr>
      </w:pPr>
    </w:p>
    <w:p w:rsidR="0074009D" w:rsidRDefault="0074009D" w:rsidP="009A74ED">
      <w:pPr>
        <w:pStyle w:val="ListParagraph"/>
        <w:ind w:left="2127"/>
        <w:rPr>
          <w:i/>
        </w:rPr>
      </w:pPr>
      <w:r>
        <w:rPr>
          <w:i/>
        </w:rPr>
        <w:t>b) An environmental auditor appointed under the Environment Protection Act 1970 must make a statement in accordance with Part IXD of that Act that the environmental conditions of that land are suitable for the sensitive use</w:t>
      </w:r>
    </w:p>
    <w:p w:rsidR="00C22B92" w:rsidRDefault="00C22B92" w:rsidP="0074009D">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The EAO is the tool frequently utilised by planning authorities to give effect to </w:t>
      </w:r>
      <w:r w:rsidR="00323F6B">
        <w:rPr>
          <w:rFonts w:asciiTheme="minorHAnsi" w:eastAsiaTheme="minorHAnsi" w:hAnsiTheme="minorHAnsi" w:cstheme="minorBidi"/>
          <w:sz w:val="22"/>
          <w:szCs w:val="22"/>
          <w:lang w:eastAsia="en-US"/>
        </w:rPr>
        <w:t xml:space="preserve">the Direction.  It is </w:t>
      </w:r>
      <w:r w:rsidR="00B374F8">
        <w:rPr>
          <w:rFonts w:asciiTheme="minorHAnsi" w:eastAsiaTheme="minorHAnsi" w:hAnsiTheme="minorHAnsi" w:cstheme="minorBidi"/>
          <w:sz w:val="22"/>
          <w:szCs w:val="22"/>
          <w:lang w:eastAsia="en-US"/>
        </w:rPr>
        <w:t xml:space="preserve">more </w:t>
      </w:r>
      <w:r w:rsidR="00323F6B">
        <w:rPr>
          <w:rFonts w:asciiTheme="minorHAnsi" w:eastAsiaTheme="minorHAnsi" w:hAnsiTheme="minorHAnsi" w:cstheme="minorBidi"/>
          <w:sz w:val="22"/>
          <w:szCs w:val="22"/>
          <w:lang w:eastAsia="en-US"/>
        </w:rPr>
        <w:t xml:space="preserve">common that the EAO is utilised as the relevant tool in combination with </w:t>
      </w:r>
      <w:r w:rsidR="00850262">
        <w:rPr>
          <w:rFonts w:asciiTheme="minorHAnsi" w:eastAsiaTheme="minorHAnsi" w:hAnsiTheme="minorHAnsi" w:cstheme="minorBidi"/>
          <w:sz w:val="22"/>
          <w:szCs w:val="22"/>
          <w:lang w:eastAsia="en-US"/>
        </w:rPr>
        <w:t>application of a zoning that would permit a sensitive use, frequent</w:t>
      </w:r>
      <w:r w:rsidR="00323F6B">
        <w:rPr>
          <w:rFonts w:asciiTheme="minorHAnsi" w:eastAsiaTheme="minorHAnsi" w:hAnsiTheme="minorHAnsi" w:cstheme="minorBidi"/>
          <w:sz w:val="22"/>
          <w:szCs w:val="22"/>
          <w:lang w:eastAsia="en-US"/>
        </w:rPr>
        <w:t xml:space="preserve"> </w:t>
      </w:r>
      <w:r w:rsidR="00850262">
        <w:rPr>
          <w:rFonts w:asciiTheme="minorHAnsi" w:eastAsiaTheme="minorHAnsi" w:hAnsiTheme="minorHAnsi" w:cstheme="minorBidi"/>
          <w:sz w:val="22"/>
          <w:szCs w:val="22"/>
          <w:lang w:eastAsia="en-US"/>
        </w:rPr>
        <w:t xml:space="preserve">being a </w:t>
      </w:r>
      <w:r w:rsidR="00323F6B">
        <w:rPr>
          <w:rFonts w:asciiTheme="minorHAnsi" w:eastAsiaTheme="minorHAnsi" w:hAnsiTheme="minorHAnsi" w:cstheme="minorBidi"/>
          <w:sz w:val="22"/>
          <w:szCs w:val="22"/>
          <w:lang w:eastAsia="en-US"/>
        </w:rPr>
        <w:t>residential zoning</w:t>
      </w:r>
      <w:r w:rsidR="00850262">
        <w:rPr>
          <w:rFonts w:asciiTheme="minorHAnsi" w:eastAsiaTheme="minorHAnsi" w:hAnsiTheme="minorHAnsi" w:cstheme="minorBidi"/>
          <w:sz w:val="22"/>
          <w:szCs w:val="22"/>
          <w:lang w:eastAsia="en-US"/>
        </w:rPr>
        <w:t>,</w:t>
      </w:r>
      <w:r w:rsidR="00323F6B">
        <w:rPr>
          <w:rFonts w:asciiTheme="minorHAnsi" w:eastAsiaTheme="minorHAnsi" w:hAnsiTheme="minorHAnsi" w:cstheme="minorBidi"/>
          <w:sz w:val="22"/>
          <w:szCs w:val="22"/>
          <w:lang w:eastAsia="en-US"/>
        </w:rPr>
        <w:t xml:space="preserve"> </w:t>
      </w:r>
      <w:r w:rsidR="00B374F8">
        <w:rPr>
          <w:rFonts w:asciiTheme="minorHAnsi" w:eastAsiaTheme="minorHAnsi" w:hAnsiTheme="minorHAnsi" w:cstheme="minorBidi"/>
          <w:sz w:val="22"/>
          <w:szCs w:val="22"/>
          <w:lang w:eastAsia="en-US"/>
        </w:rPr>
        <w:t xml:space="preserve">than an audit being undertaken in the first instance.  </w:t>
      </w:r>
      <w:r w:rsidR="00323F6B">
        <w:rPr>
          <w:rFonts w:asciiTheme="minorHAnsi" w:eastAsiaTheme="minorHAnsi" w:hAnsiTheme="minorHAnsi" w:cstheme="minorBidi"/>
          <w:sz w:val="22"/>
          <w:szCs w:val="22"/>
          <w:lang w:eastAsia="en-US"/>
        </w:rPr>
        <w:t xml:space="preserve"> </w:t>
      </w:r>
      <w:r w:rsidR="00732B5A">
        <w:rPr>
          <w:rFonts w:asciiTheme="minorHAnsi" w:eastAsiaTheme="minorHAnsi" w:hAnsiTheme="minorHAnsi" w:cstheme="minorBidi"/>
          <w:sz w:val="22"/>
          <w:szCs w:val="22"/>
          <w:lang w:eastAsia="en-US"/>
        </w:rPr>
        <w:t xml:space="preserve">The approach of applying a zone with a </w:t>
      </w:r>
      <w:r w:rsidR="00B374F8">
        <w:rPr>
          <w:rFonts w:asciiTheme="minorHAnsi" w:eastAsiaTheme="minorHAnsi" w:hAnsiTheme="minorHAnsi" w:cstheme="minorBidi"/>
          <w:sz w:val="22"/>
          <w:szCs w:val="22"/>
          <w:lang w:eastAsia="en-US"/>
        </w:rPr>
        <w:t xml:space="preserve">suitable </w:t>
      </w:r>
      <w:r w:rsidR="00732B5A">
        <w:rPr>
          <w:rFonts w:asciiTheme="minorHAnsi" w:eastAsiaTheme="minorHAnsi" w:hAnsiTheme="minorHAnsi" w:cstheme="minorBidi"/>
          <w:sz w:val="22"/>
          <w:szCs w:val="22"/>
          <w:lang w:eastAsia="en-US"/>
        </w:rPr>
        <w:t xml:space="preserve">control is the commonly accepted approach.  </w:t>
      </w:r>
    </w:p>
    <w:p w:rsidR="0074009D" w:rsidRPr="00F0589E" w:rsidRDefault="0074009D" w:rsidP="0074009D">
      <w:pPr>
        <w:rPr>
          <w:rFonts w:asciiTheme="minorHAnsi" w:eastAsiaTheme="minorHAnsi" w:hAnsiTheme="minorHAnsi" w:cstheme="minorBidi"/>
          <w:sz w:val="22"/>
          <w:szCs w:val="22"/>
          <w:lang w:eastAsia="en-US"/>
        </w:rPr>
      </w:pPr>
      <w:r w:rsidRPr="00F0589E">
        <w:rPr>
          <w:rFonts w:asciiTheme="minorHAnsi" w:eastAsiaTheme="minorHAnsi" w:hAnsiTheme="minorHAnsi" w:cstheme="minorBidi"/>
          <w:sz w:val="22"/>
          <w:szCs w:val="22"/>
          <w:lang w:eastAsia="en-US"/>
        </w:rPr>
        <w:t>In the case of the landfill gas buffer, the VPA cannot undertake works to satisfy Clause 5(1)(a) or (b) as the contaminant (landfill gas)</w:t>
      </w:r>
      <w:r w:rsidR="002605CD">
        <w:rPr>
          <w:rFonts w:asciiTheme="minorHAnsi" w:eastAsiaTheme="minorHAnsi" w:hAnsiTheme="minorHAnsi" w:cstheme="minorBidi"/>
          <w:sz w:val="22"/>
          <w:szCs w:val="22"/>
          <w:lang w:eastAsia="en-US"/>
        </w:rPr>
        <w:t>at this time as it</w:t>
      </w:r>
      <w:r w:rsidRPr="00F0589E">
        <w:rPr>
          <w:rFonts w:asciiTheme="minorHAnsi" w:eastAsiaTheme="minorHAnsi" w:hAnsiTheme="minorHAnsi" w:cstheme="minorBidi"/>
          <w:sz w:val="22"/>
          <w:szCs w:val="22"/>
          <w:lang w:eastAsia="en-US"/>
        </w:rPr>
        <w:t xml:space="preserve"> is unlikely to pose a risk to the site for some years</w:t>
      </w:r>
      <w:r w:rsidR="002605CD">
        <w:rPr>
          <w:rFonts w:asciiTheme="minorHAnsi" w:eastAsiaTheme="minorHAnsi" w:hAnsiTheme="minorHAnsi" w:cstheme="minorBidi"/>
          <w:sz w:val="22"/>
          <w:szCs w:val="22"/>
          <w:lang w:eastAsia="en-US"/>
        </w:rPr>
        <w:t>, if ever</w:t>
      </w:r>
      <w:r w:rsidRPr="00F0589E">
        <w:rPr>
          <w:rFonts w:asciiTheme="minorHAnsi" w:eastAsiaTheme="minorHAnsi" w:hAnsiTheme="minorHAnsi" w:cstheme="minorBidi"/>
          <w:sz w:val="22"/>
          <w:szCs w:val="22"/>
          <w:lang w:eastAsia="en-US"/>
        </w:rPr>
        <w:t xml:space="preserve">. </w:t>
      </w:r>
      <w:r w:rsidR="005A6529" w:rsidRPr="00F0589E">
        <w:rPr>
          <w:rFonts w:asciiTheme="minorHAnsi" w:eastAsiaTheme="minorHAnsi" w:hAnsiTheme="minorHAnsi" w:cstheme="minorBidi"/>
          <w:sz w:val="22"/>
          <w:szCs w:val="22"/>
          <w:lang w:eastAsia="en-US"/>
        </w:rPr>
        <w:t xml:space="preserve">The relevant cells are not yet constructed or filled.  </w:t>
      </w:r>
      <w:r w:rsidRPr="00F0589E">
        <w:rPr>
          <w:rFonts w:asciiTheme="minorHAnsi" w:eastAsiaTheme="minorHAnsi" w:hAnsiTheme="minorHAnsi" w:cstheme="minorBidi"/>
          <w:sz w:val="22"/>
          <w:szCs w:val="22"/>
          <w:lang w:eastAsia="en-US"/>
        </w:rPr>
        <w:t xml:space="preserve">The EPA has advised that the appropriate time to undertake assessments for landfill gas is post-closure of the landfill. </w:t>
      </w:r>
    </w:p>
    <w:p w:rsidR="0074009D" w:rsidRPr="00F0589E" w:rsidRDefault="0074009D" w:rsidP="0074009D">
      <w:pPr>
        <w:rPr>
          <w:rFonts w:asciiTheme="minorHAnsi" w:eastAsiaTheme="minorHAnsi" w:hAnsiTheme="minorHAnsi" w:cstheme="minorBidi"/>
          <w:sz w:val="22"/>
          <w:szCs w:val="22"/>
          <w:lang w:eastAsia="en-US"/>
        </w:rPr>
      </w:pPr>
      <w:r w:rsidRPr="00F0589E">
        <w:rPr>
          <w:rFonts w:asciiTheme="minorHAnsi" w:eastAsiaTheme="minorHAnsi" w:hAnsiTheme="minorHAnsi" w:cstheme="minorBidi"/>
          <w:sz w:val="22"/>
          <w:szCs w:val="22"/>
          <w:lang w:eastAsia="en-US"/>
        </w:rPr>
        <w:t xml:space="preserve">The VPA has therefore sought to apply the principle contained in Clause 5(b)(a) of the Ministerial Direction. In the case of landfill gas, the Environment Protection Authority (and experts) have advised that a 53V audit is the appropriate tool to assess the risk under Part IXD of the Environment Protection Act 1970. </w:t>
      </w:r>
    </w:p>
    <w:p w:rsidR="0074009D" w:rsidRPr="00F0589E" w:rsidRDefault="0074009D" w:rsidP="0074009D">
      <w:pPr>
        <w:rPr>
          <w:rFonts w:asciiTheme="minorHAnsi" w:eastAsiaTheme="minorHAnsi" w:hAnsiTheme="minorHAnsi" w:cstheme="minorBidi"/>
          <w:sz w:val="22"/>
          <w:szCs w:val="22"/>
          <w:lang w:eastAsia="en-US"/>
        </w:rPr>
      </w:pPr>
      <w:r w:rsidRPr="00F0589E">
        <w:rPr>
          <w:rFonts w:asciiTheme="minorHAnsi" w:eastAsiaTheme="minorHAnsi" w:hAnsiTheme="minorHAnsi" w:cstheme="minorBidi"/>
          <w:sz w:val="22"/>
          <w:szCs w:val="22"/>
          <w:lang w:eastAsia="en-US"/>
        </w:rPr>
        <w:t>The Urban Growth Zone Schedule 9 is proposed to include the following at Clause 3.8 (emphasis added):</w:t>
      </w:r>
    </w:p>
    <w:p w:rsidR="004F782B" w:rsidRDefault="004F782B" w:rsidP="00337D9F">
      <w:pPr>
        <w:pStyle w:val="VPP-HeadB"/>
        <w:spacing w:before="0"/>
        <w:ind w:left="1843"/>
      </w:pPr>
    </w:p>
    <w:p w:rsidR="0074009D" w:rsidRDefault="0074009D" w:rsidP="00337D9F">
      <w:pPr>
        <w:pStyle w:val="VPP-HeadB"/>
        <w:spacing w:before="0"/>
        <w:ind w:left="1843"/>
      </w:pPr>
      <w:r>
        <w:t>3.8</w:t>
      </w:r>
      <w:r>
        <w:tab/>
        <w:t xml:space="preserve">All applications within Landfill Buffer </w:t>
      </w:r>
    </w:p>
    <w:p w:rsidR="0074009D" w:rsidRDefault="00337D9F" w:rsidP="00337D9F">
      <w:pPr>
        <w:pStyle w:val="BodyText1"/>
        <w:ind w:left="1843"/>
      </w:pPr>
      <w:r>
        <w:rPr>
          <w:noProof/>
        </w:rPr>
        <mc:AlternateContent>
          <mc:Choice Requires="wps">
            <w:drawing>
              <wp:anchor distT="0" distB="0" distL="114300" distR="114300" simplePos="0" relativeHeight="251659264" behindDoc="0" locked="0" layoutInCell="1" allowOverlap="1">
                <wp:simplePos x="0" y="0"/>
                <wp:positionH relativeFrom="column">
                  <wp:posOffset>361315</wp:posOffset>
                </wp:positionH>
                <wp:positionV relativeFrom="paragraph">
                  <wp:posOffset>75565</wp:posOffset>
                </wp:positionV>
                <wp:extent cx="741680" cy="307975"/>
                <wp:effectExtent l="0" t="0" r="127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9ED" w:rsidRDefault="00A359ED" w:rsidP="0074009D">
                            <w:pPr>
                              <w:pStyle w:val="AmID"/>
                            </w:pPr>
                            <w:r>
                              <w:t>DD/MM/YYYY</w:t>
                            </w:r>
                          </w:p>
                          <w:p w:rsidR="00A359ED" w:rsidRDefault="00A359ED" w:rsidP="0074009D">
                            <w:pPr>
                              <w:pStyle w:val="AmID"/>
                              <w:rPr>
                                <w:sz w:val="16"/>
                              </w:rPr>
                            </w:pPr>
                            <w:r>
                              <w:t>Proposed C207</w:t>
                            </w:r>
                          </w:p>
                          <w:p w:rsidR="00A359ED" w:rsidRDefault="00A359ED" w:rsidP="007400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9" o:spid="_x0000_s1026" type="#_x0000_t202" style="position:absolute;left:0;text-align:left;margin-left:28.45pt;margin-top:5.95pt;width:58.4pt;height:2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" stroked="f">
                <v:textbox>
                  <w:txbxContent>
                    <w:p w:rsidR="00A359ED" w:rsidRDefault="00A359ED" w:rsidP="0074009D">
                      <w:pPr>
                        <w:pStyle w:val="AmID"/>
                      </w:pPr>
                      <w:r>
                        <w:t>DD/MM/YYYY</w:t>
                      </w:r>
                    </w:p>
                    <w:p w:rsidR="00A359ED" w:rsidRDefault="00A359ED" w:rsidP="0074009D">
                      <w:pPr>
                        <w:pStyle w:val="AmID"/>
                        <w:rPr>
                          <w:sz w:val="16"/>
                        </w:rPr>
                      </w:pPr>
                      <w:r>
                        <w:t>Proposed C207</w:t>
                      </w:r>
                    </w:p>
                    <w:p w:rsidR="00A359ED" w:rsidRDefault="00A359ED" w:rsidP="0074009D"/>
                  </w:txbxContent>
                </v:textbox>
              </v:shape>
            </w:pict>
          </mc:Fallback>
        </mc:AlternateContent>
      </w:r>
      <w:r w:rsidR="0074009D">
        <w:t xml:space="preserve">Any application to subdivide land, use land or construct a building or carry our works on land within the Landfill Buffer as shown on Plan 3 of the incorporated </w:t>
      </w:r>
      <w:r w:rsidR="0074009D">
        <w:rPr>
          <w:i/>
        </w:rPr>
        <w:t>Sunbury South Precinct Structure Plan</w:t>
      </w:r>
      <w:r w:rsidR="0074009D">
        <w:t xml:space="preserve"> must: </w:t>
      </w:r>
    </w:p>
    <w:p w:rsidR="0074009D" w:rsidRDefault="0074009D" w:rsidP="00337D9F">
      <w:pPr>
        <w:pStyle w:val="VPP-Bodytextbullet1"/>
        <w:tabs>
          <w:tab w:val="clear" w:pos="1039"/>
          <w:tab w:val="num" w:pos="1748"/>
        </w:tabs>
        <w:ind w:left="2127"/>
      </w:pPr>
      <w:r>
        <w:t xml:space="preserve">Demonstrate that the development will not have any material adverse effect on the ability of the operator of the Hi-Quality landfill at 600 Sunbury Road to comply with the Best Practice Environmental Management: Siting Design, Operation and </w:t>
      </w:r>
      <w:r>
        <w:lastRenderedPageBreak/>
        <w:t>Rehabilitation of Landfills (Environment Protection Authority, August 2015) to the satisfaction of the Responsible Authority, in consultation with the Environment Protection Authority; and</w:t>
      </w:r>
    </w:p>
    <w:p w:rsidR="0074009D" w:rsidRDefault="0074009D" w:rsidP="00337D9F">
      <w:pPr>
        <w:pStyle w:val="VPP-Bodytextbullet1"/>
        <w:tabs>
          <w:tab w:val="clear" w:pos="1039"/>
          <w:tab w:val="num" w:pos="1748"/>
        </w:tabs>
        <w:ind w:left="2127"/>
        <w:rPr>
          <w:b/>
          <w:u w:val="single"/>
        </w:rPr>
      </w:pPr>
      <w:r>
        <w:rPr>
          <w:b/>
          <w:u w:val="single"/>
        </w:rPr>
        <w:t xml:space="preserve">Be accompanied by a 53V (risk of harm) audit under the Environment Protection Act 1970, at the discretion of the responsible authority in consultation with the Environment Protection Authority. </w:t>
      </w:r>
    </w:p>
    <w:p w:rsidR="0074009D" w:rsidRDefault="0074009D" w:rsidP="00337D9F">
      <w:pPr>
        <w:pStyle w:val="VPP-bodytext"/>
        <w:ind w:left="1843"/>
      </w:pPr>
      <w:r>
        <w:t xml:space="preserve">The scope of any proposed 53V (risk of harm) audit must be submitted to the responsible authority for review prior to conducting an audit. The responsible authority may consult with the Environment Protection Authority. </w:t>
      </w:r>
    </w:p>
    <w:p w:rsidR="00534C1C" w:rsidRPr="00F0589E" w:rsidRDefault="0074009D" w:rsidP="0074009D">
      <w:pPr>
        <w:rPr>
          <w:rFonts w:asciiTheme="minorHAnsi" w:eastAsiaTheme="minorHAnsi" w:hAnsiTheme="minorHAnsi" w:cstheme="minorBidi"/>
          <w:sz w:val="22"/>
          <w:szCs w:val="22"/>
          <w:lang w:eastAsia="en-US"/>
        </w:rPr>
      </w:pPr>
      <w:r w:rsidRPr="00F0589E">
        <w:rPr>
          <w:rFonts w:asciiTheme="minorHAnsi" w:eastAsiaTheme="minorHAnsi" w:hAnsiTheme="minorHAnsi" w:cstheme="minorBidi"/>
          <w:sz w:val="22"/>
          <w:szCs w:val="22"/>
          <w:lang w:eastAsia="en-US"/>
        </w:rPr>
        <w:t xml:space="preserve">Proposed Clause 3.8 is to apply to any application to subdivide land, use land or construct a building or carry out works. </w:t>
      </w:r>
      <w:r w:rsidR="002605CD">
        <w:rPr>
          <w:rFonts w:asciiTheme="minorHAnsi" w:eastAsiaTheme="minorHAnsi" w:hAnsiTheme="minorHAnsi" w:cstheme="minorBidi"/>
          <w:sz w:val="22"/>
          <w:szCs w:val="22"/>
          <w:lang w:eastAsia="en-US"/>
        </w:rPr>
        <w:t>This is more onerous than the</w:t>
      </w:r>
      <w:r w:rsidRPr="00F0589E">
        <w:rPr>
          <w:rFonts w:asciiTheme="minorHAnsi" w:eastAsiaTheme="minorHAnsi" w:hAnsiTheme="minorHAnsi" w:cstheme="minorBidi"/>
          <w:sz w:val="22"/>
          <w:szCs w:val="22"/>
          <w:lang w:eastAsia="en-US"/>
        </w:rPr>
        <w:t xml:space="preserve"> recommendations of Ministerial Direction No.1, which only applies the requirement for an audit to sensitive uses or the construction or carrying out of buildings or works for sensitive uses. </w:t>
      </w:r>
    </w:p>
    <w:p w:rsidR="00534C1C" w:rsidRPr="00F0589E" w:rsidRDefault="0074009D" w:rsidP="0074009D">
      <w:pPr>
        <w:rPr>
          <w:rFonts w:asciiTheme="minorHAnsi" w:eastAsiaTheme="minorHAnsi" w:hAnsiTheme="minorHAnsi" w:cstheme="minorBidi"/>
          <w:sz w:val="22"/>
          <w:szCs w:val="22"/>
          <w:lang w:eastAsia="en-US"/>
        </w:rPr>
      </w:pPr>
      <w:r w:rsidRPr="00F0589E">
        <w:rPr>
          <w:rFonts w:asciiTheme="minorHAnsi" w:eastAsiaTheme="minorHAnsi" w:hAnsiTheme="minorHAnsi" w:cstheme="minorBidi"/>
          <w:sz w:val="22"/>
          <w:szCs w:val="22"/>
          <w:lang w:eastAsia="en-US"/>
        </w:rPr>
        <w:t xml:space="preserve">Landfill gas poses a unique risk to land, and all works which involve ground disturbance have the potential to be hazardous. Accordingly, the UGZ9 also incorporates additional buildings and works permit triggers at Clause 2.8. </w:t>
      </w:r>
    </w:p>
    <w:p w:rsidR="00F0589E" w:rsidRDefault="003A0C98" w:rsidP="003A0C98">
      <w:r w:rsidRPr="003A0C98">
        <w:rPr>
          <w:rFonts w:asciiTheme="minorHAnsi" w:eastAsiaTheme="minorHAnsi" w:hAnsiTheme="minorHAnsi" w:cstheme="minorBidi"/>
          <w:sz w:val="22"/>
          <w:szCs w:val="22"/>
          <w:lang w:eastAsia="en-US"/>
        </w:rPr>
        <w:t>T</w:t>
      </w:r>
      <w:r w:rsidR="00534C1C" w:rsidRPr="003A0C98">
        <w:rPr>
          <w:rFonts w:asciiTheme="minorHAnsi" w:eastAsiaTheme="minorHAnsi" w:hAnsiTheme="minorHAnsi" w:cstheme="minorBidi"/>
          <w:sz w:val="22"/>
          <w:szCs w:val="22"/>
          <w:lang w:eastAsia="en-US"/>
        </w:rPr>
        <w:t xml:space="preserve">his Panel is in receipt of the evidence of Mr Clarke </w:t>
      </w:r>
      <w:r>
        <w:rPr>
          <w:rFonts w:asciiTheme="minorHAnsi" w:eastAsiaTheme="minorHAnsi" w:hAnsiTheme="minorHAnsi" w:cstheme="minorBidi"/>
          <w:sz w:val="22"/>
          <w:szCs w:val="22"/>
          <w:lang w:eastAsia="en-US"/>
        </w:rPr>
        <w:t xml:space="preserve">on landfill gas </w:t>
      </w:r>
      <w:r w:rsidR="00534C1C" w:rsidRPr="003A0C98">
        <w:rPr>
          <w:rFonts w:asciiTheme="minorHAnsi" w:eastAsiaTheme="minorHAnsi" w:hAnsiTheme="minorHAnsi" w:cstheme="minorBidi"/>
          <w:sz w:val="22"/>
          <w:szCs w:val="22"/>
          <w:lang w:eastAsia="en-US"/>
        </w:rPr>
        <w:t xml:space="preserve">which has </w:t>
      </w:r>
      <w:r w:rsidR="00F0589E" w:rsidRPr="003A0C98">
        <w:rPr>
          <w:rFonts w:asciiTheme="minorHAnsi" w:eastAsiaTheme="minorHAnsi" w:hAnsiTheme="minorHAnsi" w:cstheme="minorBidi"/>
          <w:sz w:val="22"/>
          <w:szCs w:val="22"/>
          <w:lang w:eastAsia="en-US"/>
        </w:rPr>
        <w:t>provided</w:t>
      </w:r>
      <w:r w:rsidR="00534C1C" w:rsidRPr="003A0C98">
        <w:rPr>
          <w:rFonts w:asciiTheme="minorHAnsi" w:eastAsiaTheme="minorHAnsi" w:hAnsiTheme="minorHAnsi" w:cstheme="minorBidi"/>
          <w:sz w:val="22"/>
          <w:szCs w:val="22"/>
          <w:lang w:eastAsia="en-US"/>
        </w:rPr>
        <w:t xml:space="preserve"> that</w:t>
      </w:r>
      <w:r w:rsidR="00F0589E" w:rsidRPr="003A0C98">
        <w:rPr>
          <w:rFonts w:asciiTheme="minorHAnsi" w:eastAsiaTheme="minorHAnsi" w:hAnsiTheme="minorHAnsi" w:cstheme="minorBidi"/>
          <w:sz w:val="22"/>
          <w:szCs w:val="22"/>
          <w:lang w:eastAsia="en-US"/>
        </w:rPr>
        <w:t>:</w:t>
      </w:r>
    </w:p>
    <w:p w:rsidR="003A0C98" w:rsidRDefault="003A0C98" w:rsidP="0074009D"/>
    <w:p w:rsidR="0074009D" w:rsidRDefault="00F0589E" w:rsidP="00883590">
      <w:pPr>
        <w:pStyle w:val="ListParagraph"/>
        <w:numPr>
          <w:ilvl w:val="0"/>
          <w:numId w:val="19"/>
        </w:numPr>
      </w:pPr>
      <w:r>
        <w:t>The buffers of 500 metres for landfill gas in the BPEM are directed at putrescible landfill risks.</w:t>
      </w:r>
    </w:p>
    <w:p w:rsidR="00F0589E" w:rsidRDefault="00F0589E" w:rsidP="00883590">
      <w:pPr>
        <w:pStyle w:val="ListParagraph"/>
        <w:numPr>
          <w:ilvl w:val="0"/>
          <w:numId w:val="19"/>
        </w:numPr>
      </w:pPr>
      <w:r>
        <w:t xml:space="preserve">The buffers identified in the PSP can be reduced to distances </w:t>
      </w:r>
      <w:r w:rsidR="003A0C98">
        <w:t xml:space="preserve">of between 200 and approximately 300 metres, but that this still represents a conservative approach. </w:t>
      </w:r>
    </w:p>
    <w:p w:rsidR="003A0C98" w:rsidRDefault="003A0C98" w:rsidP="00883590">
      <w:pPr>
        <w:pStyle w:val="ListParagraph"/>
        <w:numPr>
          <w:ilvl w:val="0"/>
          <w:numId w:val="19"/>
        </w:numPr>
      </w:pPr>
      <w:r>
        <w:t xml:space="preserve">In the longer term the buffers can be further reduced.  </w:t>
      </w:r>
    </w:p>
    <w:p w:rsidR="0074009D" w:rsidRDefault="007C2E1A" w:rsidP="0074009D">
      <w:pPr>
        <w:rPr>
          <w:rFonts w:asciiTheme="minorHAnsi" w:eastAsiaTheme="minorHAnsi" w:hAnsiTheme="minorHAnsi" w:cstheme="minorBidi"/>
          <w:sz w:val="22"/>
          <w:szCs w:val="22"/>
          <w:lang w:eastAsia="en-US"/>
        </w:rPr>
      </w:pPr>
      <w:r w:rsidRPr="007C2E1A">
        <w:rPr>
          <w:rFonts w:asciiTheme="minorHAnsi" w:eastAsiaTheme="minorHAnsi" w:hAnsiTheme="minorHAnsi" w:cstheme="minorBidi"/>
          <w:sz w:val="22"/>
          <w:szCs w:val="22"/>
          <w:lang w:eastAsia="en-US"/>
        </w:rPr>
        <w:t xml:space="preserve">The Panel is also in receipt of evidence from Mr Ramsey that the amenity buffer arising from truck movements etc. is not required after cell closure.  </w:t>
      </w:r>
    </w:p>
    <w:p w:rsidR="004039F7" w:rsidRPr="004039F7" w:rsidRDefault="004039F7" w:rsidP="0095012C">
      <w:pPr>
        <w:rPr>
          <w:rFonts w:asciiTheme="minorHAnsi" w:eastAsiaTheme="minorHAnsi" w:hAnsiTheme="minorHAnsi" w:cstheme="minorBidi"/>
          <w:sz w:val="22"/>
          <w:szCs w:val="22"/>
          <w:lang w:eastAsia="en-US"/>
        </w:rPr>
      </w:pPr>
      <w:r w:rsidRPr="0095012C">
        <w:rPr>
          <w:rFonts w:asciiTheme="minorHAnsi" w:eastAsiaTheme="minorHAnsi" w:hAnsiTheme="minorHAnsi" w:cstheme="minorBidi"/>
          <w:sz w:val="22"/>
          <w:szCs w:val="22"/>
          <w:lang w:eastAsia="en-US"/>
        </w:rPr>
        <w:t xml:space="preserve">Ministerial Direction No.1 rarely applies to PSP land, as it typically has a farming history rather than an industrial history. </w:t>
      </w:r>
      <w:r w:rsidR="0095012C">
        <w:rPr>
          <w:rFonts w:asciiTheme="minorHAnsi" w:eastAsiaTheme="minorHAnsi" w:hAnsiTheme="minorHAnsi" w:cstheme="minorBidi"/>
          <w:sz w:val="22"/>
          <w:szCs w:val="22"/>
          <w:lang w:eastAsia="en-US"/>
        </w:rPr>
        <w:t xml:space="preserve">  </w:t>
      </w:r>
      <w:r w:rsidRPr="004039F7">
        <w:rPr>
          <w:rFonts w:asciiTheme="minorHAnsi" w:eastAsiaTheme="minorHAnsi" w:hAnsiTheme="minorHAnsi" w:cstheme="minorBidi"/>
          <w:sz w:val="22"/>
          <w:szCs w:val="22"/>
          <w:lang w:eastAsia="en-US"/>
        </w:rPr>
        <w:t xml:space="preserve">Irrespective, a similar approach to that which is outlined in MD1 is followed. </w:t>
      </w:r>
    </w:p>
    <w:p w:rsidR="004039F7" w:rsidRPr="004039F7" w:rsidRDefault="004039F7" w:rsidP="0095012C">
      <w:pPr>
        <w:rPr>
          <w:rFonts w:asciiTheme="minorHAnsi" w:eastAsiaTheme="minorHAnsi" w:hAnsiTheme="minorHAnsi" w:cstheme="minorBidi"/>
          <w:sz w:val="22"/>
          <w:szCs w:val="22"/>
          <w:lang w:eastAsia="en-US"/>
        </w:rPr>
      </w:pPr>
      <w:r w:rsidRPr="004039F7">
        <w:rPr>
          <w:rFonts w:asciiTheme="minorHAnsi" w:eastAsiaTheme="minorHAnsi" w:hAnsiTheme="minorHAnsi" w:cstheme="minorBidi"/>
          <w:sz w:val="22"/>
          <w:szCs w:val="22"/>
          <w:lang w:eastAsia="en-US"/>
        </w:rPr>
        <w:t xml:space="preserve">The usual process, and that which has been followed for the Sunbury Amendments, is that a preliminary assessment is undertaken which identifies those land parcels which show potential for contaminated land as a result of the previous land uses, carried out by a suitably qualified person. The UGZ then directs further assessment of those areas identified in the preliminary assessment be undertaken, and appropriate conditions be included on planning permits as necessary. The EPA has endorsed the approach taken within the Sunbury PSPs in relation to land contamination. </w:t>
      </w:r>
    </w:p>
    <w:p w:rsidR="004039F7" w:rsidRPr="004039F7" w:rsidRDefault="004039F7" w:rsidP="0095012C">
      <w:pPr>
        <w:rPr>
          <w:rFonts w:asciiTheme="minorHAnsi" w:eastAsiaTheme="minorHAnsi" w:hAnsiTheme="minorHAnsi" w:cstheme="minorBidi"/>
          <w:sz w:val="22"/>
          <w:szCs w:val="22"/>
          <w:lang w:eastAsia="en-US"/>
        </w:rPr>
      </w:pPr>
      <w:r w:rsidRPr="004039F7">
        <w:rPr>
          <w:rFonts w:asciiTheme="minorHAnsi" w:eastAsiaTheme="minorHAnsi" w:hAnsiTheme="minorHAnsi" w:cstheme="minorBidi"/>
          <w:sz w:val="22"/>
          <w:szCs w:val="22"/>
          <w:lang w:eastAsia="en-US"/>
        </w:rPr>
        <w:t>The VPA (then GAA) made an organisational decision in 2011 that the most appropriate way to address the matter of potential land contamination is within the UGZ, and through deferred detailed assessment. The rationale for this includes:</w:t>
      </w:r>
    </w:p>
    <w:p w:rsidR="004039F7" w:rsidRPr="004039F7" w:rsidRDefault="004039F7" w:rsidP="00883590">
      <w:pPr>
        <w:pStyle w:val="ListParagraph"/>
        <w:numPr>
          <w:ilvl w:val="0"/>
          <w:numId w:val="19"/>
        </w:numPr>
      </w:pPr>
      <w:r w:rsidRPr="004039F7">
        <w:t xml:space="preserve">It is usually difficult to obtain comprehensive access to all properties to undertake a full assessment. In the case of the Sunbury amendments this would involve obtaining and co-ordinating access permission from approximately 150 individual landowners. </w:t>
      </w:r>
    </w:p>
    <w:p w:rsidR="004039F7" w:rsidRPr="004039F7" w:rsidRDefault="004039F7" w:rsidP="00883590">
      <w:pPr>
        <w:pStyle w:val="ListParagraph"/>
        <w:numPr>
          <w:ilvl w:val="0"/>
          <w:numId w:val="19"/>
        </w:numPr>
      </w:pPr>
      <w:r w:rsidRPr="004039F7">
        <w:lastRenderedPageBreak/>
        <w:t>It is cost-prohibitive to undertake this detailed assessment at a precinct-wide scale</w:t>
      </w:r>
    </w:p>
    <w:p w:rsidR="004039F7" w:rsidRPr="004039F7" w:rsidRDefault="004039F7" w:rsidP="00883590">
      <w:pPr>
        <w:pStyle w:val="ListParagraph"/>
        <w:numPr>
          <w:ilvl w:val="0"/>
          <w:numId w:val="19"/>
        </w:numPr>
      </w:pPr>
      <w:r w:rsidRPr="004039F7">
        <w:t>The application of an EAO is considered inappropriate due to:</w:t>
      </w:r>
    </w:p>
    <w:p w:rsidR="004039F7" w:rsidRPr="004039F7" w:rsidRDefault="004039F7" w:rsidP="00883590">
      <w:pPr>
        <w:pStyle w:val="ListParagraph"/>
        <w:numPr>
          <w:ilvl w:val="1"/>
          <w:numId w:val="19"/>
        </w:numPr>
      </w:pPr>
      <w:r w:rsidRPr="004039F7">
        <w:t xml:space="preserve">The ability of the PSP and UGZ to deliver these controls in a transparent and co-ordinated fashion, </w:t>
      </w:r>
    </w:p>
    <w:p w:rsidR="004039F7" w:rsidRPr="004039F7" w:rsidRDefault="004039F7" w:rsidP="00883590">
      <w:pPr>
        <w:pStyle w:val="ListParagraph"/>
        <w:numPr>
          <w:ilvl w:val="1"/>
          <w:numId w:val="19"/>
        </w:numPr>
      </w:pPr>
      <w:r w:rsidRPr="004039F7">
        <w:t>The difficulty in determining the exact extent of the EAOs required. This was exemplified in the Clyde North PSP (Casey Amendment C153) where significant discussion occurred during the Panel hearing as to the appropriate extent of an EAO to a sheep dip, which impacted a minor portion of a large land parcel. It was unnecessary to apply the EAO to the entire land parcel, and the task of identifying this level of detail at the PSP stage is an onerous exercise.  </w:t>
      </w:r>
    </w:p>
    <w:p w:rsidR="004039F7" w:rsidRPr="004039F7" w:rsidRDefault="004039F7" w:rsidP="00883590">
      <w:pPr>
        <w:pStyle w:val="ListParagraph"/>
        <w:numPr>
          <w:ilvl w:val="1"/>
          <w:numId w:val="19"/>
        </w:numPr>
      </w:pPr>
      <w:r w:rsidRPr="004039F7">
        <w:t xml:space="preserve">An EAO as per Ministerial Direction No.1 is often too onerous given the types of contamination that are typically found in growth areas i.e. farming contaminants rather than industrial contaminants. </w:t>
      </w:r>
    </w:p>
    <w:p w:rsidR="0074009D" w:rsidRDefault="0074009D" w:rsidP="000F1C17">
      <w:pPr>
        <w:pStyle w:val="Heading3"/>
        <w:numPr>
          <w:ilvl w:val="0"/>
          <w:numId w:val="0"/>
        </w:numPr>
      </w:pPr>
      <w:r>
        <w:t>Examples of previous PSPs which have included residential land within buffers</w:t>
      </w:r>
    </w:p>
    <w:p w:rsidR="0074009D" w:rsidRPr="005F28A8" w:rsidRDefault="005F28A8" w:rsidP="0074009D">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It is </w:t>
      </w:r>
      <w:r w:rsidR="0074009D" w:rsidRPr="005F28A8">
        <w:rPr>
          <w:rFonts w:asciiTheme="minorHAnsi" w:eastAsiaTheme="minorHAnsi" w:hAnsiTheme="minorHAnsi" w:cstheme="minorBidi"/>
          <w:sz w:val="22"/>
          <w:szCs w:val="22"/>
          <w:lang w:eastAsia="en-US"/>
        </w:rPr>
        <w:t>common for precinct structure plans to accommodate buffers to land uses with potential adverse amenity impacts.</w:t>
      </w:r>
    </w:p>
    <w:p w:rsidR="0074009D" w:rsidRPr="005F28A8" w:rsidRDefault="0074009D" w:rsidP="0074009D">
      <w:pPr>
        <w:rPr>
          <w:rFonts w:asciiTheme="minorHAnsi" w:eastAsiaTheme="minorHAnsi" w:hAnsiTheme="minorHAnsi" w:cstheme="minorBidi"/>
          <w:sz w:val="22"/>
          <w:szCs w:val="22"/>
          <w:lang w:eastAsia="en-US"/>
        </w:rPr>
      </w:pPr>
      <w:r w:rsidRPr="005F28A8">
        <w:rPr>
          <w:rFonts w:asciiTheme="minorHAnsi" w:eastAsiaTheme="minorHAnsi" w:hAnsiTheme="minorHAnsi" w:cstheme="minorBidi"/>
          <w:sz w:val="22"/>
          <w:szCs w:val="22"/>
          <w:lang w:eastAsia="en-US"/>
        </w:rPr>
        <w:t xml:space="preserve">Within </w:t>
      </w:r>
      <w:r w:rsidR="00677323">
        <w:rPr>
          <w:rFonts w:asciiTheme="minorHAnsi" w:eastAsiaTheme="minorHAnsi" w:hAnsiTheme="minorHAnsi" w:cstheme="minorBidi"/>
          <w:sz w:val="22"/>
          <w:szCs w:val="22"/>
          <w:lang w:eastAsia="en-US"/>
        </w:rPr>
        <w:t xml:space="preserve">the </w:t>
      </w:r>
      <w:r w:rsidRPr="005F28A8">
        <w:rPr>
          <w:rFonts w:asciiTheme="minorHAnsi" w:eastAsiaTheme="minorHAnsi" w:hAnsiTheme="minorHAnsi" w:cstheme="minorBidi"/>
          <w:sz w:val="22"/>
          <w:szCs w:val="22"/>
          <w:lang w:eastAsia="en-US"/>
        </w:rPr>
        <w:t>growth areas, the most common land use with notable off-site odour impacts is broiler farms. Whilst it is acknowledged that the odour emissions from a broiler farm will differ from those of a composting facility or landfill</w:t>
      </w:r>
      <w:r w:rsidR="00677323">
        <w:rPr>
          <w:rFonts w:asciiTheme="minorHAnsi" w:eastAsiaTheme="minorHAnsi" w:hAnsiTheme="minorHAnsi" w:cstheme="minorBidi"/>
          <w:sz w:val="22"/>
          <w:szCs w:val="22"/>
          <w:lang w:eastAsia="en-US"/>
        </w:rPr>
        <w:t xml:space="preserve"> the intersect of residential zones with </w:t>
      </w:r>
      <w:r w:rsidR="00DE5AAB">
        <w:rPr>
          <w:rFonts w:asciiTheme="minorHAnsi" w:eastAsiaTheme="minorHAnsi" w:hAnsiTheme="minorHAnsi" w:cstheme="minorBidi"/>
          <w:sz w:val="22"/>
          <w:szCs w:val="22"/>
          <w:lang w:eastAsia="en-US"/>
        </w:rPr>
        <w:t xml:space="preserve">buffers is a matter frequently considered by the VPA.  </w:t>
      </w:r>
    </w:p>
    <w:p w:rsidR="0074009D" w:rsidRPr="005F28A8" w:rsidRDefault="0074009D" w:rsidP="0074009D">
      <w:pPr>
        <w:rPr>
          <w:rFonts w:asciiTheme="minorHAnsi" w:eastAsiaTheme="minorHAnsi" w:hAnsiTheme="minorHAnsi" w:cstheme="minorBidi"/>
          <w:sz w:val="22"/>
          <w:szCs w:val="22"/>
          <w:lang w:eastAsia="en-US"/>
        </w:rPr>
      </w:pPr>
      <w:r w:rsidRPr="005F28A8">
        <w:rPr>
          <w:rFonts w:asciiTheme="minorHAnsi" w:eastAsiaTheme="minorHAnsi" w:hAnsiTheme="minorHAnsi" w:cstheme="minorBidi"/>
          <w:sz w:val="22"/>
          <w:szCs w:val="22"/>
          <w:lang w:eastAsia="en-US"/>
        </w:rPr>
        <w:t>Of particular relevance to odour, the following precinct structure plans have all shown residential land uses underlying odour buffers to broiler farms:</w:t>
      </w:r>
    </w:p>
    <w:p w:rsidR="0074009D" w:rsidRPr="00DE5AAB" w:rsidRDefault="0074009D" w:rsidP="00883590">
      <w:pPr>
        <w:pStyle w:val="List1bullet"/>
        <w:numPr>
          <w:ilvl w:val="0"/>
          <w:numId w:val="17"/>
        </w:numPr>
        <w:ind w:left="284" w:hanging="284"/>
        <w:rPr>
          <w:rFonts w:asciiTheme="minorHAnsi" w:eastAsiaTheme="minorHAnsi" w:hAnsiTheme="minorHAnsi" w:cstheme="minorBidi"/>
          <w:sz w:val="22"/>
          <w:szCs w:val="22"/>
          <w:lang w:eastAsia="en-US"/>
        </w:rPr>
      </w:pPr>
      <w:r w:rsidRPr="00DE5AAB">
        <w:rPr>
          <w:rFonts w:asciiTheme="minorHAnsi" w:eastAsiaTheme="minorHAnsi" w:hAnsiTheme="minorHAnsi" w:cstheme="minorBidi"/>
          <w:sz w:val="22"/>
          <w:szCs w:val="22"/>
          <w:lang w:eastAsia="en-US"/>
        </w:rPr>
        <w:t>Black Forest Road South Precinct Structure Plan</w:t>
      </w:r>
    </w:p>
    <w:p w:rsidR="0074009D" w:rsidRPr="00DE5AAB" w:rsidRDefault="0074009D" w:rsidP="00883590">
      <w:pPr>
        <w:pStyle w:val="List1bullet"/>
        <w:numPr>
          <w:ilvl w:val="0"/>
          <w:numId w:val="17"/>
        </w:numPr>
        <w:ind w:left="284" w:hanging="284"/>
        <w:rPr>
          <w:rFonts w:asciiTheme="minorHAnsi" w:eastAsiaTheme="minorHAnsi" w:hAnsiTheme="minorHAnsi" w:cstheme="minorBidi"/>
          <w:sz w:val="22"/>
          <w:szCs w:val="22"/>
          <w:lang w:eastAsia="en-US"/>
        </w:rPr>
      </w:pPr>
      <w:r w:rsidRPr="00DE5AAB">
        <w:rPr>
          <w:rFonts w:asciiTheme="minorHAnsi" w:eastAsiaTheme="minorHAnsi" w:hAnsiTheme="minorHAnsi" w:cstheme="minorBidi"/>
          <w:sz w:val="22"/>
          <w:szCs w:val="22"/>
          <w:lang w:eastAsia="en-US"/>
        </w:rPr>
        <w:t xml:space="preserve">Greenvale Central Precinct Structure Plan </w:t>
      </w:r>
    </w:p>
    <w:p w:rsidR="0074009D" w:rsidRPr="00DE5AAB" w:rsidRDefault="0074009D" w:rsidP="00883590">
      <w:pPr>
        <w:pStyle w:val="List1bullet"/>
        <w:numPr>
          <w:ilvl w:val="0"/>
          <w:numId w:val="17"/>
        </w:numPr>
        <w:ind w:left="284" w:hanging="284"/>
        <w:rPr>
          <w:rFonts w:asciiTheme="minorHAnsi" w:eastAsiaTheme="minorHAnsi" w:hAnsiTheme="minorHAnsi" w:cstheme="minorBidi"/>
          <w:sz w:val="22"/>
          <w:szCs w:val="22"/>
          <w:lang w:eastAsia="en-US"/>
        </w:rPr>
      </w:pPr>
      <w:r w:rsidRPr="00DE5AAB">
        <w:rPr>
          <w:rFonts w:asciiTheme="minorHAnsi" w:eastAsiaTheme="minorHAnsi" w:hAnsiTheme="minorHAnsi" w:cstheme="minorBidi"/>
          <w:sz w:val="22"/>
          <w:szCs w:val="22"/>
          <w:lang w:eastAsia="en-US"/>
        </w:rPr>
        <w:t>Wollert Precinct Structure Plan</w:t>
      </w:r>
    </w:p>
    <w:p w:rsidR="0074009D" w:rsidRPr="00DE5AAB" w:rsidRDefault="0074009D" w:rsidP="00883590">
      <w:pPr>
        <w:pStyle w:val="List1bullet"/>
        <w:numPr>
          <w:ilvl w:val="0"/>
          <w:numId w:val="17"/>
        </w:numPr>
        <w:ind w:left="284" w:hanging="284"/>
        <w:rPr>
          <w:rFonts w:asciiTheme="minorHAnsi" w:eastAsiaTheme="minorHAnsi" w:hAnsiTheme="minorHAnsi" w:cstheme="minorBidi"/>
          <w:sz w:val="22"/>
          <w:szCs w:val="22"/>
          <w:lang w:eastAsia="en-US"/>
        </w:rPr>
      </w:pPr>
      <w:r w:rsidRPr="00DE5AAB">
        <w:rPr>
          <w:rFonts w:asciiTheme="minorHAnsi" w:eastAsiaTheme="minorHAnsi" w:hAnsiTheme="minorHAnsi" w:cstheme="minorBidi"/>
          <w:sz w:val="22"/>
          <w:szCs w:val="22"/>
          <w:lang w:eastAsia="en-US"/>
        </w:rPr>
        <w:t>Tarneit North Precinct Structure Plan</w:t>
      </w:r>
    </w:p>
    <w:p w:rsidR="0074009D" w:rsidRPr="00DE5AAB" w:rsidRDefault="0074009D" w:rsidP="00883590">
      <w:pPr>
        <w:pStyle w:val="List1bullet"/>
        <w:numPr>
          <w:ilvl w:val="0"/>
          <w:numId w:val="17"/>
        </w:numPr>
        <w:ind w:left="284" w:hanging="284"/>
        <w:rPr>
          <w:rFonts w:asciiTheme="minorHAnsi" w:eastAsiaTheme="minorHAnsi" w:hAnsiTheme="minorHAnsi" w:cstheme="minorBidi"/>
          <w:sz w:val="22"/>
          <w:szCs w:val="22"/>
          <w:lang w:eastAsia="en-US"/>
        </w:rPr>
      </w:pPr>
      <w:r w:rsidRPr="00DE5AAB">
        <w:rPr>
          <w:rFonts w:asciiTheme="minorHAnsi" w:eastAsiaTheme="minorHAnsi" w:hAnsiTheme="minorHAnsi" w:cstheme="minorBidi"/>
          <w:sz w:val="22"/>
          <w:szCs w:val="22"/>
          <w:lang w:eastAsia="en-US"/>
        </w:rPr>
        <w:t>Alfred Road Precinct Structure Plan</w:t>
      </w:r>
    </w:p>
    <w:p w:rsidR="0074009D" w:rsidRPr="00DE5AAB" w:rsidRDefault="0074009D" w:rsidP="00883590">
      <w:pPr>
        <w:pStyle w:val="List1bullet"/>
        <w:numPr>
          <w:ilvl w:val="0"/>
          <w:numId w:val="17"/>
        </w:numPr>
        <w:ind w:left="284" w:hanging="284"/>
        <w:rPr>
          <w:rFonts w:asciiTheme="minorHAnsi" w:eastAsiaTheme="minorHAnsi" w:hAnsiTheme="minorHAnsi" w:cstheme="minorBidi"/>
          <w:sz w:val="22"/>
          <w:szCs w:val="22"/>
          <w:lang w:eastAsia="en-US"/>
        </w:rPr>
      </w:pPr>
      <w:r w:rsidRPr="00DE5AAB">
        <w:rPr>
          <w:rFonts w:asciiTheme="minorHAnsi" w:eastAsiaTheme="minorHAnsi" w:hAnsiTheme="minorHAnsi" w:cstheme="minorBidi"/>
          <w:sz w:val="22"/>
          <w:szCs w:val="22"/>
          <w:lang w:eastAsia="en-US"/>
        </w:rPr>
        <w:t>Truganina Precinct Structure Plan</w:t>
      </w:r>
    </w:p>
    <w:p w:rsidR="0074009D" w:rsidRPr="00DE5AAB" w:rsidRDefault="0074009D" w:rsidP="00883590">
      <w:pPr>
        <w:pStyle w:val="List1bullet"/>
        <w:numPr>
          <w:ilvl w:val="0"/>
          <w:numId w:val="17"/>
        </w:numPr>
        <w:ind w:left="284" w:hanging="284"/>
        <w:rPr>
          <w:rFonts w:asciiTheme="minorHAnsi" w:eastAsiaTheme="minorHAnsi" w:hAnsiTheme="minorHAnsi" w:cstheme="minorBidi"/>
          <w:sz w:val="22"/>
          <w:szCs w:val="22"/>
          <w:lang w:eastAsia="en-US"/>
        </w:rPr>
      </w:pPr>
      <w:r w:rsidRPr="00DE5AAB">
        <w:rPr>
          <w:rFonts w:asciiTheme="minorHAnsi" w:eastAsiaTheme="minorHAnsi" w:hAnsiTheme="minorHAnsi" w:cstheme="minorBidi"/>
          <w:sz w:val="22"/>
          <w:szCs w:val="22"/>
          <w:lang w:eastAsia="en-US"/>
        </w:rPr>
        <w:t>Casey Fields South Residential Precinct Structure Plan</w:t>
      </w:r>
    </w:p>
    <w:p w:rsidR="0074009D" w:rsidRPr="00DE5AAB" w:rsidRDefault="0074009D" w:rsidP="00883590">
      <w:pPr>
        <w:pStyle w:val="List1bullet"/>
        <w:numPr>
          <w:ilvl w:val="0"/>
          <w:numId w:val="17"/>
        </w:numPr>
        <w:ind w:left="284" w:hanging="284"/>
        <w:rPr>
          <w:rFonts w:asciiTheme="minorHAnsi" w:eastAsiaTheme="minorHAnsi" w:hAnsiTheme="minorHAnsi" w:cstheme="minorBidi"/>
          <w:sz w:val="22"/>
          <w:szCs w:val="22"/>
          <w:lang w:eastAsia="en-US"/>
        </w:rPr>
      </w:pPr>
      <w:r w:rsidRPr="00DE5AAB">
        <w:rPr>
          <w:rFonts w:asciiTheme="minorHAnsi" w:eastAsiaTheme="minorHAnsi" w:hAnsiTheme="minorHAnsi" w:cstheme="minorBidi"/>
          <w:sz w:val="22"/>
          <w:szCs w:val="22"/>
          <w:lang w:eastAsia="en-US"/>
        </w:rPr>
        <w:t xml:space="preserve">Armstrong Creek East Precinct Structure Plan  </w:t>
      </w:r>
    </w:p>
    <w:p w:rsidR="0074009D" w:rsidRPr="00DE5AAB" w:rsidRDefault="0074009D" w:rsidP="00DE5AAB">
      <w:pPr>
        <w:pStyle w:val="List1bullet"/>
        <w:numPr>
          <w:ilvl w:val="0"/>
          <w:numId w:val="0"/>
        </w:numPr>
        <w:rPr>
          <w:rFonts w:asciiTheme="minorHAnsi" w:eastAsiaTheme="minorHAnsi" w:hAnsiTheme="minorHAnsi" w:cstheme="minorBidi"/>
          <w:sz w:val="22"/>
          <w:szCs w:val="22"/>
          <w:lang w:eastAsia="en-US"/>
        </w:rPr>
      </w:pPr>
      <w:r w:rsidRPr="00DE5AAB">
        <w:rPr>
          <w:rFonts w:asciiTheme="minorHAnsi" w:eastAsiaTheme="minorHAnsi" w:hAnsiTheme="minorHAnsi" w:cstheme="minorBidi"/>
          <w:sz w:val="22"/>
          <w:szCs w:val="22"/>
          <w:lang w:eastAsia="en-US"/>
        </w:rPr>
        <w:t>The provision of residential land uses within quarry buffers has been included in the following PSPs:</w:t>
      </w:r>
    </w:p>
    <w:p w:rsidR="0074009D" w:rsidRPr="00DE5AAB" w:rsidRDefault="0074009D" w:rsidP="00883590">
      <w:pPr>
        <w:pStyle w:val="List1bullet"/>
        <w:numPr>
          <w:ilvl w:val="0"/>
          <w:numId w:val="17"/>
        </w:numPr>
        <w:ind w:left="284" w:hanging="284"/>
        <w:rPr>
          <w:rFonts w:asciiTheme="minorHAnsi" w:eastAsiaTheme="minorHAnsi" w:hAnsiTheme="minorHAnsi" w:cstheme="minorBidi"/>
          <w:sz w:val="22"/>
          <w:szCs w:val="22"/>
          <w:lang w:eastAsia="en-US"/>
        </w:rPr>
      </w:pPr>
      <w:r w:rsidRPr="00DE5AAB">
        <w:rPr>
          <w:rFonts w:asciiTheme="minorHAnsi" w:eastAsiaTheme="minorHAnsi" w:hAnsiTheme="minorHAnsi" w:cstheme="minorBidi"/>
          <w:sz w:val="22"/>
          <w:szCs w:val="22"/>
          <w:lang w:eastAsia="en-US"/>
        </w:rPr>
        <w:t>Manor Lakes Precinct Structure Plan</w:t>
      </w:r>
    </w:p>
    <w:p w:rsidR="0074009D" w:rsidRPr="00DE5AAB" w:rsidRDefault="0074009D" w:rsidP="00883590">
      <w:pPr>
        <w:pStyle w:val="List1bullet"/>
        <w:numPr>
          <w:ilvl w:val="0"/>
          <w:numId w:val="17"/>
        </w:numPr>
        <w:ind w:left="284" w:hanging="284"/>
        <w:rPr>
          <w:rFonts w:asciiTheme="minorHAnsi" w:eastAsiaTheme="minorHAnsi" w:hAnsiTheme="minorHAnsi" w:cstheme="minorBidi"/>
          <w:sz w:val="22"/>
          <w:szCs w:val="22"/>
          <w:lang w:eastAsia="en-US"/>
        </w:rPr>
      </w:pPr>
      <w:r w:rsidRPr="00DE5AAB">
        <w:rPr>
          <w:rFonts w:asciiTheme="minorHAnsi" w:eastAsiaTheme="minorHAnsi" w:hAnsiTheme="minorHAnsi" w:cstheme="minorBidi"/>
          <w:sz w:val="22"/>
          <w:szCs w:val="22"/>
          <w:lang w:eastAsia="en-US"/>
        </w:rPr>
        <w:t>Black Forest Road South Precinct Structure Plan</w:t>
      </w:r>
    </w:p>
    <w:p w:rsidR="0074009D" w:rsidRPr="00DE5AAB" w:rsidRDefault="0074009D" w:rsidP="00883590">
      <w:pPr>
        <w:pStyle w:val="List1bullet"/>
        <w:numPr>
          <w:ilvl w:val="0"/>
          <w:numId w:val="17"/>
        </w:numPr>
        <w:ind w:left="284" w:hanging="284"/>
        <w:rPr>
          <w:rFonts w:asciiTheme="minorHAnsi" w:eastAsiaTheme="minorHAnsi" w:hAnsiTheme="minorHAnsi" w:cstheme="minorBidi"/>
          <w:sz w:val="22"/>
          <w:szCs w:val="22"/>
          <w:lang w:eastAsia="en-US"/>
        </w:rPr>
      </w:pPr>
      <w:r w:rsidRPr="00DE5AAB">
        <w:rPr>
          <w:rFonts w:asciiTheme="minorHAnsi" w:eastAsiaTheme="minorHAnsi" w:hAnsiTheme="minorHAnsi" w:cstheme="minorBidi"/>
          <w:sz w:val="22"/>
          <w:szCs w:val="22"/>
          <w:lang w:eastAsia="en-US"/>
        </w:rPr>
        <w:lastRenderedPageBreak/>
        <w:t>Westbrook Precinct Structure Plan</w:t>
      </w:r>
    </w:p>
    <w:p w:rsidR="0074009D" w:rsidRPr="00DE5AAB" w:rsidRDefault="0074009D" w:rsidP="00883590">
      <w:pPr>
        <w:pStyle w:val="List1bullet"/>
        <w:numPr>
          <w:ilvl w:val="0"/>
          <w:numId w:val="17"/>
        </w:numPr>
        <w:ind w:left="284" w:hanging="284"/>
        <w:rPr>
          <w:rFonts w:asciiTheme="minorHAnsi" w:eastAsiaTheme="minorHAnsi" w:hAnsiTheme="minorHAnsi" w:cstheme="minorBidi"/>
          <w:sz w:val="22"/>
          <w:szCs w:val="22"/>
          <w:lang w:eastAsia="en-US"/>
        </w:rPr>
      </w:pPr>
      <w:r w:rsidRPr="00DE5AAB">
        <w:rPr>
          <w:rFonts w:asciiTheme="minorHAnsi" w:eastAsiaTheme="minorHAnsi" w:hAnsiTheme="minorHAnsi" w:cstheme="minorBidi"/>
          <w:sz w:val="22"/>
          <w:szCs w:val="22"/>
          <w:lang w:eastAsia="en-US"/>
        </w:rPr>
        <w:t>Quarry Hills Precinct Structure Plan</w:t>
      </w:r>
    </w:p>
    <w:p w:rsidR="0074009D" w:rsidRPr="00DE5AAB" w:rsidRDefault="0074009D" w:rsidP="00883590">
      <w:pPr>
        <w:pStyle w:val="List1bullet"/>
        <w:numPr>
          <w:ilvl w:val="0"/>
          <w:numId w:val="17"/>
        </w:numPr>
        <w:ind w:left="284" w:hanging="284"/>
        <w:rPr>
          <w:rFonts w:asciiTheme="minorHAnsi" w:eastAsiaTheme="minorHAnsi" w:hAnsiTheme="minorHAnsi" w:cstheme="minorBidi"/>
          <w:sz w:val="22"/>
          <w:szCs w:val="22"/>
          <w:lang w:eastAsia="en-US"/>
        </w:rPr>
      </w:pPr>
      <w:r w:rsidRPr="00DE5AAB">
        <w:rPr>
          <w:rFonts w:asciiTheme="minorHAnsi" w:eastAsiaTheme="minorHAnsi" w:hAnsiTheme="minorHAnsi" w:cstheme="minorBidi"/>
          <w:sz w:val="22"/>
          <w:szCs w:val="22"/>
          <w:lang w:eastAsia="en-US"/>
        </w:rPr>
        <w:t>Thompsons Road Precinct Structure Plan</w:t>
      </w:r>
    </w:p>
    <w:p w:rsidR="0074009D" w:rsidRPr="00DE5AAB" w:rsidRDefault="0074009D" w:rsidP="00883590">
      <w:pPr>
        <w:pStyle w:val="List1bullet"/>
        <w:numPr>
          <w:ilvl w:val="0"/>
          <w:numId w:val="17"/>
        </w:numPr>
        <w:ind w:left="284" w:hanging="284"/>
        <w:rPr>
          <w:rFonts w:asciiTheme="minorHAnsi" w:eastAsiaTheme="minorHAnsi" w:hAnsiTheme="minorHAnsi" w:cstheme="minorBidi"/>
          <w:sz w:val="22"/>
          <w:szCs w:val="22"/>
          <w:lang w:eastAsia="en-US"/>
        </w:rPr>
      </w:pPr>
      <w:r w:rsidRPr="00DE5AAB">
        <w:rPr>
          <w:rFonts w:asciiTheme="minorHAnsi" w:eastAsiaTheme="minorHAnsi" w:hAnsiTheme="minorHAnsi" w:cstheme="minorBidi"/>
          <w:sz w:val="22"/>
          <w:szCs w:val="22"/>
          <w:lang w:eastAsia="en-US"/>
        </w:rPr>
        <w:t>Clyde Creek Precinct Structure Plan</w:t>
      </w:r>
    </w:p>
    <w:p w:rsidR="0074009D" w:rsidRPr="00DE5AAB" w:rsidRDefault="0074009D" w:rsidP="00883590">
      <w:pPr>
        <w:pStyle w:val="List1bullet"/>
        <w:numPr>
          <w:ilvl w:val="0"/>
          <w:numId w:val="17"/>
        </w:numPr>
        <w:ind w:left="284" w:hanging="284"/>
        <w:rPr>
          <w:rFonts w:asciiTheme="minorHAnsi" w:eastAsiaTheme="minorHAnsi" w:hAnsiTheme="minorHAnsi" w:cstheme="minorBidi"/>
          <w:sz w:val="22"/>
          <w:szCs w:val="22"/>
          <w:lang w:eastAsia="en-US"/>
        </w:rPr>
      </w:pPr>
      <w:r w:rsidRPr="00DE5AAB">
        <w:rPr>
          <w:rFonts w:asciiTheme="minorHAnsi" w:eastAsiaTheme="minorHAnsi" w:hAnsiTheme="minorHAnsi" w:cstheme="minorBidi"/>
          <w:sz w:val="22"/>
          <w:szCs w:val="22"/>
          <w:lang w:eastAsia="en-US"/>
        </w:rPr>
        <w:t>Brompton Lodge Precinct Structure Plan</w:t>
      </w:r>
    </w:p>
    <w:p w:rsidR="0074009D" w:rsidRDefault="000F1C17" w:rsidP="000F1C17">
      <w:pPr>
        <w:pStyle w:val="List1bullet"/>
        <w:numPr>
          <w:ilvl w:val="0"/>
          <w:numId w:val="0"/>
        </w:num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The provision of mixed use land within proximity to a landfill occurred in the </w:t>
      </w:r>
      <w:proofErr w:type="spellStart"/>
      <w:r>
        <w:rPr>
          <w:rFonts w:asciiTheme="minorHAnsi" w:eastAsiaTheme="minorHAnsi" w:hAnsiTheme="minorHAnsi" w:cstheme="minorBidi"/>
          <w:sz w:val="22"/>
          <w:szCs w:val="22"/>
          <w:lang w:eastAsia="en-US"/>
        </w:rPr>
        <w:t>Toolern</w:t>
      </w:r>
      <w:proofErr w:type="spellEnd"/>
      <w:r>
        <w:rPr>
          <w:rFonts w:asciiTheme="minorHAnsi" w:eastAsiaTheme="minorHAnsi" w:hAnsiTheme="minorHAnsi" w:cstheme="minorBidi"/>
          <w:sz w:val="22"/>
          <w:szCs w:val="22"/>
          <w:lang w:eastAsia="en-US"/>
        </w:rPr>
        <w:t xml:space="preserve"> Precinct Structure Plan.  </w:t>
      </w:r>
    </w:p>
    <w:p w:rsidR="000F1C17" w:rsidRDefault="00A359ED" w:rsidP="000F1C17">
      <w:pPr>
        <w:pStyle w:val="List1bullet"/>
        <w:numPr>
          <w:ilvl w:val="0"/>
          <w:numId w:val="0"/>
        </w:num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The test in the Direction is a test of ‘satisfaction’ </w:t>
      </w:r>
      <w:r w:rsidR="009D6FE4">
        <w:rPr>
          <w:rFonts w:asciiTheme="minorHAnsi" w:eastAsiaTheme="minorHAnsi" w:hAnsiTheme="minorHAnsi" w:cstheme="minorBidi"/>
          <w:sz w:val="22"/>
          <w:szCs w:val="22"/>
          <w:lang w:eastAsia="en-US"/>
        </w:rPr>
        <w:t xml:space="preserve">of the planning authority </w:t>
      </w:r>
      <w:r>
        <w:rPr>
          <w:rFonts w:asciiTheme="minorHAnsi" w:eastAsiaTheme="minorHAnsi" w:hAnsiTheme="minorHAnsi" w:cstheme="minorBidi"/>
          <w:sz w:val="22"/>
          <w:szCs w:val="22"/>
          <w:lang w:eastAsia="en-US"/>
        </w:rPr>
        <w:t xml:space="preserve">that the conditions are or will be suitable to the proposed </w:t>
      </w:r>
      <w:r w:rsidR="009D6FE4">
        <w:rPr>
          <w:rFonts w:asciiTheme="minorHAnsi" w:eastAsiaTheme="minorHAnsi" w:hAnsiTheme="minorHAnsi" w:cstheme="minorBidi"/>
          <w:sz w:val="22"/>
          <w:szCs w:val="22"/>
          <w:lang w:eastAsia="en-US"/>
        </w:rPr>
        <w:t xml:space="preserve">use.  The clear evidence is that land landfill operational impacts will not be an impediment to the fulfilment </w:t>
      </w:r>
      <w:r w:rsidR="009956F3">
        <w:rPr>
          <w:rFonts w:asciiTheme="minorHAnsi" w:eastAsiaTheme="minorHAnsi" w:hAnsiTheme="minorHAnsi" w:cstheme="minorBidi"/>
          <w:sz w:val="22"/>
          <w:szCs w:val="22"/>
          <w:lang w:eastAsia="en-US"/>
        </w:rPr>
        <w:t xml:space="preserve">of future residential use and that landfill gas is not a barrier to the ultimate (or subject to the Clarke buffers the current) residential use of land surrounding the </w:t>
      </w:r>
      <w:r w:rsidR="000C5BEE">
        <w:rPr>
          <w:rFonts w:asciiTheme="minorHAnsi" w:eastAsiaTheme="minorHAnsi" w:hAnsiTheme="minorHAnsi" w:cstheme="minorBidi"/>
          <w:sz w:val="22"/>
          <w:szCs w:val="22"/>
          <w:lang w:eastAsia="en-US"/>
        </w:rPr>
        <w:t xml:space="preserve">landfill.  </w:t>
      </w:r>
    </w:p>
    <w:p w:rsidR="000C5BEE" w:rsidRPr="00DE5AAB" w:rsidRDefault="000C5BEE" w:rsidP="000F1C17">
      <w:pPr>
        <w:pStyle w:val="List1bullet"/>
        <w:numPr>
          <w:ilvl w:val="0"/>
          <w:numId w:val="0"/>
        </w:num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It follows that the test of satisfaction is met.  </w:t>
      </w:r>
    </w:p>
    <w:p w:rsidR="0074009D" w:rsidRDefault="0074009D" w:rsidP="0074009D">
      <w:pPr>
        <w:pStyle w:val="List1bullet"/>
        <w:numPr>
          <w:ilvl w:val="0"/>
          <w:numId w:val="0"/>
        </w:numPr>
        <w:ind w:left="284" w:hanging="284"/>
      </w:pPr>
    </w:p>
    <w:p w:rsidR="0074009D" w:rsidRDefault="0074009D" w:rsidP="0074009D">
      <w:pPr>
        <w:pStyle w:val="List1bullet"/>
        <w:numPr>
          <w:ilvl w:val="0"/>
          <w:numId w:val="0"/>
        </w:numPr>
        <w:ind w:left="284" w:hanging="284"/>
      </w:pPr>
    </w:p>
    <w:p w:rsidR="0074009D" w:rsidRDefault="0074009D" w:rsidP="002F20E4">
      <w:pPr>
        <w:rPr>
          <w:rFonts w:asciiTheme="minorHAnsi" w:hAnsiTheme="minorHAnsi"/>
          <w:sz w:val="22"/>
          <w:lang w:eastAsia="en-US"/>
        </w:rPr>
      </w:pPr>
    </w:p>
    <w:p w:rsidR="0074009D" w:rsidRDefault="0074009D" w:rsidP="002F20E4">
      <w:pPr>
        <w:rPr>
          <w:rFonts w:asciiTheme="minorHAnsi" w:hAnsiTheme="minorHAnsi"/>
          <w:sz w:val="22"/>
          <w:lang w:eastAsia="en-US"/>
        </w:rPr>
      </w:pPr>
    </w:p>
    <w:p w:rsidR="00937364" w:rsidRPr="00080C27" w:rsidRDefault="00937364" w:rsidP="000C5BEE">
      <w:pPr>
        <w:rPr>
          <w:rFonts w:asciiTheme="minorHAnsi" w:hAnsiTheme="minorHAnsi"/>
        </w:rPr>
      </w:pPr>
    </w:p>
    <w:p w:rsidR="00987CB7" w:rsidRPr="00080C27" w:rsidRDefault="00987CB7" w:rsidP="00987CB7">
      <w:pPr>
        <w:rPr>
          <w:rFonts w:asciiTheme="minorHAnsi" w:hAnsiTheme="minorHAnsi"/>
        </w:rPr>
      </w:pPr>
      <w:bookmarkStart w:id="4" w:name="_GoBack"/>
      <w:bookmarkEnd w:id="4"/>
    </w:p>
    <w:sectPr w:rsidR="00987CB7" w:rsidRPr="00080C27" w:rsidSect="000C5BEE">
      <w:headerReference w:type="even" r:id="rId10"/>
      <w:headerReference w:type="default" r:id="rId11"/>
      <w:footerReference w:type="even" r:id="rId12"/>
      <w:footerReference w:type="default" r:id="rId13"/>
      <w:pgSz w:w="11901" w:h="16846" w:code="9"/>
      <w:pgMar w:top="1701" w:right="1134" w:bottom="851" w:left="1985" w:header="283"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590" w:rsidRDefault="00883590">
      <w:pPr>
        <w:spacing w:before="0"/>
      </w:pPr>
      <w:r>
        <w:separator/>
      </w:r>
    </w:p>
    <w:p w:rsidR="00883590" w:rsidRDefault="00883590"/>
    <w:p w:rsidR="00883590" w:rsidRDefault="00883590"/>
  </w:endnote>
  <w:endnote w:type="continuationSeparator" w:id="0">
    <w:p w:rsidR="00883590" w:rsidRDefault="00883590">
      <w:pPr>
        <w:spacing w:before="0"/>
      </w:pPr>
      <w:r>
        <w:continuationSeparator/>
      </w:r>
    </w:p>
    <w:p w:rsidR="00883590" w:rsidRDefault="00883590"/>
    <w:p w:rsidR="00883590" w:rsidRDefault="008835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4B5A0495-22E7-4AB3-894E-752752278A1A}"/>
    <w:embedBold r:id="rId2" w:fontKey="{744F29C1-5354-4783-8B47-4B06665B5194}"/>
    <w:embedItalic r:id="rId3" w:fontKey="{F0A3A20A-B5BB-466C-9CB6-0EA363A59ECA}"/>
    <w:embedBoldItalic r:id="rId4" w:fontKey="{A150588F-2FC4-4C26-B489-142E2A05A7B4}"/>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IC SemiBold">
    <w:altName w:val="Arial"/>
    <w:panose1 w:val="000007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embedRegular r:id="rId5" w:fontKey="{C3AAF9C4-B7C9-47C2-B61F-2A2A3B412C79}"/>
    <w:embedBold r:id="rId6" w:fontKey="{7DACB81E-3C88-4648-81B6-D8A774A14183}"/>
    <w:embedItalic r:id="rId7" w:fontKey="{76A9D656-6FB1-4755-853E-3AE7AC87D265}"/>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8" w:fontKey="{CFFECB02-0302-46A8-87AF-EF96A09DE058}"/>
    <w:embedBold r:id="rId9" w:fontKey="{F297E16A-E72C-49CB-9076-27822344D1B4}"/>
    <w:embedItalic r:id="rId10" w:fontKey="{1432E54A-2701-41CF-9948-3937FB8749C7}"/>
    <w:embedBoldItalic r:id="rId11" w:fontKey="{13D45C8C-C2AB-4C7A-8223-213892B1E145}"/>
  </w:font>
  <w:font w:name="VIC">
    <w:altName w:val="Arial"/>
    <w:panose1 w:val="00000500000000000000"/>
    <w:charset w:val="00"/>
    <w:family w:val="modern"/>
    <w:notTrueType/>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Swis721 BlkCn B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umnst777 BT">
    <w:altName w:val="Humnst777 B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9ED" w:rsidRDefault="00A359ED" w:rsidP="00937364">
    <w:pPr>
      <w:ind w:left="-709"/>
      <w:jc w:val="center"/>
      <w:rPr>
        <w:sz w:val="16"/>
      </w:rPr>
    </w:pPr>
    <w:r>
      <w:rPr>
        <w:rFonts w:ascii="Trebuchet MS" w:hAnsi="Trebuchet MS"/>
        <w:noProof/>
        <w:color w:val="9CA0A3" w:themeColor="accent4"/>
        <w:sz w:val="28"/>
        <w:szCs w:val="28"/>
      </w:rPr>
      <w:drawing>
        <wp:inline distT="0" distB="0" distL="0" distR="0" wp14:anchorId="1E817A38" wp14:editId="683A8278">
          <wp:extent cx="1629187" cy="66630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rsidR="009B208E" w:rsidRPr="00A6488F" w:rsidRDefault="009B208E" w:rsidP="009B208E">
    <w:pPr>
      <w:ind w:left="-709"/>
      <w:jc w:val="center"/>
      <w:rPr>
        <w:rFonts w:ascii="VIC" w:hAnsi="VIC"/>
        <w:color w:val="9CA0A3" w:themeColor="accent4"/>
        <w:sz w:val="28"/>
        <w:szCs w:val="28"/>
      </w:rPr>
    </w:pPr>
    <w:r>
      <w:rPr>
        <w:rFonts w:ascii="VIC" w:hAnsi="VIC"/>
        <w:sz w:val="28"/>
        <w:szCs w:val="28"/>
      </w:rPr>
      <w:t>Sunbury South PSP and Lancefield Road PSP</w:t>
    </w:r>
    <w:r w:rsidRPr="00A6488F">
      <w:rPr>
        <w:rFonts w:ascii="VIC" w:hAnsi="VIC"/>
        <w:sz w:val="28"/>
        <w:szCs w:val="28"/>
      </w:rPr>
      <w:t xml:space="preserve"> </w:t>
    </w:r>
    <w:r>
      <w:rPr>
        <w:rFonts w:ascii="VIC" w:hAnsi="VIC"/>
        <w:color w:val="9CA0A3" w:themeColor="accent4"/>
        <w:sz w:val="28"/>
        <w:szCs w:val="28"/>
      </w:rPr>
      <w:t>September 2017</w:t>
    </w:r>
  </w:p>
  <w:p w:rsidR="00A359ED" w:rsidRDefault="00A359ED" w:rsidP="009957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9ED" w:rsidRDefault="00A359ED" w:rsidP="00937364">
    <w:pPr>
      <w:ind w:left="-709"/>
      <w:jc w:val="center"/>
      <w:rPr>
        <w:sz w:val="16"/>
      </w:rPr>
    </w:pPr>
    <w:r>
      <w:rPr>
        <w:rFonts w:ascii="Trebuchet MS" w:hAnsi="Trebuchet MS"/>
        <w:noProof/>
        <w:color w:val="9CA0A3" w:themeColor="accent4"/>
        <w:sz w:val="28"/>
        <w:szCs w:val="28"/>
      </w:rPr>
      <w:drawing>
        <wp:inline distT="0" distB="0" distL="0" distR="0" wp14:anchorId="27AC246A" wp14:editId="11FDC2CA">
          <wp:extent cx="1629187" cy="66630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rsidR="00A359ED" w:rsidRPr="00A6488F" w:rsidRDefault="00A359ED" w:rsidP="00937364">
    <w:pPr>
      <w:ind w:left="-709"/>
      <w:jc w:val="center"/>
      <w:rPr>
        <w:rFonts w:ascii="VIC" w:hAnsi="VIC"/>
        <w:color w:val="9CA0A3" w:themeColor="accent4"/>
        <w:sz w:val="28"/>
        <w:szCs w:val="28"/>
      </w:rPr>
    </w:pPr>
    <w:r>
      <w:rPr>
        <w:rFonts w:ascii="VIC" w:hAnsi="VIC"/>
        <w:sz w:val="28"/>
        <w:szCs w:val="28"/>
      </w:rPr>
      <w:t>Sunbury South PSP and Lancefield Road PSP</w:t>
    </w:r>
    <w:r w:rsidRPr="00A6488F">
      <w:rPr>
        <w:rFonts w:ascii="VIC" w:hAnsi="VIC"/>
        <w:sz w:val="28"/>
        <w:szCs w:val="28"/>
      </w:rPr>
      <w:t xml:space="preserve"> </w:t>
    </w:r>
    <w:r>
      <w:rPr>
        <w:rFonts w:ascii="VIC" w:hAnsi="VIC"/>
        <w:color w:val="9CA0A3" w:themeColor="accent4"/>
        <w:sz w:val="28"/>
        <w:szCs w:val="28"/>
      </w:rPr>
      <w:t>September 2017</w:t>
    </w:r>
  </w:p>
  <w:p w:rsidR="00A359ED" w:rsidRDefault="00A359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590" w:rsidRDefault="00883590">
      <w:pPr>
        <w:spacing w:before="0"/>
      </w:pPr>
      <w:r>
        <w:separator/>
      </w:r>
    </w:p>
    <w:p w:rsidR="00883590" w:rsidRDefault="00883590"/>
    <w:p w:rsidR="00883590" w:rsidRDefault="00883590"/>
  </w:footnote>
  <w:footnote w:type="continuationSeparator" w:id="0">
    <w:p w:rsidR="00883590" w:rsidRDefault="00883590">
      <w:pPr>
        <w:spacing w:before="0"/>
      </w:pPr>
      <w:r>
        <w:continuationSeparator/>
      </w:r>
    </w:p>
    <w:p w:rsidR="00883590" w:rsidRDefault="00883590"/>
    <w:p w:rsidR="00883590" w:rsidRDefault="00883590"/>
  </w:footnote>
  <w:footnote w:id="1">
    <w:p w:rsidR="00A359ED" w:rsidRDefault="00A359ED">
      <w:pPr>
        <w:pStyle w:val="FootnoteText"/>
      </w:pPr>
      <w:r>
        <w:rPr>
          <w:rStyle w:val="FootnoteReference"/>
        </w:rPr>
        <w:footnoteRef/>
      </w:r>
      <w:r>
        <w:t xml:space="preserve"> Recommendations 15 and 17. </w:t>
      </w:r>
    </w:p>
  </w:footnote>
  <w:footnote w:id="2">
    <w:p w:rsidR="00A359ED" w:rsidRPr="004F684D" w:rsidRDefault="00A359ED">
      <w:pPr>
        <w:pStyle w:val="FootnoteText"/>
        <w:rPr>
          <w:i/>
        </w:rPr>
      </w:pPr>
      <w:r>
        <w:rPr>
          <w:rStyle w:val="FootnoteReference"/>
        </w:rPr>
        <w:footnoteRef/>
      </w:r>
      <w:r>
        <w:t xml:space="preserve"> Section 12B of the </w:t>
      </w:r>
      <w:r>
        <w:rPr>
          <w:i/>
        </w:rPr>
        <w:t xml:space="preserve">Planning and Environment Act 1987 </w:t>
      </w:r>
      <w:r>
        <w:t xml:space="preserve">and section 125 of the </w:t>
      </w:r>
      <w:r>
        <w:rPr>
          <w:i/>
        </w:rPr>
        <w:t>Local Government Act 1989.</w:t>
      </w:r>
    </w:p>
  </w:footnote>
  <w:footnote w:id="3">
    <w:p w:rsidR="00A359ED" w:rsidRDefault="00A359ED">
      <w:pPr>
        <w:pStyle w:val="FootnoteText"/>
      </w:pPr>
      <w:r>
        <w:rPr>
          <w:rStyle w:val="FootnoteReference"/>
        </w:rPr>
        <w:footnoteRef/>
      </w:r>
      <w:r>
        <w:t xml:space="preserve"> Growth Areas Authority, page 52.</w:t>
      </w:r>
    </w:p>
  </w:footnote>
  <w:footnote w:id="4">
    <w:p w:rsidR="00A359ED" w:rsidRDefault="00A359ED">
      <w:pPr>
        <w:pStyle w:val="FootnoteText"/>
      </w:pPr>
      <w:r>
        <w:rPr>
          <w:rStyle w:val="FootnoteReference"/>
        </w:rPr>
        <w:footnoteRef/>
      </w:r>
      <w:r>
        <w:t xml:space="preserve"> Explanatory report.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9ED" w:rsidRDefault="00A359E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9ED" w:rsidRDefault="00A359E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4CD89148"/>
    <w:lvl w:ilvl="0">
      <w:start w:val="17"/>
      <w:numFmt w:val="decimal"/>
      <w:pStyle w:val="ListNumber"/>
      <w:lvlText w:val="%1."/>
      <w:lvlJc w:val="left"/>
      <w:pPr>
        <w:tabs>
          <w:tab w:val="num" w:pos="360"/>
        </w:tabs>
        <w:ind w:left="360" w:hanging="360"/>
      </w:pPr>
    </w:lvl>
  </w:abstractNum>
  <w:abstractNum w:abstractNumId="1" w15:restartNumberingAfterBreak="0">
    <w:nsid w:val="07EC1767"/>
    <w:multiLevelType w:val="hybridMultilevel"/>
    <w:tmpl w:val="22B628FE"/>
    <w:lvl w:ilvl="0" w:tplc="04848CDE">
      <w:start w:val="1"/>
      <w:numFmt w:val="bullet"/>
      <w:pStyle w:val="Tablelis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516E5E"/>
    <w:multiLevelType w:val="hybridMultilevel"/>
    <w:tmpl w:val="4366EE42"/>
    <w:lvl w:ilvl="0" w:tplc="79BE0B34">
      <w:start w:val="1"/>
      <w:numFmt w:val="decimal"/>
      <w:pStyle w:val="Tablenoreq"/>
      <w:lvlText w:val="R%1"/>
      <w:lvlJc w:val="left"/>
      <w:pPr>
        <w:ind w:left="360" w:hanging="360"/>
      </w:pPr>
      <w:rPr>
        <w:rFonts w:hint="default"/>
        <w:b w:val="0"/>
        <w:i w:val="0"/>
        <w:color w:val="95C11F"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770351"/>
    <w:multiLevelType w:val="multilevel"/>
    <w:tmpl w:val="0160F844"/>
    <w:lvl w:ilvl="0">
      <w:start w:val="1"/>
      <w:numFmt w:val="decimal"/>
      <w:pStyle w:val="List1numb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5A6664"/>
    <w:multiLevelType w:val="hybridMultilevel"/>
    <w:tmpl w:val="945C2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1244AB"/>
    <w:multiLevelType w:val="hybridMultilevel"/>
    <w:tmpl w:val="A33843C0"/>
    <w:lvl w:ilvl="0" w:tplc="DA98A2FA">
      <w:start w:val="1"/>
      <w:numFmt w:val="bullet"/>
      <w:lvlText w:val=""/>
      <w:lvlJc w:val="left"/>
      <w:pPr>
        <w:tabs>
          <w:tab w:val="num" w:pos="2227"/>
        </w:tabs>
        <w:ind w:left="1724" w:hanging="284"/>
      </w:pPr>
      <w:rPr>
        <w:rFonts w:ascii="Wingdings" w:hAnsi="Wingdings" w:hint="default"/>
        <w:b w:val="0"/>
        <w:i w:val="0"/>
        <w:sz w:val="20"/>
        <w:szCs w:val="20"/>
      </w:rPr>
    </w:lvl>
    <w:lvl w:ilvl="1" w:tplc="9196A70E">
      <w:start w:val="1"/>
      <w:numFmt w:val="bullet"/>
      <w:pStyle w:val="VPP-Bodytextbullet1"/>
      <w:lvlText w:val=""/>
      <w:lvlJc w:val="left"/>
      <w:pPr>
        <w:tabs>
          <w:tab w:val="num" w:pos="1039"/>
        </w:tabs>
        <w:ind w:left="536" w:hanging="284"/>
      </w:pPr>
      <w:rPr>
        <w:rFonts w:ascii="Wingdings" w:hAnsi="Wingdings" w:hint="default"/>
        <w:b w:val="0"/>
        <w:i w:val="0"/>
        <w:sz w:val="20"/>
        <w:szCs w:val="20"/>
      </w:rPr>
    </w:lvl>
    <w:lvl w:ilvl="2" w:tplc="0C090005">
      <w:start w:val="1"/>
      <w:numFmt w:val="decimal"/>
      <w:lvlText w:val="%3."/>
      <w:lvlJc w:val="left"/>
      <w:pPr>
        <w:tabs>
          <w:tab w:val="num" w:pos="1332"/>
        </w:tabs>
        <w:ind w:left="1332" w:hanging="360"/>
      </w:pPr>
    </w:lvl>
    <w:lvl w:ilvl="3" w:tplc="0C090001">
      <w:start w:val="1"/>
      <w:numFmt w:val="decimal"/>
      <w:lvlText w:val="%4."/>
      <w:lvlJc w:val="left"/>
      <w:pPr>
        <w:tabs>
          <w:tab w:val="num" w:pos="2052"/>
        </w:tabs>
        <w:ind w:left="2052" w:hanging="360"/>
      </w:pPr>
    </w:lvl>
    <w:lvl w:ilvl="4" w:tplc="0C090003">
      <w:start w:val="1"/>
      <w:numFmt w:val="decimal"/>
      <w:lvlText w:val="%5."/>
      <w:lvlJc w:val="left"/>
      <w:pPr>
        <w:tabs>
          <w:tab w:val="num" w:pos="2772"/>
        </w:tabs>
        <w:ind w:left="2772" w:hanging="360"/>
      </w:pPr>
    </w:lvl>
    <w:lvl w:ilvl="5" w:tplc="0C090005">
      <w:start w:val="1"/>
      <w:numFmt w:val="decimal"/>
      <w:lvlText w:val="%6."/>
      <w:lvlJc w:val="left"/>
      <w:pPr>
        <w:tabs>
          <w:tab w:val="num" w:pos="3492"/>
        </w:tabs>
        <w:ind w:left="3492" w:hanging="360"/>
      </w:pPr>
    </w:lvl>
    <w:lvl w:ilvl="6" w:tplc="0C090001">
      <w:start w:val="1"/>
      <w:numFmt w:val="decimal"/>
      <w:lvlText w:val="%7."/>
      <w:lvlJc w:val="left"/>
      <w:pPr>
        <w:tabs>
          <w:tab w:val="num" w:pos="4212"/>
        </w:tabs>
        <w:ind w:left="4212" w:hanging="360"/>
      </w:pPr>
    </w:lvl>
    <w:lvl w:ilvl="7" w:tplc="0C090003">
      <w:start w:val="1"/>
      <w:numFmt w:val="decimal"/>
      <w:lvlText w:val="%8."/>
      <w:lvlJc w:val="left"/>
      <w:pPr>
        <w:tabs>
          <w:tab w:val="num" w:pos="4932"/>
        </w:tabs>
        <w:ind w:left="4932" w:hanging="360"/>
      </w:pPr>
    </w:lvl>
    <w:lvl w:ilvl="8" w:tplc="0C090005">
      <w:start w:val="1"/>
      <w:numFmt w:val="decimal"/>
      <w:lvlText w:val="%9."/>
      <w:lvlJc w:val="left"/>
      <w:pPr>
        <w:tabs>
          <w:tab w:val="num" w:pos="5652"/>
        </w:tabs>
        <w:ind w:left="5652" w:hanging="360"/>
      </w:pPr>
    </w:lvl>
  </w:abstractNum>
  <w:abstractNum w:abstractNumId="6" w15:restartNumberingAfterBreak="0">
    <w:nsid w:val="281C7393"/>
    <w:multiLevelType w:val="multilevel"/>
    <w:tmpl w:val="0060C338"/>
    <w:styleLink w:val="NumberedList"/>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C40698"/>
    <w:multiLevelType w:val="multilevel"/>
    <w:tmpl w:val="43EE4ED8"/>
    <w:lvl w:ilvl="0">
      <w:start w:val="1"/>
      <w:numFmt w:val="decimal"/>
      <w:lvlText w:val="%1"/>
      <w:lvlJc w:val="left"/>
      <w:pPr>
        <w:ind w:left="0" w:hanging="851"/>
      </w:pPr>
      <w:rPr>
        <w:rFonts w:ascii="VIC SemiBold" w:hAnsi="VIC SemiBold" w:hint="default"/>
        <w:b w:val="0"/>
        <w:i w:val="0"/>
        <w:color w:val="005EA1" w:themeColor="accent1"/>
      </w:rPr>
    </w:lvl>
    <w:lvl w:ilvl="1">
      <w:start w:val="1"/>
      <w:numFmt w:val="decimal"/>
      <w:pStyle w:val="Heading1"/>
      <w:lvlText w:val="%2."/>
      <w:lvlJc w:val="left"/>
      <w:pPr>
        <w:ind w:left="0" w:hanging="851"/>
      </w:pPr>
      <w:rPr>
        <w:rFonts w:hint="default"/>
        <w:color w:val="005EA1" w:themeColor="accent1"/>
      </w:rPr>
    </w:lvl>
    <w:lvl w:ilvl="2">
      <w:start w:val="1"/>
      <w:numFmt w:val="decimal"/>
      <w:lvlText w:val="%1.%2.%3"/>
      <w:lvlJc w:val="left"/>
      <w:pPr>
        <w:ind w:left="0" w:hanging="851"/>
      </w:pPr>
      <w:rPr>
        <w:rFonts w:hint="default"/>
        <w:color w:val="005EA1"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8" w15:restartNumberingAfterBreak="0">
    <w:nsid w:val="2E8F6657"/>
    <w:multiLevelType w:val="hybridMultilevel"/>
    <w:tmpl w:val="AFE67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754194"/>
    <w:multiLevelType w:val="hybridMultilevel"/>
    <w:tmpl w:val="F8A69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5FF53B6"/>
    <w:multiLevelType w:val="hybridMultilevel"/>
    <w:tmpl w:val="EA44C27C"/>
    <w:lvl w:ilvl="0" w:tplc="84088F3E">
      <w:start w:val="1"/>
      <w:numFmt w:val="decimal"/>
      <w:pStyle w:val="Tablenoguid"/>
      <w:lvlText w:val="G%1"/>
      <w:lvlJc w:val="left"/>
      <w:pPr>
        <w:ind w:left="360" w:hanging="360"/>
      </w:pPr>
      <w:rPr>
        <w:rFonts w:hint="default"/>
        <w:b w:val="0"/>
        <w:i w:val="0"/>
        <w:color w:val="008BD2"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6152698"/>
    <w:multiLevelType w:val="multilevel"/>
    <w:tmpl w:val="0060C338"/>
    <w:styleLink w:val="Numbers"/>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0B004C4"/>
    <w:multiLevelType w:val="hybridMultilevel"/>
    <w:tmpl w:val="26D63622"/>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3" w15:restartNumberingAfterBreak="0">
    <w:nsid w:val="618C0288"/>
    <w:multiLevelType w:val="hybridMultilevel"/>
    <w:tmpl w:val="E13C7EEE"/>
    <w:lvl w:ilvl="0" w:tplc="12C438F2">
      <w:start w:val="1"/>
      <w:numFmt w:val="bullet"/>
      <w:pStyle w:val="List3dash"/>
      <w:lvlText w:val=""/>
      <w:lvlJc w:val="left"/>
      <w:pPr>
        <w:ind w:left="1996" w:hanging="360"/>
      </w:pPr>
      <w:rPr>
        <w:rFonts w:ascii="Symbol" w:hAnsi="Symbol" w:hint="default"/>
        <w:color w:val="005EA1" w:themeColor="accent1"/>
      </w:rPr>
    </w:lvl>
    <w:lvl w:ilvl="1" w:tplc="0C090003" w:tentative="1">
      <w:start w:val="1"/>
      <w:numFmt w:val="bullet"/>
      <w:lvlText w:val="o"/>
      <w:lvlJc w:val="left"/>
      <w:pPr>
        <w:ind w:left="2716" w:hanging="360"/>
      </w:pPr>
      <w:rPr>
        <w:rFonts w:ascii="Courier New" w:hAnsi="Courier New" w:cs="Symbol"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Symbol"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Symbol" w:hint="default"/>
      </w:rPr>
    </w:lvl>
    <w:lvl w:ilvl="8" w:tplc="0C090005" w:tentative="1">
      <w:start w:val="1"/>
      <w:numFmt w:val="bullet"/>
      <w:lvlText w:val=""/>
      <w:lvlJc w:val="left"/>
      <w:pPr>
        <w:ind w:left="7756" w:hanging="360"/>
      </w:pPr>
      <w:rPr>
        <w:rFonts w:ascii="Wingdings" w:hAnsi="Wingdings" w:hint="default"/>
      </w:rPr>
    </w:lvl>
  </w:abstractNum>
  <w:abstractNum w:abstractNumId="14" w15:restartNumberingAfterBreak="0">
    <w:nsid w:val="6F7E1148"/>
    <w:multiLevelType w:val="hybridMultilevel"/>
    <w:tmpl w:val="72DA7620"/>
    <w:lvl w:ilvl="0" w:tplc="21DEC20E">
      <w:start w:val="1"/>
      <w:numFmt w:val="bullet"/>
      <w:pStyle w:val="List1bullet"/>
      <w:lvlText w:val=""/>
      <w:lvlJc w:val="left"/>
      <w:pPr>
        <w:ind w:left="1145" w:hanging="360"/>
      </w:pPr>
      <w:rPr>
        <w:rFonts w:ascii="Symbol" w:hAnsi="Symbol" w:hint="default"/>
        <w:color w:val="005EA1" w:themeColor="accent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15" w15:restartNumberingAfterBreak="0">
    <w:nsid w:val="74D54F9A"/>
    <w:multiLevelType w:val="multilevel"/>
    <w:tmpl w:val="B5FC3776"/>
    <w:lvl w:ilvl="0">
      <w:start w:val="1"/>
      <w:numFmt w:val="decimal"/>
      <w:lvlText w:val="%1"/>
      <w:lvlJc w:val="left"/>
      <w:pPr>
        <w:ind w:left="0" w:hanging="851"/>
      </w:pPr>
      <w:rPr>
        <w:rFonts w:ascii="VIC SemiBold" w:hAnsi="VIC SemiBold" w:hint="default"/>
        <w:b w:val="0"/>
        <w:i w:val="0"/>
        <w:color w:val="005EA1" w:themeColor="accent1"/>
      </w:rPr>
    </w:lvl>
    <w:lvl w:ilvl="1">
      <w:start w:val="1"/>
      <w:numFmt w:val="decimal"/>
      <w:pStyle w:val="Heading2"/>
      <w:lvlText w:val="%1.%2"/>
      <w:lvlJc w:val="left"/>
      <w:pPr>
        <w:ind w:left="0" w:hanging="851"/>
      </w:pPr>
      <w:rPr>
        <w:rFonts w:hint="default"/>
        <w:color w:val="005EA1" w:themeColor="accent1"/>
      </w:rPr>
    </w:lvl>
    <w:lvl w:ilvl="2">
      <w:start w:val="1"/>
      <w:numFmt w:val="decimal"/>
      <w:pStyle w:val="Heading3"/>
      <w:lvlText w:val="%1.%2.%3"/>
      <w:lvlJc w:val="left"/>
      <w:pPr>
        <w:ind w:left="0" w:hanging="851"/>
      </w:pPr>
      <w:rPr>
        <w:rFonts w:hint="default"/>
        <w:color w:val="005EA1"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16" w15:restartNumberingAfterBreak="0">
    <w:nsid w:val="7F45563A"/>
    <w:multiLevelType w:val="hybridMultilevel"/>
    <w:tmpl w:val="A620B504"/>
    <w:lvl w:ilvl="0" w:tplc="0292E5C0">
      <w:start w:val="1"/>
      <w:numFmt w:val="decimal"/>
      <w:pStyle w:val="Tablenoobj"/>
      <w:lvlText w:val="O%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11"/>
  </w:num>
  <w:num w:numId="3">
    <w:abstractNumId w:val="1"/>
  </w:num>
  <w:num w:numId="4">
    <w:abstractNumId w:val="14"/>
  </w:num>
  <w:num w:numId="5">
    <w:abstractNumId w:val="13"/>
  </w:num>
  <w:num w:numId="6">
    <w:abstractNumId w:val="16"/>
  </w:num>
  <w:num w:numId="7">
    <w:abstractNumId w:val="2"/>
  </w:num>
  <w:num w:numId="8">
    <w:abstractNumId w:val="10"/>
  </w:num>
  <w:num w:numId="9">
    <w:abstractNumId w:val="15"/>
    <w:lvlOverride w:ilvl="0">
      <w:lvl w:ilvl="0">
        <w:start w:val="1"/>
        <w:numFmt w:val="decimal"/>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Heading3"/>
        <w:lvlText w:val="%1.%2.%3"/>
        <w:lvlJc w:val="left"/>
        <w:pPr>
          <w:ind w:left="0" w:hanging="851"/>
        </w:pPr>
        <w:rPr>
          <w:rFonts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10">
    <w:abstractNumId w:val="15"/>
    <w:lvlOverride w:ilvl="0">
      <w:lvl w:ilvl="0">
        <w:start w:val="1"/>
        <w:numFmt w:val="decimal"/>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lvl w:ilvl="2">
        <w:start w:val="1"/>
        <w:numFmt w:val="decimal"/>
        <w:pStyle w:val="Heading3"/>
        <w:lvlText w:val="%1.%2.%3"/>
        <w:lvlJc w:val="left"/>
        <w:pPr>
          <w:ind w:left="0" w:hanging="851"/>
        </w:pPr>
        <w:rPr>
          <w:rFonts w:ascii="VIC SemiBold" w:hAnsi="VIC SemiBold" w:hint="default"/>
          <w:b/>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11">
    <w:abstractNumId w:val="3"/>
  </w:num>
  <w:num w:numId="12">
    <w:abstractNumId w:val="0"/>
    <w:lvlOverride w:ilvl="0">
      <w:startOverride w:val="17"/>
    </w:lvlOverride>
  </w:num>
  <w:num w:numId="13">
    <w:abstractNumId w:val="7"/>
  </w:num>
  <w:num w:numId="14">
    <w:abstractNumId w:val="4"/>
  </w:num>
  <w:num w:numId="15">
    <w:abstractNumId w:val="8"/>
  </w:num>
  <w:num w:numId="16">
    <w:abstractNumId w:val="9"/>
  </w:num>
  <w:num w:numId="17">
    <w:abstractNumId w:val="14"/>
  </w:num>
  <w:num w:numId="18">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508"/>
    <w:rsid w:val="00000046"/>
    <w:rsid w:val="000001D2"/>
    <w:rsid w:val="000001EE"/>
    <w:rsid w:val="000002FA"/>
    <w:rsid w:val="0000072B"/>
    <w:rsid w:val="00000A33"/>
    <w:rsid w:val="00000E14"/>
    <w:rsid w:val="00000EC5"/>
    <w:rsid w:val="00001111"/>
    <w:rsid w:val="00001673"/>
    <w:rsid w:val="0000175E"/>
    <w:rsid w:val="0000185D"/>
    <w:rsid w:val="00001A45"/>
    <w:rsid w:val="00001C3E"/>
    <w:rsid w:val="00001CF6"/>
    <w:rsid w:val="00002C29"/>
    <w:rsid w:val="00002C42"/>
    <w:rsid w:val="00002C78"/>
    <w:rsid w:val="00003092"/>
    <w:rsid w:val="000030B9"/>
    <w:rsid w:val="00004589"/>
    <w:rsid w:val="00004AB8"/>
    <w:rsid w:val="00004D3E"/>
    <w:rsid w:val="00004FBA"/>
    <w:rsid w:val="0000528C"/>
    <w:rsid w:val="000053EB"/>
    <w:rsid w:val="00006A99"/>
    <w:rsid w:val="00007707"/>
    <w:rsid w:val="00007E62"/>
    <w:rsid w:val="00007EAB"/>
    <w:rsid w:val="00007FCC"/>
    <w:rsid w:val="00010789"/>
    <w:rsid w:val="00010837"/>
    <w:rsid w:val="00010CBB"/>
    <w:rsid w:val="000121F9"/>
    <w:rsid w:val="00012689"/>
    <w:rsid w:val="000127FE"/>
    <w:rsid w:val="000134DB"/>
    <w:rsid w:val="000139BA"/>
    <w:rsid w:val="00013CF6"/>
    <w:rsid w:val="000157EE"/>
    <w:rsid w:val="00015B34"/>
    <w:rsid w:val="00016F1A"/>
    <w:rsid w:val="000173EB"/>
    <w:rsid w:val="0001745F"/>
    <w:rsid w:val="000179FD"/>
    <w:rsid w:val="00017F17"/>
    <w:rsid w:val="0002025C"/>
    <w:rsid w:val="000207A6"/>
    <w:rsid w:val="00021137"/>
    <w:rsid w:val="00021369"/>
    <w:rsid w:val="000218F2"/>
    <w:rsid w:val="00021F91"/>
    <w:rsid w:val="000220AF"/>
    <w:rsid w:val="00022BBA"/>
    <w:rsid w:val="00022CC2"/>
    <w:rsid w:val="000233DC"/>
    <w:rsid w:val="0002344D"/>
    <w:rsid w:val="00023526"/>
    <w:rsid w:val="000235EB"/>
    <w:rsid w:val="00023837"/>
    <w:rsid w:val="000239D6"/>
    <w:rsid w:val="00023A23"/>
    <w:rsid w:val="00023A38"/>
    <w:rsid w:val="00023F3F"/>
    <w:rsid w:val="00024286"/>
    <w:rsid w:val="0002457F"/>
    <w:rsid w:val="00024F84"/>
    <w:rsid w:val="000251AF"/>
    <w:rsid w:val="00025C37"/>
    <w:rsid w:val="000261D0"/>
    <w:rsid w:val="0002692E"/>
    <w:rsid w:val="00026999"/>
    <w:rsid w:val="00026A52"/>
    <w:rsid w:val="00027346"/>
    <w:rsid w:val="000273CE"/>
    <w:rsid w:val="00027982"/>
    <w:rsid w:val="00027F98"/>
    <w:rsid w:val="0003001E"/>
    <w:rsid w:val="0003006F"/>
    <w:rsid w:val="00030D06"/>
    <w:rsid w:val="00030FB1"/>
    <w:rsid w:val="00031248"/>
    <w:rsid w:val="000313D4"/>
    <w:rsid w:val="00031A48"/>
    <w:rsid w:val="00032DC9"/>
    <w:rsid w:val="000330EB"/>
    <w:rsid w:val="000332D4"/>
    <w:rsid w:val="000335B8"/>
    <w:rsid w:val="0003378B"/>
    <w:rsid w:val="00033E55"/>
    <w:rsid w:val="000341F5"/>
    <w:rsid w:val="00034498"/>
    <w:rsid w:val="000345CF"/>
    <w:rsid w:val="000347C1"/>
    <w:rsid w:val="00034885"/>
    <w:rsid w:val="000348C3"/>
    <w:rsid w:val="00034F89"/>
    <w:rsid w:val="000353E0"/>
    <w:rsid w:val="0003555A"/>
    <w:rsid w:val="0003639D"/>
    <w:rsid w:val="0003649A"/>
    <w:rsid w:val="00036522"/>
    <w:rsid w:val="00036FCC"/>
    <w:rsid w:val="000371AA"/>
    <w:rsid w:val="00037646"/>
    <w:rsid w:val="00037682"/>
    <w:rsid w:val="00037693"/>
    <w:rsid w:val="00037A8E"/>
    <w:rsid w:val="00037D55"/>
    <w:rsid w:val="00040284"/>
    <w:rsid w:val="000402CC"/>
    <w:rsid w:val="000408F2"/>
    <w:rsid w:val="000409FC"/>
    <w:rsid w:val="0004111B"/>
    <w:rsid w:val="000411CF"/>
    <w:rsid w:val="000418F8"/>
    <w:rsid w:val="00041948"/>
    <w:rsid w:val="00042A9C"/>
    <w:rsid w:val="00043982"/>
    <w:rsid w:val="00043EE0"/>
    <w:rsid w:val="00043F54"/>
    <w:rsid w:val="000443BD"/>
    <w:rsid w:val="00044854"/>
    <w:rsid w:val="000454CC"/>
    <w:rsid w:val="000455B0"/>
    <w:rsid w:val="000467C8"/>
    <w:rsid w:val="00046ABD"/>
    <w:rsid w:val="00047995"/>
    <w:rsid w:val="00047CAA"/>
    <w:rsid w:val="00050331"/>
    <w:rsid w:val="0005083A"/>
    <w:rsid w:val="000508CB"/>
    <w:rsid w:val="0005152C"/>
    <w:rsid w:val="0005164F"/>
    <w:rsid w:val="000517A0"/>
    <w:rsid w:val="000524F4"/>
    <w:rsid w:val="00053AD5"/>
    <w:rsid w:val="0005408E"/>
    <w:rsid w:val="00054298"/>
    <w:rsid w:val="00054535"/>
    <w:rsid w:val="00054A49"/>
    <w:rsid w:val="00055394"/>
    <w:rsid w:val="0005543A"/>
    <w:rsid w:val="00055A74"/>
    <w:rsid w:val="0005632D"/>
    <w:rsid w:val="000565FF"/>
    <w:rsid w:val="00056BC0"/>
    <w:rsid w:val="00056D24"/>
    <w:rsid w:val="00056FC6"/>
    <w:rsid w:val="00057339"/>
    <w:rsid w:val="0005773E"/>
    <w:rsid w:val="00057A97"/>
    <w:rsid w:val="00060421"/>
    <w:rsid w:val="00060AB2"/>
    <w:rsid w:val="0006116E"/>
    <w:rsid w:val="00061363"/>
    <w:rsid w:val="00061568"/>
    <w:rsid w:val="00061BCF"/>
    <w:rsid w:val="000620FE"/>
    <w:rsid w:val="00062C2D"/>
    <w:rsid w:val="0006305F"/>
    <w:rsid w:val="000632CF"/>
    <w:rsid w:val="00063545"/>
    <w:rsid w:val="000636B8"/>
    <w:rsid w:val="0006377E"/>
    <w:rsid w:val="00063DAE"/>
    <w:rsid w:val="00064404"/>
    <w:rsid w:val="00064F12"/>
    <w:rsid w:val="00065392"/>
    <w:rsid w:val="000654CE"/>
    <w:rsid w:val="00065C18"/>
    <w:rsid w:val="00065E86"/>
    <w:rsid w:val="00065F84"/>
    <w:rsid w:val="0006652C"/>
    <w:rsid w:val="0006678F"/>
    <w:rsid w:val="00067AE8"/>
    <w:rsid w:val="00067E56"/>
    <w:rsid w:val="000705B8"/>
    <w:rsid w:val="00070CE1"/>
    <w:rsid w:val="00070EF1"/>
    <w:rsid w:val="00071735"/>
    <w:rsid w:val="00071D7E"/>
    <w:rsid w:val="00071D83"/>
    <w:rsid w:val="0007272B"/>
    <w:rsid w:val="00072998"/>
    <w:rsid w:val="00072B66"/>
    <w:rsid w:val="00072E83"/>
    <w:rsid w:val="00073058"/>
    <w:rsid w:val="00073BD3"/>
    <w:rsid w:val="00073CE9"/>
    <w:rsid w:val="00074456"/>
    <w:rsid w:val="000746B4"/>
    <w:rsid w:val="000748CD"/>
    <w:rsid w:val="00074ECF"/>
    <w:rsid w:val="0007514C"/>
    <w:rsid w:val="000759CD"/>
    <w:rsid w:val="00076487"/>
    <w:rsid w:val="00076DFF"/>
    <w:rsid w:val="0007705C"/>
    <w:rsid w:val="0007715B"/>
    <w:rsid w:val="00077D21"/>
    <w:rsid w:val="000804FC"/>
    <w:rsid w:val="00080C27"/>
    <w:rsid w:val="00080E51"/>
    <w:rsid w:val="000815AD"/>
    <w:rsid w:val="00081769"/>
    <w:rsid w:val="000818D2"/>
    <w:rsid w:val="000819D2"/>
    <w:rsid w:val="00081EB4"/>
    <w:rsid w:val="000822FA"/>
    <w:rsid w:val="00082365"/>
    <w:rsid w:val="0008261C"/>
    <w:rsid w:val="000828A4"/>
    <w:rsid w:val="00082B2E"/>
    <w:rsid w:val="000833CC"/>
    <w:rsid w:val="00083458"/>
    <w:rsid w:val="0008382A"/>
    <w:rsid w:val="000838C1"/>
    <w:rsid w:val="000839C8"/>
    <w:rsid w:val="00083D9A"/>
    <w:rsid w:val="00084340"/>
    <w:rsid w:val="0008449A"/>
    <w:rsid w:val="00084725"/>
    <w:rsid w:val="000847F6"/>
    <w:rsid w:val="000849F7"/>
    <w:rsid w:val="00085459"/>
    <w:rsid w:val="00085705"/>
    <w:rsid w:val="0008676A"/>
    <w:rsid w:val="00086B4A"/>
    <w:rsid w:val="00087074"/>
    <w:rsid w:val="000877C3"/>
    <w:rsid w:val="00090DA4"/>
    <w:rsid w:val="00090EA1"/>
    <w:rsid w:val="00091540"/>
    <w:rsid w:val="00092658"/>
    <w:rsid w:val="00092888"/>
    <w:rsid w:val="000929D9"/>
    <w:rsid w:val="00093264"/>
    <w:rsid w:val="00093464"/>
    <w:rsid w:val="00093A7B"/>
    <w:rsid w:val="00094530"/>
    <w:rsid w:val="00094F1F"/>
    <w:rsid w:val="00094F73"/>
    <w:rsid w:val="0009513C"/>
    <w:rsid w:val="000951CA"/>
    <w:rsid w:val="000953AD"/>
    <w:rsid w:val="000966AC"/>
    <w:rsid w:val="000967A9"/>
    <w:rsid w:val="00096A45"/>
    <w:rsid w:val="00096D61"/>
    <w:rsid w:val="000975F0"/>
    <w:rsid w:val="000A092F"/>
    <w:rsid w:val="000A0C89"/>
    <w:rsid w:val="000A0EF0"/>
    <w:rsid w:val="000A12D9"/>
    <w:rsid w:val="000A1315"/>
    <w:rsid w:val="000A1618"/>
    <w:rsid w:val="000A1C66"/>
    <w:rsid w:val="000A1F8B"/>
    <w:rsid w:val="000A328E"/>
    <w:rsid w:val="000A344E"/>
    <w:rsid w:val="000A480B"/>
    <w:rsid w:val="000A51EE"/>
    <w:rsid w:val="000A55D1"/>
    <w:rsid w:val="000A5D10"/>
    <w:rsid w:val="000A60B0"/>
    <w:rsid w:val="000A678A"/>
    <w:rsid w:val="000A6DD8"/>
    <w:rsid w:val="000A7084"/>
    <w:rsid w:val="000A793C"/>
    <w:rsid w:val="000A7E56"/>
    <w:rsid w:val="000B022E"/>
    <w:rsid w:val="000B0463"/>
    <w:rsid w:val="000B08E2"/>
    <w:rsid w:val="000B093B"/>
    <w:rsid w:val="000B0DD5"/>
    <w:rsid w:val="000B0E4A"/>
    <w:rsid w:val="000B0EB7"/>
    <w:rsid w:val="000B111E"/>
    <w:rsid w:val="000B173E"/>
    <w:rsid w:val="000B190F"/>
    <w:rsid w:val="000B2876"/>
    <w:rsid w:val="000B2D05"/>
    <w:rsid w:val="000B3C39"/>
    <w:rsid w:val="000B3EB1"/>
    <w:rsid w:val="000B4158"/>
    <w:rsid w:val="000B4235"/>
    <w:rsid w:val="000B4854"/>
    <w:rsid w:val="000B502A"/>
    <w:rsid w:val="000B52FF"/>
    <w:rsid w:val="000B583C"/>
    <w:rsid w:val="000B5C59"/>
    <w:rsid w:val="000B5FF7"/>
    <w:rsid w:val="000B6629"/>
    <w:rsid w:val="000B6A11"/>
    <w:rsid w:val="000B7D5E"/>
    <w:rsid w:val="000C02A5"/>
    <w:rsid w:val="000C04B5"/>
    <w:rsid w:val="000C0575"/>
    <w:rsid w:val="000C0F98"/>
    <w:rsid w:val="000C138C"/>
    <w:rsid w:val="000C18BF"/>
    <w:rsid w:val="000C1CBB"/>
    <w:rsid w:val="000C1D41"/>
    <w:rsid w:val="000C1FE8"/>
    <w:rsid w:val="000C226B"/>
    <w:rsid w:val="000C28B1"/>
    <w:rsid w:val="000C3CEE"/>
    <w:rsid w:val="000C3D76"/>
    <w:rsid w:val="000C44EA"/>
    <w:rsid w:val="000C44F8"/>
    <w:rsid w:val="000C463F"/>
    <w:rsid w:val="000C4A61"/>
    <w:rsid w:val="000C5BEE"/>
    <w:rsid w:val="000C70F0"/>
    <w:rsid w:val="000C731C"/>
    <w:rsid w:val="000C73D1"/>
    <w:rsid w:val="000D01F4"/>
    <w:rsid w:val="000D0200"/>
    <w:rsid w:val="000D07F3"/>
    <w:rsid w:val="000D0F68"/>
    <w:rsid w:val="000D0F91"/>
    <w:rsid w:val="000D1BB7"/>
    <w:rsid w:val="000D21E2"/>
    <w:rsid w:val="000D225F"/>
    <w:rsid w:val="000D2BF7"/>
    <w:rsid w:val="000D3095"/>
    <w:rsid w:val="000D3E53"/>
    <w:rsid w:val="000D3FD2"/>
    <w:rsid w:val="000D437D"/>
    <w:rsid w:val="000D4A12"/>
    <w:rsid w:val="000D4A6D"/>
    <w:rsid w:val="000D4DA7"/>
    <w:rsid w:val="000D5D10"/>
    <w:rsid w:val="000D60B7"/>
    <w:rsid w:val="000D62B0"/>
    <w:rsid w:val="000D6485"/>
    <w:rsid w:val="000D66D4"/>
    <w:rsid w:val="000D6786"/>
    <w:rsid w:val="000D69EE"/>
    <w:rsid w:val="000D6B3A"/>
    <w:rsid w:val="000E0A17"/>
    <w:rsid w:val="000E0E5F"/>
    <w:rsid w:val="000E162F"/>
    <w:rsid w:val="000E18D2"/>
    <w:rsid w:val="000E1C67"/>
    <w:rsid w:val="000E1D93"/>
    <w:rsid w:val="000E228D"/>
    <w:rsid w:val="000E25CC"/>
    <w:rsid w:val="000E2B24"/>
    <w:rsid w:val="000E5754"/>
    <w:rsid w:val="000E5789"/>
    <w:rsid w:val="000E58B7"/>
    <w:rsid w:val="000E58DF"/>
    <w:rsid w:val="000E5B3C"/>
    <w:rsid w:val="000E6341"/>
    <w:rsid w:val="000E6360"/>
    <w:rsid w:val="000E63FB"/>
    <w:rsid w:val="000E6496"/>
    <w:rsid w:val="000E66CC"/>
    <w:rsid w:val="000E7A74"/>
    <w:rsid w:val="000E7C0D"/>
    <w:rsid w:val="000E7D25"/>
    <w:rsid w:val="000E7FDF"/>
    <w:rsid w:val="000F0BA9"/>
    <w:rsid w:val="000F1021"/>
    <w:rsid w:val="000F16D8"/>
    <w:rsid w:val="000F1782"/>
    <w:rsid w:val="000F194A"/>
    <w:rsid w:val="000F1B7A"/>
    <w:rsid w:val="000F1C17"/>
    <w:rsid w:val="000F203D"/>
    <w:rsid w:val="000F26C8"/>
    <w:rsid w:val="000F2C61"/>
    <w:rsid w:val="000F2E20"/>
    <w:rsid w:val="000F32D7"/>
    <w:rsid w:val="000F3316"/>
    <w:rsid w:val="000F36DC"/>
    <w:rsid w:val="000F3D5F"/>
    <w:rsid w:val="000F3F1C"/>
    <w:rsid w:val="000F3FB8"/>
    <w:rsid w:val="000F4BAC"/>
    <w:rsid w:val="000F4D02"/>
    <w:rsid w:val="000F4E95"/>
    <w:rsid w:val="000F61D6"/>
    <w:rsid w:val="000F67E1"/>
    <w:rsid w:val="00100076"/>
    <w:rsid w:val="00100428"/>
    <w:rsid w:val="00100655"/>
    <w:rsid w:val="00101981"/>
    <w:rsid w:val="00101A58"/>
    <w:rsid w:val="00101C78"/>
    <w:rsid w:val="00101E40"/>
    <w:rsid w:val="00101FB4"/>
    <w:rsid w:val="00102062"/>
    <w:rsid w:val="0010245D"/>
    <w:rsid w:val="00102960"/>
    <w:rsid w:val="00102A1E"/>
    <w:rsid w:val="00102B5B"/>
    <w:rsid w:val="00102F25"/>
    <w:rsid w:val="001034C9"/>
    <w:rsid w:val="001037A0"/>
    <w:rsid w:val="00103ACF"/>
    <w:rsid w:val="00103E80"/>
    <w:rsid w:val="00103EB6"/>
    <w:rsid w:val="00104372"/>
    <w:rsid w:val="001046A7"/>
    <w:rsid w:val="00104923"/>
    <w:rsid w:val="00104B46"/>
    <w:rsid w:val="00104C5B"/>
    <w:rsid w:val="00104FDA"/>
    <w:rsid w:val="0010588C"/>
    <w:rsid w:val="00105F58"/>
    <w:rsid w:val="001060AC"/>
    <w:rsid w:val="00106314"/>
    <w:rsid w:val="001063E6"/>
    <w:rsid w:val="00106801"/>
    <w:rsid w:val="00107676"/>
    <w:rsid w:val="00107820"/>
    <w:rsid w:val="00107A30"/>
    <w:rsid w:val="00110F41"/>
    <w:rsid w:val="0011140F"/>
    <w:rsid w:val="00111520"/>
    <w:rsid w:val="001123B4"/>
    <w:rsid w:val="0011254C"/>
    <w:rsid w:val="00112D04"/>
    <w:rsid w:val="00113420"/>
    <w:rsid w:val="00113917"/>
    <w:rsid w:val="00113A34"/>
    <w:rsid w:val="0011446B"/>
    <w:rsid w:val="001147B6"/>
    <w:rsid w:val="00115487"/>
    <w:rsid w:val="00115605"/>
    <w:rsid w:val="00115CEC"/>
    <w:rsid w:val="00115D7C"/>
    <w:rsid w:val="00116087"/>
    <w:rsid w:val="001176CA"/>
    <w:rsid w:val="00117876"/>
    <w:rsid w:val="001178D3"/>
    <w:rsid w:val="00117C31"/>
    <w:rsid w:val="0012015A"/>
    <w:rsid w:val="00120402"/>
    <w:rsid w:val="0012048C"/>
    <w:rsid w:val="001207A5"/>
    <w:rsid w:val="00120EDA"/>
    <w:rsid w:val="0012262F"/>
    <w:rsid w:val="00122A1D"/>
    <w:rsid w:val="00123215"/>
    <w:rsid w:val="0012351B"/>
    <w:rsid w:val="00123855"/>
    <w:rsid w:val="0012389B"/>
    <w:rsid w:val="00123E45"/>
    <w:rsid w:val="00124024"/>
    <w:rsid w:val="00124B0E"/>
    <w:rsid w:val="00126401"/>
    <w:rsid w:val="0012696A"/>
    <w:rsid w:val="00126DFF"/>
    <w:rsid w:val="00126E60"/>
    <w:rsid w:val="00126E91"/>
    <w:rsid w:val="00126F53"/>
    <w:rsid w:val="00126FE5"/>
    <w:rsid w:val="00127201"/>
    <w:rsid w:val="001274DE"/>
    <w:rsid w:val="00127D50"/>
    <w:rsid w:val="00127D7F"/>
    <w:rsid w:val="0013048D"/>
    <w:rsid w:val="00130BC4"/>
    <w:rsid w:val="00130C28"/>
    <w:rsid w:val="001315DD"/>
    <w:rsid w:val="001317A2"/>
    <w:rsid w:val="001321D6"/>
    <w:rsid w:val="00132B50"/>
    <w:rsid w:val="00132DE7"/>
    <w:rsid w:val="00132FC4"/>
    <w:rsid w:val="0013321F"/>
    <w:rsid w:val="0013322A"/>
    <w:rsid w:val="00133BE1"/>
    <w:rsid w:val="0013403E"/>
    <w:rsid w:val="001340B0"/>
    <w:rsid w:val="00134420"/>
    <w:rsid w:val="001347A5"/>
    <w:rsid w:val="001347C7"/>
    <w:rsid w:val="00134D3C"/>
    <w:rsid w:val="001352AE"/>
    <w:rsid w:val="00136219"/>
    <w:rsid w:val="0013673B"/>
    <w:rsid w:val="00136EE1"/>
    <w:rsid w:val="00136F5C"/>
    <w:rsid w:val="001373F4"/>
    <w:rsid w:val="00137A74"/>
    <w:rsid w:val="00137B47"/>
    <w:rsid w:val="00137EA6"/>
    <w:rsid w:val="00140311"/>
    <w:rsid w:val="001403F6"/>
    <w:rsid w:val="0014099A"/>
    <w:rsid w:val="00141C89"/>
    <w:rsid w:val="001428FF"/>
    <w:rsid w:val="0014322B"/>
    <w:rsid w:val="0014349E"/>
    <w:rsid w:val="001437E6"/>
    <w:rsid w:val="001437FE"/>
    <w:rsid w:val="001439DC"/>
    <w:rsid w:val="001439E1"/>
    <w:rsid w:val="00143CE6"/>
    <w:rsid w:val="00143D17"/>
    <w:rsid w:val="001446FC"/>
    <w:rsid w:val="00144C5D"/>
    <w:rsid w:val="00144E28"/>
    <w:rsid w:val="00145223"/>
    <w:rsid w:val="00145B4E"/>
    <w:rsid w:val="00145F4A"/>
    <w:rsid w:val="0014624A"/>
    <w:rsid w:val="001467AF"/>
    <w:rsid w:val="00146D56"/>
    <w:rsid w:val="0014726F"/>
    <w:rsid w:val="0014732A"/>
    <w:rsid w:val="00147623"/>
    <w:rsid w:val="001478A8"/>
    <w:rsid w:val="00147B1B"/>
    <w:rsid w:val="00147B3D"/>
    <w:rsid w:val="00147CEF"/>
    <w:rsid w:val="00147EFE"/>
    <w:rsid w:val="0015037E"/>
    <w:rsid w:val="00150A10"/>
    <w:rsid w:val="00151100"/>
    <w:rsid w:val="00151607"/>
    <w:rsid w:val="0015176C"/>
    <w:rsid w:val="0015220F"/>
    <w:rsid w:val="00152C12"/>
    <w:rsid w:val="00152C88"/>
    <w:rsid w:val="0015321B"/>
    <w:rsid w:val="00153707"/>
    <w:rsid w:val="00153972"/>
    <w:rsid w:val="00153E37"/>
    <w:rsid w:val="00154677"/>
    <w:rsid w:val="00154D1D"/>
    <w:rsid w:val="00154FF0"/>
    <w:rsid w:val="00155A2B"/>
    <w:rsid w:val="00155D7B"/>
    <w:rsid w:val="00156A68"/>
    <w:rsid w:val="001575D6"/>
    <w:rsid w:val="00157D85"/>
    <w:rsid w:val="00157F6C"/>
    <w:rsid w:val="001608F8"/>
    <w:rsid w:val="001619BE"/>
    <w:rsid w:val="00161FEA"/>
    <w:rsid w:val="0016240F"/>
    <w:rsid w:val="001625E0"/>
    <w:rsid w:val="00162AAB"/>
    <w:rsid w:val="00163340"/>
    <w:rsid w:val="00163721"/>
    <w:rsid w:val="00163772"/>
    <w:rsid w:val="00163854"/>
    <w:rsid w:val="00164084"/>
    <w:rsid w:val="0016447B"/>
    <w:rsid w:val="00164984"/>
    <w:rsid w:val="00164DCF"/>
    <w:rsid w:val="00165071"/>
    <w:rsid w:val="00165845"/>
    <w:rsid w:val="001658C2"/>
    <w:rsid w:val="00165967"/>
    <w:rsid w:val="00165A92"/>
    <w:rsid w:val="001667EC"/>
    <w:rsid w:val="0016735B"/>
    <w:rsid w:val="00167AE3"/>
    <w:rsid w:val="00170222"/>
    <w:rsid w:val="00170246"/>
    <w:rsid w:val="001703E4"/>
    <w:rsid w:val="0017131B"/>
    <w:rsid w:val="00171431"/>
    <w:rsid w:val="00172D72"/>
    <w:rsid w:val="00173415"/>
    <w:rsid w:val="00173E69"/>
    <w:rsid w:val="001743AA"/>
    <w:rsid w:val="001744DD"/>
    <w:rsid w:val="00175B49"/>
    <w:rsid w:val="00175BFE"/>
    <w:rsid w:val="00175DFC"/>
    <w:rsid w:val="00176075"/>
    <w:rsid w:val="001766D3"/>
    <w:rsid w:val="00176B18"/>
    <w:rsid w:val="00176BA6"/>
    <w:rsid w:val="00176BF7"/>
    <w:rsid w:val="00176C0D"/>
    <w:rsid w:val="00176DDB"/>
    <w:rsid w:val="001777B9"/>
    <w:rsid w:val="001804E7"/>
    <w:rsid w:val="001806D9"/>
    <w:rsid w:val="00180BE7"/>
    <w:rsid w:val="00181E7F"/>
    <w:rsid w:val="00181EAF"/>
    <w:rsid w:val="001821C3"/>
    <w:rsid w:val="00182E81"/>
    <w:rsid w:val="00183495"/>
    <w:rsid w:val="00183538"/>
    <w:rsid w:val="001837DC"/>
    <w:rsid w:val="00183800"/>
    <w:rsid w:val="001849BC"/>
    <w:rsid w:val="00184D50"/>
    <w:rsid w:val="00184F95"/>
    <w:rsid w:val="001850AF"/>
    <w:rsid w:val="001852DA"/>
    <w:rsid w:val="001856C1"/>
    <w:rsid w:val="0018649D"/>
    <w:rsid w:val="00186619"/>
    <w:rsid w:val="00186CC8"/>
    <w:rsid w:val="00186F81"/>
    <w:rsid w:val="00187957"/>
    <w:rsid w:val="00187C1F"/>
    <w:rsid w:val="00187C26"/>
    <w:rsid w:val="00187C5B"/>
    <w:rsid w:val="001902B4"/>
    <w:rsid w:val="001903D9"/>
    <w:rsid w:val="00190B49"/>
    <w:rsid w:val="0019159F"/>
    <w:rsid w:val="001916D3"/>
    <w:rsid w:val="00191963"/>
    <w:rsid w:val="00191B44"/>
    <w:rsid w:val="00192342"/>
    <w:rsid w:val="001923A4"/>
    <w:rsid w:val="001924A8"/>
    <w:rsid w:val="00192966"/>
    <w:rsid w:val="00192D67"/>
    <w:rsid w:val="00193370"/>
    <w:rsid w:val="00193433"/>
    <w:rsid w:val="00193CB3"/>
    <w:rsid w:val="00193DF2"/>
    <w:rsid w:val="00194159"/>
    <w:rsid w:val="00194AB1"/>
    <w:rsid w:val="00195022"/>
    <w:rsid w:val="001952D8"/>
    <w:rsid w:val="00195A9E"/>
    <w:rsid w:val="00195BD5"/>
    <w:rsid w:val="001961FB"/>
    <w:rsid w:val="00196215"/>
    <w:rsid w:val="00196716"/>
    <w:rsid w:val="00196A39"/>
    <w:rsid w:val="00196C69"/>
    <w:rsid w:val="001976C7"/>
    <w:rsid w:val="001A00EA"/>
    <w:rsid w:val="001A052A"/>
    <w:rsid w:val="001A06FB"/>
    <w:rsid w:val="001A0819"/>
    <w:rsid w:val="001A1AA7"/>
    <w:rsid w:val="001A1D38"/>
    <w:rsid w:val="001A2153"/>
    <w:rsid w:val="001A24F6"/>
    <w:rsid w:val="001A24FE"/>
    <w:rsid w:val="001A376E"/>
    <w:rsid w:val="001A3910"/>
    <w:rsid w:val="001A3986"/>
    <w:rsid w:val="001A3C2E"/>
    <w:rsid w:val="001A3E5C"/>
    <w:rsid w:val="001A42ED"/>
    <w:rsid w:val="001A465C"/>
    <w:rsid w:val="001A467F"/>
    <w:rsid w:val="001A4C73"/>
    <w:rsid w:val="001A4C74"/>
    <w:rsid w:val="001A573A"/>
    <w:rsid w:val="001A5DE7"/>
    <w:rsid w:val="001A6334"/>
    <w:rsid w:val="001A6533"/>
    <w:rsid w:val="001A7695"/>
    <w:rsid w:val="001A77AA"/>
    <w:rsid w:val="001A79B4"/>
    <w:rsid w:val="001A7A06"/>
    <w:rsid w:val="001A7D15"/>
    <w:rsid w:val="001B017B"/>
    <w:rsid w:val="001B0A01"/>
    <w:rsid w:val="001B0C42"/>
    <w:rsid w:val="001B1358"/>
    <w:rsid w:val="001B15F4"/>
    <w:rsid w:val="001B24A1"/>
    <w:rsid w:val="001B2B05"/>
    <w:rsid w:val="001B2B86"/>
    <w:rsid w:val="001B3A2D"/>
    <w:rsid w:val="001B3B8A"/>
    <w:rsid w:val="001B43BF"/>
    <w:rsid w:val="001B47C3"/>
    <w:rsid w:val="001B4DC6"/>
    <w:rsid w:val="001B5733"/>
    <w:rsid w:val="001B5DE8"/>
    <w:rsid w:val="001B6369"/>
    <w:rsid w:val="001B63D4"/>
    <w:rsid w:val="001B6E58"/>
    <w:rsid w:val="001B7437"/>
    <w:rsid w:val="001B7688"/>
    <w:rsid w:val="001B7E8E"/>
    <w:rsid w:val="001C003F"/>
    <w:rsid w:val="001C022A"/>
    <w:rsid w:val="001C0779"/>
    <w:rsid w:val="001C1179"/>
    <w:rsid w:val="001C13D5"/>
    <w:rsid w:val="001C1F9B"/>
    <w:rsid w:val="001C235C"/>
    <w:rsid w:val="001C34AD"/>
    <w:rsid w:val="001C396F"/>
    <w:rsid w:val="001C4115"/>
    <w:rsid w:val="001C4266"/>
    <w:rsid w:val="001C4E61"/>
    <w:rsid w:val="001C4E70"/>
    <w:rsid w:val="001C5235"/>
    <w:rsid w:val="001C56E0"/>
    <w:rsid w:val="001C5B5F"/>
    <w:rsid w:val="001C5FE9"/>
    <w:rsid w:val="001C616E"/>
    <w:rsid w:val="001C66E4"/>
    <w:rsid w:val="001C6B21"/>
    <w:rsid w:val="001C6BD9"/>
    <w:rsid w:val="001C6D9C"/>
    <w:rsid w:val="001C7618"/>
    <w:rsid w:val="001D0900"/>
    <w:rsid w:val="001D29F7"/>
    <w:rsid w:val="001D2A8E"/>
    <w:rsid w:val="001D2D83"/>
    <w:rsid w:val="001D2D90"/>
    <w:rsid w:val="001D3493"/>
    <w:rsid w:val="001D385E"/>
    <w:rsid w:val="001D4995"/>
    <w:rsid w:val="001D4B25"/>
    <w:rsid w:val="001D4B3F"/>
    <w:rsid w:val="001D4B55"/>
    <w:rsid w:val="001D5121"/>
    <w:rsid w:val="001D5800"/>
    <w:rsid w:val="001D5DE2"/>
    <w:rsid w:val="001D63BD"/>
    <w:rsid w:val="001D6D05"/>
    <w:rsid w:val="001D6DD8"/>
    <w:rsid w:val="001D717B"/>
    <w:rsid w:val="001D7B00"/>
    <w:rsid w:val="001E0004"/>
    <w:rsid w:val="001E06D3"/>
    <w:rsid w:val="001E0D2B"/>
    <w:rsid w:val="001E135F"/>
    <w:rsid w:val="001E198C"/>
    <w:rsid w:val="001E1CD1"/>
    <w:rsid w:val="001E2277"/>
    <w:rsid w:val="001E2657"/>
    <w:rsid w:val="001E31CD"/>
    <w:rsid w:val="001E3461"/>
    <w:rsid w:val="001E36B2"/>
    <w:rsid w:val="001E39E0"/>
    <w:rsid w:val="001E3AD5"/>
    <w:rsid w:val="001E3F41"/>
    <w:rsid w:val="001E4199"/>
    <w:rsid w:val="001E43FF"/>
    <w:rsid w:val="001E446A"/>
    <w:rsid w:val="001E494F"/>
    <w:rsid w:val="001E4E7D"/>
    <w:rsid w:val="001E4F1A"/>
    <w:rsid w:val="001E54B2"/>
    <w:rsid w:val="001E5D3B"/>
    <w:rsid w:val="001E5F66"/>
    <w:rsid w:val="001E69F5"/>
    <w:rsid w:val="001E7513"/>
    <w:rsid w:val="001E7AA7"/>
    <w:rsid w:val="001E7C50"/>
    <w:rsid w:val="001F0CC8"/>
    <w:rsid w:val="001F0F50"/>
    <w:rsid w:val="001F1520"/>
    <w:rsid w:val="001F1D4C"/>
    <w:rsid w:val="001F1E87"/>
    <w:rsid w:val="001F2686"/>
    <w:rsid w:val="001F39E5"/>
    <w:rsid w:val="001F3FB2"/>
    <w:rsid w:val="001F4B73"/>
    <w:rsid w:val="001F5D77"/>
    <w:rsid w:val="001F68B9"/>
    <w:rsid w:val="001F68CE"/>
    <w:rsid w:val="001F7202"/>
    <w:rsid w:val="001F73DB"/>
    <w:rsid w:val="001F78D1"/>
    <w:rsid w:val="001F7B83"/>
    <w:rsid w:val="001F7BF5"/>
    <w:rsid w:val="0020013B"/>
    <w:rsid w:val="00200336"/>
    <w:rsid w:val="00200486"/>
    <w:rsid w:val="00200617"/>
    <w:rsid w:val="00200D7D"/>
    <w:rsid w:val="00200E67"/>
    <w:rsid w:val="00201229"/>
    <w:rsid w:val="0020167F"/>
    <w:rsid w:val="00201AF7"/>
    <w:rsid w:val="00201C6C"/>
    <w:rsid w:val="002024A7"/>
    <w:rsid w:val="0020294E"/>
    <w:rsid w:val="00202C71"/>
    <w:rsid w:val="002031CD"/>
    <w:rsid w:val="002036D0"/>
    <w:rsid w:val="00204021"/>
    <w:rsid w:val="00204338"/>
    <w:rsid w:val="0020481B"/>
    <w:rsid w:val="002054DA"/>
    <w:rsid w:val="002057E6"/>
    <w:rsid w:val="0020641B"/>
    <w:rsid w:val="002065B8"/>
    <w:rsid w:val="002067CD"/>
    <w:rsid w:val="00206DB1"/>
    <w:rsid w:val="00206F50"/>
    <w:rsid w:val="00206FC0"/>
    <w:rsid w:val="00207060"/>
    <w:rsid w:val="002071FA"/>
    <w:rsid w:val="00207277"/>
    <w:rsid w:val="00207378"/>
    <w:rsid w:val="002073C7"/>
    <w:rsid w:val="00207441"/>
    <w:rsid w:val="002075C6"/>
    <w:rsid w:val="00210582"/>
    <w:rsid w:val="00210666"/>
    <w:rsid w:val="002106C9"/>
    <w:rsid w:val="002107BF"/>
    <w:rsid w:val="00210946"/>
    <w:rsid w:val="00210A01"/>
    <w:rsid w:val="00210CDF"/>
    <w:rsid w:val="002111E1"/>
    <w:rsid w:val="002115C9"/>
    <w:rsid w:val="0021186F"/>
    <w:rsid w:val="00211F90"/>
    <w:rsid w:val="002121AA"/>
    <w:rsid w:val="002129DE"/>
    <w:rsid w:val="00212CCF"/>
    <w:rsid w:val="002131EA"/>
    <w:rsid w:val="00213717"/>
    <w:rsid w:val="00214303"/>
    <w:rsid w:val="0021570F"/>
    <w:rsid w:val="0021618D"/>
    <w:rsid w:val="002171F7"/>
    <w:rsid w:val="00217DF7"/>
    <w:rsid w:val="00217F63"/>
    <w:rsid w:val="002205C2"/>
    <w:rsid w:val="00220A10"/>
    <w:rsid w:val="00220E5E"/>
    <w:rsid w:val="00220EB8"/>
    <w:rsid w:val="00221763"/>
    <w:rsid w:val="002220FD"/>
    <w:rsid w:val="002228E3"/>
    <w:rsid w:val="00222A9F"/>
    <w:rsid w:val="00222BD4"/>
    <w:rsid w:val="0022307F"/>
    <w:rsid w:val="002236C5"/>
    <w:rsid w:val="002238DF"/>
    <w:rsid w:val="00223A84"/>
    <w:rsid w:val="00223E86"/>
    <w:rsid w:val="00224272"/>
    <w:rsid w:val="00224789"/>
    <w:rsid w:val="002258B3"/>
    <w:rsid w:val="002258BF"/>
    <w:rsid w:val="002258F7"/>
    <w:rsid w:val="0022602A"/>
    <w:rsid w:val="00226588"/>
    <w:rsid w:val="00226D79"/>
    <w:rsid w:val="00227050"/>
    <w:rsid w:val="0022771A"/>
    <w:rsid w:val="00227986"/>
    <w:rsid w:val="00230499"/>
    <w:rsid w:val="00230761"/>
    <w:rsid w:val="00230779"/>
    <w:rsid w:val="00232316"/>
    <w:rsid w:val="00232765"/>
    <w:rsid w:val="00232843"/>
    <w:rsid w:val="00232F5D"/>
    <w:rsid w:val="002336A2"/>
    <w:rsid w:val="00233725"/>
    <w:rsid w:val="00233AB9"/>
    <w:rsid w:val="002343D3"/>
    <w:rsid w:val="00234C05"/>
    <w:rsid w:val="00235044"/>
    <w:rsid w:val="00235622"/>
    <w:rsid w:val="00235888"/>
    <w:rsid w:val="00235AA1"/>
    <w:rsid w:val="00235C4E"/>
    <w:rsid w:val="00235C86"/>
    <w:rsid w:val="00235E8A"/>
    <w:rsid w:val="00236270"/>
    <w:rsid w:val="002371CC"/>
    <w:rsid w:val="002373A9"/>
    <w:rsid w:val="002378B7"/>
    <w:rsid w:val="00237BB7"/>
    <w:rsid w:val="00237BF5"/>
    <w:rsid w:val="0024028D"/>
    <w:rsid w:val="002404C4"/>
    <w:rsid w:val="002405DC"/>
    <w:rsid w:val="00240CB7"/>
    <w:rsid w:val="00240E11"/>
    <w:rsid w:val="00240E77"/>
    <w:rsid w:val="00240F64"/>
    <w:rsid w:val="00240F6B"/>
    <w:rsid w:val="002416CF"/>
    <w:rsid w:val="00241925"/>
    <w:rsid w:val="00241A7D"/>
    <w:rsid w:val="00241CA5"/>
    <w:rsid w:val="0024248B"/>
    <w:rsid w:val="002428D1"/>
    <w:rsid w:val="00242BFB"/>
    <w:rsid w:val="002433C3"/>
    <w:rsid w:val="0024369D"/>
    <w:rsid w:val="00243C0D"/>
    <w:rsid w:val="00243E37"/>
    <w:rsid w:val="00243E40"/>
    <w:rsid w:val="00244DF3"/>
    <w:rsid w:val="00245F00"/>
    <w:rsid w:val="0024604E"/>
    <w:rsid w:val="002461EB"/>
    <w:rsid w:val="002462E0"/>
    <w:rsid w:val="002467C2"/>
    <w:rsid w:val="002469FB"/>
    <w:rsid w:val="00246FD8"/>
    <w:rsid w:val="00246FFA"/>
    <w:rsid w:val="00247854"/>
    <w:rsid w:val="0024789E"/>
    <w:rsid w:val="00247C3E"/>
    <w:rsid w:val="00250D55"/>
    <w:rsid w:val="00251898"/>
    <w:rsid w:val="00252250"/>
    <w:rsid w:val="0025251D"/>
    <w:rsid w:val="00252DDE"/>
    <w:rsid w:val="002535F8"/>
    <w:rsid w:val="0025389B"/>
    <w:rsid w:val="002539C7"/>
    <w:rsid w:val="00253C52"/>
    <w:rsid w:val="00254E04"/>
    <w:rsid w:val="0025537A"/>
    <w:rsid w:val="002555BB"/>
    <w:rsid w:val="00255934"/>
    <w:rsid w:val="002564F6"/>
    <w:rsid w:val="0025675C"/>
    <w:rsid w:val="00256AF3"/>
    <w:rsid w:val="00256C0D"/>
    <w:rsid w:val="0025712E"/>
    <w:rsid w:val="00257626"/>
    <w:rsid w:val="00257A77"/>
    <w:rsid w:val="002600A9"/>
    <w:rsid w:val="002605CD"/>
    <w:rsid w:val="00260A8D"/>
    <w:rsid w:val="002614A0"/>
    <w:rsid w:val="00261A05"/>
    <w:rsid w:val="0026217A"/>
    <w:rsid w:val="00262896"/>
    <w:rsid w:val="002638F4"/>
    <w:rsid w:val="00263E75"/>
    <w:rsid w:val="00264282"/>
    <w:rsid w:val="0026430D"/>
    <w:rsid w:val="0026452E"/>
    <w:rsid w:val="0026458B"/>
    <w:rsid w:val="00264994"/>
    <w:rsid w:val="00264DBD"/>
    <w:rsid w:val="0026522B"/>
    <w:rsid w:val="00265943"/>
    <w:rsid w:val="002666A0"/>
    <w:rsid w:val="00266B4C"/>
    <w:rsid w:val="00266EC2"/>
    <w:rsid w:val="0026755F"/>
    <w:rsid w:val="0026795C"/>
    <w:rsid w:val="0027026A"/>
    <w:rsid w:val="0027035B"/>
    <w:rsid w:val="00270E96"/>
    <w:rsid w:val="002716AD"/>
    <w:rsid w:val="00271780"/>
    <w:rsid w:val="00271C66"/>
    <w:rsid w:val="0027212B"/>
    <w:rsid w:val="00272530"/>
    <w:rsid w:val="00272769"/>
    <w:rsid w:val="00272D4D"/>
    <w:rsid w:val="00273004"/>
    <w:rsid w:val="00273F07"/>
    <w:rsid w:val="002746EA"/>
    <w:rsid w:val="00274BAA"/>
    <w:rsid w:val="00274BE1"/>
    <w:rsid w:val="00274D60"/>
    <w:rsid w:val="00275266"/>
    <w:rsid w:val="002752E8"/>
    <w:rsid w:val="002753DC"/>
    <w:rsid w:val="002758DC"/>
    <w:rsid w:val="00275A31"/>
    <w:rsid w:val="002769BC"/>
    <w:rsid w:val="00276B79"/>
    <w:rsid w:val="00276DF7"/>
    <w:rsid w:val="00277039"/>
    <w:rsid w:val="00280242"/>
    <w:rsid w:val="00280A71"/>
    <w:rsid w:val="00280C91"/>
    <w:rsid w:val="00280D29"/>
    <w:rsid w:val="0028171A"/>
    <w:rsid w:val="00281E97"/>
    <w:rsid w:val="00281F59"/>
    <w:rsid w:val="00281FDD"/>
    <w:rsid w:val="002824F4"/>
    <w:rsid w:val="0028445A"/>
    <w:rsid w:val="00284BC1"/>
    <w:rsid w:val="002851B2"/>
    <w:rsid w:val="002855A7"/>
    <w:rsid w:val="002856BA"/>
    <w:rsid w:val="0028590A"/>
    <w:rsid w:val="00285EDF"/>
    <w:rsid w:val="00286212"/>
    <w:rsid w:val="002863B2"/>
    <w:rsid w:val="0028679F"/>
    <w:rsid w:val="00286B3A"/>
    <w:rsid w:val="002870A8"/>
    <w:rsid w:val="0028774D"/>
    <w:rsid w:val="00287C2D"/>
    <w:rsid w:val="00287C35"/>
    <w:rsid w:val="00287F2D"/>
    <w:rsid w:val="002907E5"/>
    <w:rsid w:val="00291307"/>
    <w:rsid w:val="002918A1"/>
    <w:rsid w:val="00292800"/>
    <w:rsid w:val="0029295F"/>
    <w:rsid w:val="0029359B"/>
    <w:rsid w:val="0029374A"/>
    <w:rsid w:val="00293BFD"/>
    <w:rsid w:val="002947D3"/>
    <w:rsid w:val="00295844"/>
    <w:rsid w:val="00295932"/>
    <w:rsid w:val="002966F4"/>
    <w:rsid w:val="002967E5"/>
    <w:rsid w:val="00296D93"/>
    <w:rsid w:val="00297133"/>
    <w:rsid w:val="002974E8"/>
    <w:rsid w:val="00297C09"/>
    <w:rsid w:val="00297F25"/>
    <w:rsid w:val="002A03EF"/>
    <w:rsid w:val="002A061B"/>
    <w:rsid w:val="002A0AB2"/>
    <w:rsid w:val="002A0C8D"/>
    <w:rsid w:val="002A17F0"/>
    <w:rsid w:val="002A1B15"/>
    <w:rsid w:val="002A309E"/>
    <w:rsid w:val="002A3C39"/>
    <w:rsid w:val="002A3D08"/>
    <w:rsid w:val="002A4676"/>
    <w:rsid w:val="002A46BD"/>
    <w:rsid w:val="002A48BE"/>
    <w:rsid w:val="002A56C4"/>
    <w:rsid w:val="002A57D2"/>
    <w:rsid w:val="002A6295"/>
    <w:rsid w:val="002A6B65"/>
    <w:rsid w:val="002A72D3"/>
    <w:rsid w:val="002A73C8"/>
    <w:rsid w:val="002A7BB3"/>
    <w:rsid w:val="002A7E23"/>
    <w:rsid w:val="002A7FB5"/>
    <w:rsid w:val="002B002D"/>
    <w:rsid w:val="002B0967"/>
    <w:rsid w:val="002B0CFD"/>
    <w:rsid w:val="002B0F3B"/>
    <w:rsid w:val="002B1438"/>
    <w:rsid w:val="002B31DA"/>
    <w:rsid w:val="002B357C"/>
    <w:rsid w:val="002B409A"/>
    <w:rsid w:val="002B44A2"/>
    <w:rsid w:val="002B45AC"/>
    <w:rsid w:val="002B4BE0"/>
    <w:rsid w:val="002B53DA"/>
    <w:rsid w:val="002B577C"/>
    <w:rsid w:val="002B65F6"/>
    <w:rsid w:val="002B68F0"/>
    <w:rsid w:val="002B6934"/>
    <w:rsid w:val="002B69FE"/>
    <w:rsid w:val="002B6BE4"/>
    <w:rsid w:val="002B71F5"/>
    <w:rsid w:val="002B7511"/>
    <w:rsid w:val="002B7BAF"/>
    <w:rsid w:val="002C073B"/>
    <w:rsid w:val="002C0F12"/>
    <w:rsid w:val="002C14C1"/>
    <w:rsid w:val="002C17E4"/>
    <w:rsid w:val="002C19BE"/>
    <w:rsid w:val="002C23D8"/>
    <w:rsid w:val="002C2833"/>
    <w:rsid w:val="002C2BC3"/>
    <w:rsid w:val="002C2DC6"/>
    <w:rsid w:val="002C2E3F"/>
    <w:rsid w:val="002C3023"/>
    <w:rsid w:val="002C3222"/>
    <w:rsid w:val="002C392D"/>
    <w:rsid w:val="002C39CD"/>
    <w:rsid w:val="002C467C"/>
    <w:rsid w:val="002C47A6"/>
    <w:rsid w:val="002C49F9"/>
    <w:rsid w:val="002C5606"/>
    <w:rsid w:val="002C5C33"/>
    <w:rsid w:val="002C5F42"/>
    <w:rsid w:val="002C6175"/>
    <w:rsid w:val="002C636F"/>
    <w:rsid w:val="002C64DA"/>
    <w:rsid w:val="002C67EC"/>
    <w:rsid w:val="002C6C32"/>
    <w:rsid w:val="002C754A"/>
    <w:rsid w:val="002C791B"/>
    <w:rsid w:val="002C7FE1"/>
    <w:rsid w:val="002D0111"/>
    <w:rsid w:val="002D0A72"/>
    <w:rsid w:val="002D0AFD"/>
    <w:rsid w:val="002D0D58"/>
    <w:rsid w:val="002D0E29"/>
    <w:rsid w:val="002D1531"/>
    <w:rsid w:val="002D1552"/>
    <w:rsid w:val="002D1669"/>
    <w:rsid w:val="002D19D7"/>
    <w:rsid w:val="002D1A44"/>
    <w:rsid w:val="002D2740"/>
    <w:rsid w:val="002D2889"/>
    <w:rsid w:val="002D2CA1"/>
    <w:rsid w:val="002D2EF1"/>
    <w:rsid w:val="002D3619"/>
    <w:rsid w:val="002D3818"/>
    <w:rsid w:val="002D3A96"/>
    <w:rsid w:val="002D3FB1"/>
    <w:rsid w:val="002D4295"/>
    <w:rsid w:val="002D4733"/>
    <w:rsid w:val="002D4878"/>
    <w:rsid w:val="002D4B01"/>
    <w:rsid w:val="002D4B89"/>
    <w:rsid w:val="002D5039"/>
    <w:rsid w:val="002D5606"/>
    <w:rsid w:val="002D5B5A"/>
    <w:rsid w:val="002D5DA7"/>
    <w:rsid w:val="002D60CA"/>
    <w:rsid w:val="002D613C"/>
    <w:rsid w:val="002D653E"/>
    <w:rsid w:val="002D6C82"/>
    <w:rsid w:val="002D7E7A"/>
    <w:rsid w:val="002E0409"/>
    <w:rsid w:val="002E0BBA"/>
    <w:rsid w:val="002E0E04"/>
    <w:rsid w:val="002E10B4"/>
    <w:rsid w:val="002E1767"/>
    <w:rsid w:val="002E1F10"/>
    <w:rsid w:val="002E394F"/>
    <w:rsid w:val="002E3B00"/>
    <w:rsid w:val="002E4553"/>
    <w:rsid w:val="002E495E"/>
    <w:rsid w:val="002E4DDC"/>
    <w:rsid w:val="002E5178"/>
    <w:rsid w:val="002E58DA"/>
    <w:rsid w:val="002E5BC4"/>
    <w:rsid w:val="002E6ED9"/>
    <w:rsid w:val="002E76A9"/>
    <w:rsid w:val="002E7744"/>
    <w:rsid w:val="002E7769"/>
    <w:rsid w:val="002E7E97"/>
    <w:rsid w:val="002E7F2A"/>
    <w:rsid w:val="002E7F75"/>
    <w:rsid w:val="002F0628"/>
    <w:rsid w:val="002F0DDC"/>
    <w:rsid w:val="002F0F04"/>
    <w:rsid w:val="002F1FB2"/>
    <w:rsid w:val="002F20E4"/>
    <w:rsid w:val="002F224D"/>
    <w:rsid w:val="002F2BFF"/>
    <w:rsid w:val="002F2D3D"/>
    <w:rsid w:val="002F31B0"/>
    <w:rsid w:val="002F3921"/>
    <w:rsid w:val="002F49F6"/>
    <w:rsid w:val="002F4D1D"/>
    <w:rsid w:val="002F5272"/>
    <w:rsid w:val="002F5337"/>
    <w:rsid w:val="002F58E2"/>
    <w:rsid w:val="002F6055"/>
    <w:rsid w:val="002F648D"/>
    <w:rsid w:val="003002AF"/>
    <w:rsid w:val="00300B72"/>
    <w:rsid w:val="00300C49"/>
    <w:rsid w:val="00301D8F"/>
    <w:rsid w:val="003024BF"/>
    <w:rsid w:val="00302C42"/>
    <w:rsid w:val="00302F7D"/>
    <w:rsid w:val="00302FB2"/>
    <w:rsid w:val="0030308F"/>
    <w:rsid w:val="0030317B"/>
    <w:rsid w:val="00303207"/>
    <w:rsid w:val="00303AD4"/>
    <w:rsid w:val="00303D6C"/>
    <w:rsid w:val="00303DED"/>
    <w:rsid w:val="00304F15"/>
    <w:rsid w:val="00305042"/>
    <w:rsid w:val="003050C7"/>
    <w:rsid w:val="003057DD"/>
    <w:rsid w:val="003059DD"/>
    <w:rsid w:val="00305C88"/>
    <w:rsid w:val="00306189"/>
    <w:rsid w:val="003063D9"/>
    <w:rsid w:val="00306646"/>
    <w:rsid w:val="00306D87"/>
    <w:rsid w:val="00306E86"/>
    <w:rsid w:val="003071B3"/>
    <w:rsid w:val="00307720"/>
    <w:rsid w:val="00307921"/>
    <w:rsid w:val="00310139"/>
    <w:rsid w:val="0031032A"/>
    <w:rsid w:val="00310D87"/>
    <w:rsid w:val="00312173"/>
    <w:rsid w:val="003122C7"/>
    <w:rsid w:val="00312320"/>
    <w:rsid w:val="003123BA"/>
    <w:rsid w:val="00312686"/>
    <w:rsid w:val="0031369A"/>
    <w:rsid w:val="00313844"/>
    <w:rsid w:val="00313B82"/>
    <w:rsid w:val="00314AC5"/>
    <w:rsid w:val="0031533C"/>
    <w:rsid w:val="00315565"/>
    <w:rsid w:val="00315B78"/>
    <w:rsid w:val="00315CBE"/>
    <w:rsid w:val="00315E22"/>
    <w:rsid w:val="003178BF"/>
    <w:rsid w:val="00317A95"/>
    <w:rsid w:val="0032039A"/>
    <w:rsid w:val="003203FE"/>
    <w:rsid w:val="0032045D"/>
    <w:rsid w:val="00320632"/>
    <w:rsid w:val="003213B2"/>
    <w:rsid w:val="00321603"/>
    <w:rsid w:val="00321D16"/>
    <w:rsid w:val="00321F37"/>
    <w:rsid w:val="00322279"/>
    <w:rsid w:val="0032237A"/>
    <w:rsid w:val="00322B30"/>
    <w:rsid w:val="00322EC8"/>
    <w:rsid w:val="00322F50"/>
    <w:rsid w:val="00323844"/>
    <w:rsid w:val="00323D72"/>
    <w:rsid w:val="00323F6B"/>
    <w:rsid w:val="0032411D"/>
    <w:rsid w:val="00324567"/>
    <w:rsid w:val="003248CC"/>
    <w:rsid w:val="003257D1"/>
    <w:rsid w:val="00325923"/>
    <w:rsid w:val="00326C75"/>
    <w:rsid w:val="00326F37"/>
    <w:rsid w:val="00326FC6"/>
    <w:rsid w:val="00327070"/>
    <w:rsid w:val="00327239"/>
    <w:rsid w:val="0033032A"/>
    <w:rsid w:val="003307BE"/>
    <w:rsid w:val="00330EE9"/>
    <w:rsid w:val="00331277"/>
    <w:rsid w:val="003312AD"/>
    <w:rsid w:val="00331B67"/>
    <w:rsid w:val="00331D0C"/>
    <w:rsid w:val="00331D6B"/>
    <w:rsid w:val="0033207D"/>
    <w:rsid w:val="003321E8"/>
    <w:rsid w:val="00332346"/>
    <w:rsid w:val="00332F04"/>
    <w:rsid w:val="00333785"/>
    <w:rsid w:val="003340E2"/>
    <w:rsid w:val="00334A9A"/>
    <w:rsid w:val="00335A84"/>
    <w:rsid w:val="003360D7"/>
    <w:rsid w:val="00337107"/>
    <w:rsid w:val="0033733F"/>
    <w:rsid w:val="00337B9D"/>
    <w:rsid w:val="00337D9F"/>
    <w:rsid w:val="00340239"/>
    <w:rsid w:val="003409EF"/>
    <w:rsid w:val="00340A96"/>
    <w:rsid w:val="00341430"/>
    <w:rsid w:val="00342432"/>
    <w:rsid w:val="0034250D"/>
    <w:rsid w:val="003427F0"/>
    <w:rsid w:val="00342B3F"/>
    <w:rsid w:val="003435FC"/>
    <w:rsid w:val="0034472E"/>
    <w:rsid w:val="00344A9F"/>
    <w:rsid w:val="00344AE7"/>
    <w:rsid w:val="00345471"/>
    <w:rsid w:val="00345AB0"/>
    <w:rsid w:val="00345DE5"/>
    <w:rsid w:val="003466B5"/>
    <w:rsid w:val="0034687E"/>
    <w:rsid w:val="00346B0B"/>
    <w:rsid w:val="00346D7B"/>
    <w:rsid w:val="00346F8D"/>
    <w:rsid w:val="00347243"/>
    <w:rsid w:val="0034726A"/>
    <w:rsid w:val="00347402"/>
    <w:rsid w:val="00347B6B"/>
    <w:rsid w:val="00347EA2"/>
    <w:rsid w:val="00350335"/>
    <w:rsid w:val="003506BA"/>
    <w:rsid w:val="00350C0D"/>
    <w:rsid w:val="00351009"/>
    <w:rsid w:val="003513F8"/>
    <w:rsid w:val="00351699"/>
    <w:rsid w:val="00351802"/>
    <w:rsid w:val="003519B8"/>
    <w:rsid w:val="003519D4"/>
    <w:rsid w:val="00351ACD"/>
    <w:rsid w:val="00351B02"/>
    <w:rsid w:val="00352821"/>
    <w:rsid w:val="00352B34"/>
    <w:rsid w:val="00352D0E"/>
    <w:rsid w:val="00352FF9"/>
    <w:rsid w:val="003537F7"/>
    <w:rsid w:val="003539D0"/>
    <w:rsid w:val="00353C10"/>
    <w:rsid w:val="003540BD"/>
    <w:rsid w:val="00354122"/>
    <w:rsid w:val="003555D2"/>
    <w:rsid w:val="00355D0A"/>
    <w:rsid w:val="00355E5D"/>
    <w:rsid w:val="003561D3"/>
    <w:rsid w:val="00356343"/>
    <w:rsid w:val="00356639"/>
    <w:rsid w:val="00356BBC"/>
    <w:rsid w:val="00357ECD"/>
    <w:rsid w:val="00357F6E"/>
    <w:rsid w:val="00360481"/>
    <w:rsid w:val="003609C5"/>
    <w:rsid w:val="00360ABA"/>
    <w:rsid w:val="00361145"/>
    <w:rsid w:val="00361CD4"/>
    <w:rsid w:val="003621CA"/>
    <w:rsid w:val="003621F8"/>
    <w:rsid w:val="0036227D"/>
    <w:rsid w:val="003627F6"/>
    <w:rsid w:val="00362A18"/>
    <w:rsid w:val="00362A6A"/>
    <w:rsid w:val="00363AFC"/>
    <w:rsid w:val="00363BC2"/>
    <w:rsid w:val="003642DC"/>
    <w:rsid w:val="00364414"/>
    <w:rsid w:val="0036477D"/>
    <w:rsid w:val="00364AA6"/>
    <w:rsid w:val="00365D51"/>
    <w:rsid w:val="00365E7F"/>
    <w:rsid w:val="00365F08"/>
    <w:rsid w:val="003663C6"/>
    <w:rsid w:val="003672D6"/>
    <w:rsid w:val="003704B0"/>
    <w:rsid w:val="00370B5D"/>
    <w:rsid w:val="00370D9D"/>
    <w:rsid w:val="00370F6E"/>
    <w:rsid w:val="003715C5"/>
    <w:rsid w:val="00371B72"/>
    <w:rsid w:val="003721E2"/>
    <w:rsid w:val="003728B8"/>
    <w:rsid w:val="00372A08"/>
    <w:rsid w:val="00372E73"/>
    <w:rsid w:val="00373583"/>
    <w:rsid w:val="00373655"/>
    <w:rsid w:val="0037380F"/>
    <w:rsid w:val="00373830"/>
    <w:rsid w:val="0037385D"/>
    <w:rsid w:val="0037408F"/>
    <w:rsid w:val="00374113"/>
    <w:rsid w:val="0037436F"/>
    <w:rsid w:val="00374FB5"/>
    <w:rsid w:val="003753C8"/>
    <w:rsid w:val="003757B3"/>
    <w:rsid w:val="00375D9A"/>
    <w:rsid w:val="00376999"/>
    <w:rsid w:val="00376CC8"/>
    <w:rsid w:val="00376E93"/>
    <w:rsid w:val="00376FA1"/>
    <w:rsid w:val="0037719F"/>
    <w:rsid w:val="003778F6"/>
    <w:rsid w:val="00377AAF"/>
    <w:rsid w:val="00377DE3"/>
    <w:rsid w:val="00380D64"/>
    <w:rsid w:val="00380FB3"/>
    <w:rsid w:val="00381005"/>
    <w:rsid w:val="00381386"/>
    <w:rsid w:val="00382D89"/>
    <w:rsid w:val="00382DDD"/>
    <w:rsid w:val="00383710"/>
    <w:rsid w:val="0038384B"/>
    <w:rsid w:val="00385011"/>
    <w:rsid w:val="003854E9"/>
    <w:rsid w:val="00385D83"/>
    <w:rsid w:val="00385DB9"/>
    <w:rsid w:val="00385E7E"/>
    <w:rsid w:val="00386389"/>
    <w:rsid w:val="00386CC4"/>
    <w:rsid w:val="003874F9"/>
    <w:rsid w:val="0038788D"/>
    <w:rsid w:val="00387A4D"/>
    <w:rsid w:val="00390332"/>
    <w:rsid w:val="003909BC"/>
    <w:rsid w:val="00391DCB"/>
    <w:rsid w:val="00391E09"/>
    <w:rsid w:val="00392033"/>
    <w:rsid w:val="00392270"/>
    <w:rsid w:val="00392409"/>
    <w:rsid w:val="00392624"/>
    <w:rsid w:val="0039263F"/>
    <w:rsid w:val="00392D1C"/>
    <w:rsid w:val="00393006"/>
    <w:rsid w:val="00393096"/>
    <w:rsid w:val="003930CC"/>
    <w:rsid w:val="00393C5C"/>
    <w:rsid w:val="0039442D"/>
    <w:rsid w:val="00394978"/>
    <w:rsid w:val="00394ACC"/>
    <w:rsid w:val="00394B5C"/>
    <w:rsid w:val="00394E04"/>
    <w:rsid w:val="003955F9"/>
    <w:rsid w:val="003956B6"/>
    <w:rsid w:val="00396AA4"/>
    <w:rsid w:val="00396F13"/>
    <w:rsid w:val="00396FCB"/>
    <w:rsid w:val="00397021"/>
    <w:rsid w:val="00397570"/>
    <w:rsid w:val="00397A5E"/>
    <w:rsid w:val="00397F7A"/>
    <w:rsid w:val="003A0480"/>
    <w:rsid w:val="003A0852"/>
    <w:rsid w:val="003A0C98"/>
    <w:rsid w:val="003A1553"/>
    <w:rsid w:val="003A297A"/>
    <w:rsid w:val="003A2A94"/>
    <w:rsid w:val="003A2E6C"/>
    <w:rsid w:val="003A318F"/>
    <w:rsid w:val="003A35F8"/>
    <w:rsid w:val="003A42AB"/>
    <w:rsid w:val="003A4C84"/>
    <w:rsid w:val="003A5E62"/>
    <w:rsid w:val="003A62C9"/>
    <w:rsid w:val="003A681B"/>
    <w:rsid w:val="003A6B74"/>
    <w:rsid w:val="003A711B"/>
    <w:rsid w:val="003A746F"/>
    <w:rsid w:val="003A75D5"/>
    <w:rsid w:val="003A7C66"/>
    <w:rsid w:val="003A7F11"/>
    <w:rsid w:val="003B08A7"/>
    <w:rsid w:val="003B1096"/>
    <w:rsid w:val="003B150C"/>
    <w:rsid w:val="003B2332"/>
    <w:rsid w:val="003B2549"/>
    <w:rsid w:val="003B2BF0"/>
    <w:rsid w:val="003B2CB6"/>
    <w:rsid w:val="003B30E9"/>
    <w:rsid w:val="003B467F"/>
    <w:rsid w:val="003B5961"/>
    <w:rsid w:val="003B5E38"/>
    <w:rsid w:val="003B5FD5"/>
    <w:rsid w:val="003B60B8"/>
    <w:rsid w:val="003B633A"/>
    <w:rsid w:val="003B6C06"/>
    <w:rsid w:val="003B6D9B"/>
    <w:rsid w:val="003B6EAF"/>
    <w:rsid w:val="003B6EED"/>
    <w:rsid w:val="003B7708"/>
    <w:rsid w:val="003B780C"/>
    <w:rsid w:val="003B7F58"/>
    <w:rsid w:val="003C00B5"/>
    <w:rsid w:val="003C032D"/>
    <w:rsid w:val="003C0841"/>
    <w:rsid w:val="003C0DDF"/>
    <w:rsid w:val="003C0F8F"/>
    <w:rsid w:val="003C1086"/>
    <w:rsid w:val="003C15F8"/>
    <w:rsid w:val="003C16FB"/>
    <w:rsid w:val="003C18A9"/>
    <w:rsid w:val="003C21E3"/>
    <w:rsid w:val="003C25B2"/>
    <w:rsid w:val="003C2617"/>
    <w:rsid w:val="003C271A"/>
    <w:rsid w:val="003C28E4"/>
    <w:rsid w:val="003C29B2"/>
    <w:rsid w:val="003C2C59"/>
    <w:rsid w:val="003C2D04"/>
    <w:rsid w:val="003C39F2"/>
    <w:rsid w:val="003C3CC9"/>
    <w:rsid w:val="003C3EF5"/>
    <w:rsid w:val="003C4345"/>
    <w:rsid w:val="003C43E6"/>
    <w:rsid w:val="003C4AF7"/>
    <w:rsid w:val="003C50F3"/>
    <w:rsid w:val="003C562B"/>
    <w:rsid w:val="003C5833"/>
    <w:rsid w:val="003C5F3D"/>
    <w:rsid w:val="003C6630"/>
    <w:rsid w:val="003C7474"/>
    <w:rsid w:val="003C781D"/>
    <w:rsid w:val="003C7BAF"/>
    <w:rsid w:val="003C7E66"/>
    <w:rsid w:val="003D049B"/>
    <w:rsid w:val="003D07EF"/>
    <w:rsid w:val="003D09DB"/>
    <w:rsid w:val="003D0EB1"/>
    <w:rsid w:val="003D11D9"/>
    <w:rsid w:val="003D1377"/>
    <w:rsid w:val="003D1777"/>
    <w:rsid w:val="003D19AD"/>
    <w:rsid w:val="003D1B8E"/>
    <w:rsid w:val="003D2553"/>
    <w:rsid w:val="003D2785"/>
    <w:rsid w:val="003D2D8F"/>
    <w:rsid w:val="003D3090"/>
    <w:rsid w:val="003D3155"/>
    <w:rsid w:val="003D3240"/>
    <w:rsid w:val="003D33CC"/>
    <w:rsid w:val="003D3AC6"/>
    <w:rsid w:val="003D3D04"/>
    <w:rsid w:val="003D445A"/>
    <w:rsid w:val="003D4558"/>
    <w:rsid w:val="003D4800"/>
    <w:rsid w:val="003D4A99"/>
    <w:rsid w:val="003D4E23"/>
    <w:rsid w:val="003D585A"/>
    <w:rsid w:val="003D589E"/>
    <w:rsid w:val="003D5B8B"/>
    <w:rsid w:val="003D5D49"/>
    <w:rsid w:val="003D5ED2"/>
    <w:rsid w:val="003D692F"/>
    <w:rsid w:val="003D6C0E"/>
    <w:rsid w:val="003D72C0"/>
    <w:rsid w:val="003D7410"/>
    <w:rsid w:val="003D76CF"/>
    <w:rsid w:val="003E06C6"/>
    <w:rsid w:val="003E078F"/>
    <w:rsid w:val="003E0B22"/>
    <w:rsid w:val="003E13FD"/>
    <w:rsid w:val="003E1667"/>
    <w:rsid w:val="003E1716"/>
    <w:rsid w:val="003E1D01"/>
    <w:rsid w:val="003E1F68"/>
    <w:rsid w:val="003E234F"/>
    <w:rsid w:val="003E2FBE"/>
    <w:rsid w:val="003E31BF"/>
    <w:rsid w:val="003E326D"/>
    <w:rsid w:val="003E34C3"/>
    <w:rsid w:val="003E3A99"/>
    <w:rsid w:val="003E3EAF"/>
    <w:rsid w:val="003E463B"/>
    <w:rsid w:val="003E4AF8"/>
    <w:rsid w:val="003E555C"/>
    <w:rsid w:val="003E56B7"/>
    <w:rsid w:val="003E5750"/>
    <w:rsid w:val="003E63EE"/>
    <w:rsid w:val="003E656B"/>
    <w:rsid w:val="003E6DA4"/>
    <w:rsid w:val="003E726B"/>
    <w:rsid w:val="003F0026"/>
    <w:rsid w:val="003F0273"/>
    <w:rsid w:val="003F07F0"/>
    <w:rsid w:val="003F09A2"/>
    <w:rsid w:val="003F0FED"/>
    <w:rsid w:val="003F1083"/>
    <w:rsid w:val="003F119A"/>
    <w:rsid w:val="003F1B0A"/>
    <w:rsid w:val="003F1CB0"/>
    <w:rsid w:val="003F2BB1"/>
    <w:rsid w:val="003F2D9F"/>
    <w:rsid w:val="003F2ED5"/>
    <w:rsid w:val="003F30AF"/>
    <w:rsid w:val="003F49A9"/>
    <w:rsid w:val="003F4A9E"/>
    <w:rsid w:val="003F550A"/>
    <w:rsid w:val="003F5CE3"/>
    <w:rsid w:val="003F5D29"/>
    <w:rsid w:val="003F6654"/>
    <w:rsid w:val="003F696B"/>
    <w:rsid w:val="003F75C0"/>
    <w:rsid w:val="00400D72"/>
    <w:rsid w:val="00400E92"/>
    <w:rsid w:val="00401046"/>
    <w:rsid w:val="004013D6"/>
    <w:rsid w:val="00401B49"/>
    <w:rsid w:val="00401CCC"/>
    <w:rsid w:val="004024FA"/>
    <w:rsid w:val="00402E1A"/>
    <w:rsid w:val="00403547"/>
    <w:rsid w:val="004039F7"/>
    <w:rsid w:val="00404298"/>
    <w:rsid w:val="0040439F"/>
    <w:rsid w:val="0040486F"/>
    <w:rsid w:val="004048E4"/>
    <w:rsid w:val="00404BF7"/>
    <w:rsid w:val="00405CF6"/>
    <w:rsid w:val="004061A8"/>
    <w:rsid w:val="0040758D"/>
    <w:rsid w:val="004077AD"/>
    <w:rsid w:val="00407B56"/>
    <w:rsid w:val="00410C6F"/>
    <w:rsid w:val="0041101F"/>
    <w:rsid w:val="0041106E"/>
    <w:rsid w:val="0041197C"/>
    <w:rsid w:val="00411BB6"/>
    <w:rsid w:val="00412150"/>
    <w:rsid w:val="00412EF8"/>
    <w:rsid w:val="00413000"/>
    <w:rsid w:val="0041330A"/>
    <w:rsid w:val="0041402E"/>
    <w:rsid w:val="0041493A"/>
    <w:rsid w:val="0041494D"/>
    <w:rsid w:val="00414C47"/>
    <w:rsid w:val="00414DE8"/>
    <w:rsid w:val="00414FC3"/>
    <w:rsid w:val="0041514D"/>
    <w:rsid w:val="004153C5"/>
    <w:rsid w:val="00415A23"/>
    <w:rsid w:val="00415C73"/>
    <w:rsid w:val="00415D41"/>
    <w:rsid w:val="004161AA"/>
    <w:rsid w:val="00416695"/>
    <w:rsid w:val="004168D2"/>
    <w:rsid w:val="00416DC6"/>
    <w:rsid w:val="00417828"/>
    <w:rsid w:val="004201B0"/>
    <w:rsid w:val="0042086F"/>
    <w:rsid w:val="004211F6"/>
    <w:rsid w:val="00421A32"/>
    <w:rsid w:val="00421C02"/>
    <w:rsid w:val="00421F1F"/>
    <w:rsid w:val="00422417"/>
    <w:rsid w:val="00422BD0"/>
    <w:rsid w:val="00422CC7"/>
    <w:rsid w:val="00423626"/>
    <w:rsid w:val="0042389C"/>
    <w:rsid w:val="00424468"/>
    <w:rsid w:val="004249C9"/>
    <w:rsid w:val="00424FB6"/>
    <w:rsid w:val="00425920"/>
    <w:rsid w:val="004271CB"/>
    <w:rsid w:val="004272EB"/>
    <w:rsid w:val="004278D8"/>
    <w:rsid w:val="00427960"/>
    <w:rsid w:val="00427966"/>
    <w:rsid w:val="00427AFF"/>
    <w:rsid w:val="00427BE6"/>
    <w:rsid w:val="00427E38"/>
    <w:rsid w:val="004304EB"/>
    <w:rsid w:val="004310E4"/>
    <w:rsid w:val="00431725"/>
    <w:rsid w:val="00431849"/>
    <w:rsid w:val="00432272"/>
    <w:rsid w:val="004325F6"/>
    <w:rsid w:val="004327F6"/>
    <w:rsid w:val="00432CF2"/>
    <w:rsid w:val="00432F4F"/>
    <w:rsid w:val="00433095"/>
    <w:rsid w:val="00433452"/>
    <w:rsid w:val="0043377B"/>
    <w:rsid w:val="00433978"/>
    <w:rsid w:val="00433BE3"/>
    <w:rsid w:val="00434397"/>
    <w:rsid w:val="004344D2"/>
    <w:rsid w:val="00434CA8"/>
    <w:rsid w:val="00435DA3"/>
    <w:rsid w:val="00436148"/>
    <w:rsid w:val="00436420"/>
    <w:rsid w:val="004366C4"/>
    <w:rsid w:val="00436C1B"/>
    <w:rsid w:val="00436DF4"/>
    <w:rsid w:val="0044037C"/>
    <w:rsid w:val="00440392"/>
    <w:rsid w:val="004411C9"/>
    <w:rsid w:val="004412B4"/>
    <w:rsid w:val="004412F8"/>
    <w:rsid w:val="00441A0B"/>
    <w:rsid w:val="00442391"/>
    <w:rsid w:val="00442657"/>
    <w:rsid w:val="00442A5E"/>
    <w:rsid w:val="00442F8F"/>
    <w:rsid w:val="00443061"/>
    <w:rsid w:val="0044320D"/>
    <w:rsid w:val="00443337"/>
    <w:rsid w:val="004434CB"/>
    <w:rsid w:val="004434E3"/>
    <w:rsid w:val="00443584"/>
    <w:rsid w:val="00443904"/>
    <w:rsid w:val="0044398D"/>
    <w:rsid w:val="00445DEB"/>
    <w:rsid w:val="004463AA"/>
    <w:rsid w:val="0044692B"/>
    <w:rsid w:val="00446968"/>
    <w:rsid w:val="00446ACF"/>
    <w:rsid w:val="0044727C"/>
    <w:rsid w:val="0044751D"/>
    <w:rsid w:val="00447B22"/>
    <w:rsid w:val="00447CC7"/>
    <w:rsid w:val="00450905"/>
    <w:rsid w:val="00450938"/>
    <w:rsid w:val="00450A2B"/>
    <w:rsid w:val="004514D5"/>
    <w:rsid w:val="00451C77"/>
    <w:rsid w:val="0045269F"/>
    <w:rsid w:val="00452738"/>
    <w:rsid w:val="004528E4"/>
    <w:rsid w:val="004529B9"/>
    <w:rsid w:val="00452E2C"/>
    <w:rsid w:val="004538CF"/>
    <w:rsid w:val="00453F15"/>
    <w:rsid w:val="004541B5"/>
    <w:rsid w:val="00454414"/>
    <w:rsid w:val="0045453D"/>
    <w:rsid w:val="00455B41"/>
    <w:rsid w:val="0045676F"/>
    <w:rsid w:val="0045719A"/>
    <w:rsid w:val="00457410"/>
    <w:rsid w:val="00460100"/>
    <w:rsid w:val="004614FA"/>
    <w:rsid w:val="00461E02"/>
    <w:rsid w:val="00463077"/>
    <w:rsid w:val="00463138"/>
    <w:rsid w:val="00463CF3"/>
    <w:rsid w:val="004640FB"/>
    <w:rsid w:val="004641E5"/>
    <w:rsid w:val="0046455A"/>
    <w:rsid w:val="00464819"/>
    <w:rsid w:val="00465A44"/>
    <w:rsid w:val="00465E3A"/>
    <w:rsid w:val="004660FC"/>
    <w:rsid w:val="00466420"/>
    <w:rsid w:val="00466DBB"/>
    <w:rsid w:val="00466F66"/>
    <w:rsid w:val="004672E7"/>
    <w:rsid w:val="00467552"/>
    <w:rsid w:val="0046756C"/>
    <w:rsid w:val="00467B79"/>
    <w:rsid w:val="00467C80"/>
    <w:rsid w:val="00467D6B"/>
    <w:rsid w:val="00470BAF"/>
    <w:rsid w:val="0047106A"/>
    <w:rsid w:val="00471582"/>
    <w:rsid w:val="00471E48"/>
    <w:rsid w:val="00471F30"/>
    <w:rsid w:val="00472592"/>
    <w:rsid w:val="00472A36"/>
    <w:rsid w:val="00472A76"/>
    <w:rsid w:val="004733A1"/>
    <w:rsid w:val="00473686"/>
    <w:rsid w:val="00473DEB"/>
    <w:rsid w:val="00474012"/>
    <w:rsid w:val="0047436D"/>
    <w:rsid w:val="00474546"/>
    <w:rsid w:val="004748B8"/>
    <w:rsid w:val="00474A7F"/>
    <w:rsid w:val="00474E3C"/>
    <w:rsid w:val="00475C36"/>
    <w:rsid w:val="00475F2B"/>
    <w:rsid w:val="0047665A"/>
    <w:rsid w:val="0047668C"/>
    <w:rsid w:val="00476E19"/>
    <w:rsid w:val="00477546"/>
    <w:rsid w:val="00477688"/>
    <w:rsid w:val="0048074F"/>
    <w:rsid w:val="004808A9"/>
    <w:rsid w:val="00481C3C"/>
    <w:rsid w:val="004820B9"/>
    <w:rsid w:val="00482121"/>
    <w:rsid w:val="0048338B"/>
    <w:rsid w:val="00484405"/>
    <w:rsid w:val="004845E6"/>
    <w:rsid w:val="00484813"/>
    <w:rsid w:val="004848F4"/>
    <w:rsid w:val="00484B88"/>
    <w:rsid w:val="00484FF2"/>
    <w:rsid w:val="00485305"/>
    <w:rsid w:val="00485CD3"/>
    <w:rsid w:val="00485D21"/>
    <w:rsid w:val="00486102"/>
    <w:rsid w:val="00486489"/>
    <w:rsid w:val="00487362"/>
    <w:rsid w:val="004874AE"/>
    <w:rsid w:val="0049196A"/>
    <w:rsid w:val="00491CFE"/>
    <w:rsid w:val="00492E10"/>
    <w:rsid w:val="004930CF"/>
    <w:rsid w:val="00493B58"/>
    <w:rsid w:val="004943B0"/>
    <w:rsid w:val="004949E9"/>
    <w:rsid w:val="00494E1F"/>
    <w:rsid w:val="0049513A"/>
    <w:rsid w:val="0049580C"/>
    <w:rsid w:val="00495D70"/>
    <w:rsid w:val="00495EB4"/>
    <w:rsid w:val="00495EB9"/>
    <w:rsid w:val="004960C8"/>
    <w:rsid w:val="0049612E"/>
    <w:rsid w:val="004961A3"/>
    <w:rsid w:val="0049693B"/>
    <w:rsid w:val="004971F9"/>
    <w:rsid w:val="00497AEF"/>
    <w:rsid w:val="00497CA2"/>
    <w:rsid w:val="00497F41"/>
    <w:rsid w:val="004A0DED"/>
    <w:rsid w:val="004A1F7E"/>
    <w:rsid w:val="004A31E2"/>
    <w:rsid w:val="004A3238"/>
    <w:rsid w:val="004A40FE"/>
    <w:rsid w:val="004A41D5"/>
    <w:rsid w:val="004A469C"/>
    <w:rsid w:val="004A49E8"/>
    <w:rsid w:val="004A5673"/>
    <w:rsid w:val="004A6188"/>
    <w:rsid w:val="004A634A"/>
    <w:rsid w:val="004A68AD"/>
    <w:rsid w:val="004A6920"/>
    <w:rsid w:val="004A6DF8"/>
    <w:rsid w:val="004A6EBC"/>
    <w:rsid w:val="004A7502"/>
    <w:rsid w:val="004A784B"/>
    <w:rsid w:val="004B06D2"/>
    <w:rsid w:val="004B09A8"/>
    <w:rsid w:val="004B0B6E"/>
    <w:rsid w:val="004B0D17"/>
    <w:rsid w:val="004B1556"/>
    <w:rsid w:val="004B1691"/>
    <w:rsid w:val="004B16F4"/>
    <w:rsid w:val="004B2076"/>
    <w:rsid w:val="004B2298"/>
    <w:rsid w:val="004B2572"/>
    <w:rsid w:val="004B2641"/>
    <w:rsid w:val="004B29C6"/>
    <w:rsid w:val="004B2B58"/>
    <w:rsid w:val="004B30EC"/>
    <w:rsid w:val="004B3103"/>
    <w:rsid w:val="004B3341"/>
    <w:rsid w:val="004B37AD"/>
    <w:rsid w:val="004B3D3F"/>
    <w:rsid w:val="004B4442"/>
    <w:rsid w:val="004B48FE"/>
    <w:rsid w:val="004B530D"/>
    <w:rsid w:val="004B5B71"/>
    <w:rsid w:val="004B5FF7"/>
    <w:rsid w:val="004B6030"/>
    <w:rsid w:val="004B6144"/>
    <w:rsid w:val="004B61A9"/>
    <w:rsid w:val="004B6A8C"/>
    <w:rsid w:val="004B7B30"/>
    <w:rsid w:val="004B7FD3"/>
    <w:rsid w:val="004C12CA"/>
    <w:rsid w:val="004C150F"/>
    <w:rsid w:val="004C1548"/>
    <w:rsid w:val="004C1739"/>
    <w:rsid w:val="004C1D50"/>
    <w:rsid w:val="004C202F"/>
    <w:rsid w:val="004C26F4"/>
    <w:rsid w:val="004C2EEE"/>
    <w:rsid w:val="004C3112"/>
    <w:rsid w:val="004C3D7C"/>
    <w:rsid w:val="004C3DE8"/>
    <w:rsid w:val="004C48E6"/>
    <w:rsid w:val="004C4D2D"/>
    <w:rsid w:val="004C5201"/>
    <w:rsid w:val="004C5E68"/>
    <w:rsid w:val="004C6257"/>
    <w:rsid w:val="004C656E"/>
    <w:rsid w:val="004C6D60"/>
    <w:rsid w:val="004C6ECE"/>
    <w:rsid w:val="004C74B0"/>
    <w:rsid w:val="004C767A"/>
    <w:rsid w:val="004C7A21"/>
    <w:rsid w:val="004C7C83"/>
    <w:rsid w:val="004D0170"/>
    <w:rsid w:val="004D08AD"/>
    <w:rsid w:val="004D1261"/>
    <w:rsid w:val="004D159B"/>
    <w:rsid w:val="004D1764"/>
    <w:rsid w:val="004D1980"/>
    <w:rsid w:val="004D1BFD"/>
    <w:rsid w:val="004D1E85"/>
    <w:rsid w:val="004D20B8"/>
    <w:rsid w:val="004D22C2"/>
    <w:rsid w:val="004D249F"/>
    <w:rsid w:val="004D25E9"/>
    <w:rsid w:val="004D2D18"/>
    <w:rsid w:val="004D3546"/>
    <w:rsid w:val="004D36EE"/>
    <w:rsid w:val="004D381C"/>
    <w:rsid w:val="004D427A"/>
    <w:rsid w:val="004D47CC"/>
    <w:rsid w:val="004D5044"/>
    <w:rsid w:val="004D5393"/>
    <w:rsid w:val="004D54EE"/>
    <w:rsid w:val="004D56AF"/>
    <w:rsid w:val="004D6173"/>
    <w:rsid w:val="004D645A"/>
    <w:rsid w:val="004D6AF5"/>
    <w:rsid w:val="004D6ED9"/>
    <w:rsid w:val="004D7343"/>
    <w:rsid w:val="004D7544"/>
    <w:rsid w:val="004D7723"/>
    <w:rsid w:val="004D7EB9"/>
    <w:rsid w:val="004E05CD"/>
    <w:rsid w:val="004E06DD"/>
    <w:rsid w:val="004E0906"/>
    <w:rsid w:val="004E0A26"/>
    <w:rsid w:val="004E1394"/>
    <w:rsid w:val="004E23A8"/>
    <w:rsid w:val="004E256D"/>
    <w:rsid w:val="004E2F2F"/>
    <w:rsid w:val="004E3945"/>
    <w:rsid w:val="004E3CEE"/>
    <w:rsid w:val="004E4081"/>
    <w:rsid w:val="004E426D"/>
    <w:rsid w:val="004E4845"/>
    <w:rsid w:val="004E4F99"/>
    <w:rsid w:val="004E5D5A"/>
    <w:rsid w:val="004E5E0A"/>
    <w:rsid w:val="004E5E63"/>
    <w:rsid w:val="004E5FFC"/>
    <w:rsid w:val="004E639E"/>
    <w:rsid w:val="004E6AF6"/>
    <w:rsid w:val="004E6B73"/>
    <w:rsid w:val="004E6C0D"/>
    <w:rsid w:val="004E7090"/>
    <w:rsid w:val="004E7387"/>
    <w:rsid w:val="004E7509"/>
    <w:rsid w:val="004F003D"/>
    <w:rsid w:val="004F02AB"/>
    <w:rsid w:val="004F0544"/>
    <w:rsid w:val="004F0855"/>
    <w:rsid w:val="004F148C"/>
    <w:rsid w:val="004F1B6D"/>
    <w:rsid w:val="004F1D81"/>
    <w:rsid w:val="004F229C"/>
    <w:rsid w:val="004F2712"/>
    <w:rsid w:val="004F393B"/>
    <w:rsid w:val="004F4362"/>
    <w:rsid w:val="004F4A5F"/>
    <w:rsid w:val="004F54EF"/>
    <w:rsid w:val="004F5914"/>
    <w:rsid w:val="004F638D"/>
    <w:rsid w:val="004F65CE"/>
    <w:rsid w:val="004F684D"/>
    <w:rsid w:val="004F6CC6"/>
    <w:rsid w:val="004F7028"/>
    <w:rsid w:val="004F7205"/>
    <w:rsid w:val="004F755C"/>
    <w:rsid w:val="004F782B"/>
    <w:rsid w:val="004F7A74"/>
    <w:rsid w:val="004F7B96"/>
    <w:rsid w:val="004F7F9B"/>
    <w:rsid w:val="00500872"/>
    <w:rsid w:val="00500B8F"/>
    <w:rsid w:val="00500D5D"/>
    <w:rsid w:val="0050165D"/>
    <w:rsid w:val="005024E1"/>
    <w:rsid w:val="00502CDD"/>
    <w:rsid w:val="00502D2A"/>
    <w:rsid w:val="00502DA3"/>
    <w:rsid w:val="005039CC"/>
    <w:rsid w:val="00504396"/>
    <w:rsid w:val="00504480"/>
    <w:rsid w:val="0050464B"/>
    <w:rsid w:val="00504FBA"/>
    <w:rsid w:val="00504FC1"/>
    <w:rsid w:val="00506D3A"/>
    <w:rsid w:val="0050716B"/>
    <w:rsid w:val="00507764"/>
    <w:rsid w:val="00507B1A"/>
    <w:rsid w:val="005102A9"/>
    <w:rsid w:val="005107F9"/>
    <w:rsid w:val="005112BC"/>
    <w:rsid w:val="00511464"/>
    <w:rsid w:val="00511491"/>
    <w:rsid w:val="005115F9"/>
    <w:rsid w:val="00512465"/>
    <w:rsid w:val="00512992"/>
    <w:rsid w:val="00512BBA"/>
    <w:rsid w:val="0051346F"/>
    <w:rsid w:val="005137F1"/>
    <w:rsid w:val="00513C6F"/>
    <w:rsid w:val="0051521F"/>
    <w:rsid w:val="00515247"/>
    <w:rsid w:val="00515FC3"/>
    <w:rsid w:val="0051614D"/>
    <w:rsid w:val="00516B84"/>
    <w:rsid w:val="00516F62"/>
    <w:rsid w:val="0051745D"/>
    <w:rsid w:val="005174B9"/>
    <w:rsid w:val="005200EF"/>
    <w:rsid w:val="00520172"/>
    <w:rsid w:val="005202C9"/>
    <w:rsid w:val="005203B0"/>
    <w:rsid w:val="005204BD"/>
    <w:rsid w:val="00520546"/>
    <w:rsid w:val="0052122F"/>
    <w:rsid w:val="0052166E"/>
    <w:rsid w:val="00521693"/>
    <w:rsid w:val="0052201B"/>
    <w:rsid w:val="005222DC"/>
    <w:rsid w:val="00522B69"/>
    <w:rsid w:val="00522DFE"/>
    <w:rsid w:val="00522E86"/>
    <w:rsid w:val="0052305E"/>
    <w:rsid w:val="00524008"/>
    <w:rsid w:val="00524166"/>
    <w:rsid w:val="005241C2"/>
    <w:rsid w:val="00524612"/>
    <w:rsid w:val="00524BD1"/>
    <w:rsid w:val="005258E3"/>
    <w:rsid w:val="00525968"/>
    <w:rsid w:val="00525EEB"/>
    <w:rsid w:val="005260CB"/>
    <w:rsid w:val="00526814"/>
    <w:rsid w:val="00527555"/>
    <w:rsid w:val="005275BC"/>
    <w:rsid w:val="00527708"/>
    <w:rsid w:val="00527D42"/>
    <w:rsid w:val="00527EE8"/>
    <w:rsid w:val="0053006D"/>
    <w:rsid w:val="0053026F"/>
    <w:rsid w:val="0053033D"/>
    <w:rsid w:val="00530446"/>
    <w:rsid w:val="00530F73"/>
    <w:rsid w:val="005313E8"/>
    <w:rsid w:val="0053156D"/>
    <w:rsid w:val="00531653"/>
    <w:rsid w:val="00531676"/>
    <w:rsid w:val="00531DF2"/>
    <w:rsid w:val="0053280D"/>
    <w:rsid w:val="00533161"/>
    <w:rsid w:val="00533306"/>
    <w:rsid w:val="0053379E"/>
    <w:rsid w:val="00533EB8"/>
    <w:rsid w:val="00534200"/>
    <w:rsid w:val="005346FF"/>
    <w:rsid w:val="00534C1C"/>
    <w:rsid w:val="00534FD7"/>
    <w:rsid w:val="00535313"/>
    <w:rsid w:val="00535BDA"/>
    <w:rsid w:val="00535DD6"/>
    <w:rsid w:val="00536606"/>
    <w:rsid w:val="0053750C"/>
    <w:rsid w:val="005376C3"/>
    <w:rsid w:val="00537B54"/>
    <w:rsid w:val="00537DC4"/>
    <w:rsid w:val="00540131"/>
    <w:rsid w:val="00540583"/>
    <w:rsid w:val="005407F8"/>
    <w:rsid w:val="00540A86"/>
    <w:rsid w:val="005415D0"/>
    <w:rsid w:val="005415F8"/>
    <w:rsid w:val="0054182D"/>
    <w:rsid w:val="00541ED0"/>
    <w:rsid w:val="00542C90"/>
    <w:rsid w:val="00542FD5"/>
    <w:rsid w:val="005432F3"/>
    <w:rsid w:val="00543609"/>
    <w:rsid w:val="00543DEB"/>
    <w:rsid w:val="00543F33"/>
    <w:rsid w:val="005448DD"/>
    <w:rsid w:val="00544B9B"/>
    <w:rsid w:val="00545227"/>
    <w:rsid w:val="00545D48"/>
    <w:rsid w:val="005460B2"/>
    <w:rsid w:val="00546694"/>
    <w:rsid w:val="00546CE8"/>
    <w:rsid w:val="005470AA"/>
    <w:rsid w:val="005471C0"/>
    <w:rsid w:val="00547730"/>
    <w:rsid w:val="00547B4D"/>
    <w:rsid w:val="0055046B"/>
    <w:rsid w:val="00550637"/>
    <w:rsid w:val="00550C95"/>
    <w:rsid w:val="00550DA2"/>
    <w:rsid w:val="00551325"/>
    <w:rsid w:val="005522A7"/>
    <w:rsid w:val="00552BA8"/>
    <w:rsid w:val="00552E02"/>
    <w:rsid w:val="00552F9A"/>
    <w:rsid w:val="00553286"/>
    <w:rsid w:val="005536C6"/>
    <w:rsid w:val="00553AF4"/>
    <w:rsid w:val="00553E20"/>
    <w:rsid w:val="00553EA1"/>
    <w:rsid w:val="00554406"/>
    <w:rsid w:val="00554762"/>
    <w:rsid w:val="00554E34"/>
    <w:rsid w:val="0055558B"/>
    <w:rsid w:val="00555711"/>
    <w:rsid w:val="00555876"/>
    <w:rsid w:val="00556580"/>
    <w:rsid w:val="00556736"/>
    <w:rsid w:val="00556790"/>
    <w:rsid w:val="00556A68"/>
    <w:rsid w:val="00557D5C"/>
    <w:rsid w:val="00557E69"/>
    <w:rsid w:val="00557F7C"/>
    <w:rsid w:val="005600BF"/>
    <w:rsid w:val="0056021B"/>
    <w:rsid w:val="00560466"/>
    <w:rsid w:val="0056121E"/>
    <w:rsid w:val="005614F3"/>
    <w:rsid w:val="00562AF3"/>
    <w:rsid w:val="00563233"/>
    <w:rsid w:val="0056327E"/>
    <w:rsid w:val="00563329"/>
    <w:rsid w:val="005635E9"/>
    <w:rsid w:val="005644E5"/>
    <w:rsid w:val="00564B5F"/>
    <w:rsid w:val="00564CCF"/>
    <w:rsid w:val="005655AB"/>
    <w:rsid w:val="00565E27"/>
    <w:rsid w:val="00566B49"/>
    <w:rsid w:val="0056707F"/>
    <w:rsid w:val="00567717"/>
    <w:rsid w:val="00567897"/>
    <w:rsid w:val="005678C0"/>
    <w:rsid w:val="00567FE8"/>
    <w:rsid w:val="00570652"/>
    <w:rsid w:val="00570AAB"/>
    <w:rsid w:val="00570D4E"/>
    <w:rsid w:val="005710EE"/>
    <w:rsid w:val="005713DD"/>
    <w:rsid w:val="005714EA"/>
    <w:rsid w:val="005728BD"/>
    <w:rsid w:val="00572A90"/>
    <w:rsid w:val="00572F30"/>
    <w:rsid w:val="00572FA4"/>
    <w:rsid w:val="00573B49"/>
    <w:rsid w:val="00573BD8"/>
    <w:rsid w:val="0057437D"/>
    <w:rsid w:val="005745F6"/>
    <w:rsid w:val="00574770"/>
    <w:rsid w:val="005747B2"/>
    <w:rsid w:val="00574F16"/>
    <w:rsid w:val="0057551E"/>
    <w:rsid w:val="00575D48"/>
    <w:rsid w:val="005761D6"/>
    <w:rsid w:val="005762B1"/>
    <w:rsid w:val="005764BF"/>
    <w:rsid w:val="0057667F"/>
    <w:rsid w:val="005800CE"/>
    <w:rsid w:val="00580232"/>
    <w:rsid w:val="005802AE"/>
    <w:rsid w:val="00581025"/>
    <w:rsid w:val="00581464"/>
    <w:rsid w:val="0058162D"/>
    <w:rsid w:val="005816C0"/>
    <w:rsid w:val="005819CC"/>
    <w:rsid w:val="00581A4E"/>
    <w:rsid w:val="00581B82"/>
    <w:rsid w:val="00581F61"/>
    <w:rsid w:val="005823BF"/>
    <w:rsid w:val="00582897"/>
    <w:rsid w:val="005828B8"/>
    <w:rsid w:val="00582930"/>
    <w:rsid w:val="00582F41"/>
    <w:rsid w:val="0058309A"/>
    <w:rsid w:val="00583126"/>
    <w:rsid w:val="0058369B"/>
    <w:rsid w:val="00583B36"/>
    <w:rsid w:val="00584463"/>
    <w:rsid w:val="00584627"/>
    <w:rsid w:val="00584DF5"/>
    <w:rsid w:val="005858D8"/>
    <w:rsid w:val="00585D90"/>
    <w:rsid w:val="00585E0E"/>
    <w:rsid w:val="00586002"/>
    <w:rsid w:val="005867B0"/>
    <w:rsid w:val="00586E87"/>
    <w:rsid w:val="00587897"/>
    <w:rsid w:val="005878CA"/>
    <w:rsid w:val="005879E5"/>
    <w:rsid w:val="00587D41"/>
    <w:rsid w:val="00590064"/>
    <w:rsid w:val="00590127"/>
    <w:rsid w:val="00590344"/>
    <w:rsid w:val="00590840"/>
    <w:rsid w:val="005908A6"/>
    <w:rsid w:val="00590C41"/>
    <w:rsid w:val="0059168C"/>
    <w:rsid w:val="00591CDA"/>
    <w:rsid w:val="00592782"/>
    <w:rsid w:val="00592BE8"/>
    <w:rsid w:val="005934FB"/>
    <w:rsid w:val="00593581"/>
    <w:rsid w:val="00593858"/>
    <w:rsid w:val="005943FC"/>
    <w:rsid w:val="00594DEA"/>
    <w:rsid w:val="005955E9"/>
    <w:rsid w:val="00595B92"/>
    <w:rsid w:val="00596B76"/>
    <w:rsid w:val="0059797B"/>
    <w:rsid w:val="005A0142"/>
    <w:rsid w:val="005A073E"/>
    <w:rsid w:val="005A0886"/>
    <w:rsid w:val="005A0956"/>
    <w:rsid w:val="005A0D2A"/>
    <w:rsid w:val="005A0E84"/>
    <w:rsid w:val="005A1ECD"/>
    <w:rsid w:val="005A1FBA"/>
    <w:rsid w:val="005A2266"/>
    <w:rsid w:val="005A25E9"/>
    <w:rsid w:val="005A29C1"/>
    <w:rsid w:val="005A2E29"/>
    <w:rsid w:val="005A393A"/>
    <w:rsid w:val="005A3995"/>
    <w:rsid w:val="005A3BB9"/>
    <w:rsid w:val="005A4240"/>
    <w:rsid w:val="005A4FE0"/>
    <w:rsid w:val="005A6529"/>
    <w:rsid w:val="005A65E8"/>
    <w:rsid w:val="005A694C"/>
    <w:rsid w:val="005A728A"/>
    <w:rsid w:val="005A7591"/>
    <w:rsid w:val="005B01C1"/>
    <w:rsid w:val="005B13D0"/>
    <w:rsid w:val="005B15ED"/>
    <w:rsid w:val="005B186F"/>
    <w:rsid w:val="005B1B5B"/>
    <w:rsid w:val="005B1CE1"/>
    <w:rsid w:val="005B2716"/>
    <w:rsid w:val="005B2F77"/>
    <w:rsid w:val="005B40FA"/>
    <w:rsid w:val="005B41AE"/>
    <w:rsid w:val="005B44DB"/>
    <w:rsid w:val="005B47A4"/>
    <w:rsid w:val="005B4EB5"/>
    <w:rsid w:val="005B4EE6"/>
    <w:rsid w:val="005B5340"/>
    <w:rsid w:val="005B65CC"/>
    <w:rsid w:val="005B69FF"/>
    <w:rsid w:val="005B6A16"/>
    <w:rsid w:val="005B6AF8"/>
    <w:rsid w:val="005B6C28"/>
    <w:rsid w:val="005B73C1"/>
    <w:rsid w:val="005C0177"/>
    <w:rsid w:val="005C0200"/>
    <w:rsid w:val="005C02F3"/>
    <w:rsid w:val="005C0AE0"/>
    <w:rsid w:val="005C0CB1"/>
    <w:rsid w:val="005C0D72"/>
    <w:rsid w:val="005C15EE"/>
    <w:rsid w:val="005C1968"/>
    <w:rsid w:val="005C22B0"/>
    <w:rsid w:val="005C24DF"/>
    <w:rsid w:val="005C26DD"/>
    <w:rsid w:val="005C2767"/>
    <w:rsid w:val="005C281B"/>
    <w:rsid w:val="005C2913"/>
    <w:rsid w:val="005C293C"/>
    <w:rsid w:val="005C2E59"/>
    <w:rsid w:val="005C31FD"/>
    <w:rsid w:val="005C3212"/>
    <w:rsid w:val="005C37ED"/>
    <w:rsid w:val="005C416B"/>
    <w:rsid w:val="005C51CD"/>
    <w:rsid w:val="005C5556"/>
    <w:rsid w:val="005C557B"/>
    <w:rsid w:val="005C55F4"/>
    <w:rsid w:val="005C5A1F"/>
    <w:rsid w:val="005C5A48"/>
    <w:rsid w:val="005C5BB9"/>
    <w:rsid w:val="005C5F03"/>
    <w:rsid w:val="005C5FAC"/>
    <w:rsid w:val="005C637D"/>
    <w:rsid w:val="005C63B7"/>
    <w:rsid w:val="005C6898"/>
    <w:rsid w:val="005C6C27"/>
    <w:rsid w:val="005C73E0"/>
    <w:rsid w:val="005C77E4"/>
    <w:rsid w:val="005C7B50"/>
    <w:rsid w:val="005C7C48"/>
    <w:rsid w:val="005D0E4B"/>
    <w:rsid w:val="005D1911"/>
    <w:rsid w:val="005D1A99"/>
    <w:rsid w:val="005D1EF9"/>
    <w:rsid w:val="005D24F1"/>
    <w:rsid w:val="005D334C"/>
    <w:rsid w:val="005D36EB"/>
    <w:rsid w:val="005D3AB6"/>
    <w:rsid w:val="005D4B18"/>
    <w:rsid w:val="005D5436"/>
    <w:rsid w:val="005D57A4"/>
    <w:rsid w:val="005D582C"/>
    <w:rsid w:val="005D5A56"/>
    <w:rsid w:val="005D6884"/>
    <w:rsid w:val="005D6A7D"/>
    <w:rsid w:val="005D6B50"/>
    <w:rsid w:val="005D6B83"/>
    <w:rsid w:val="005D7400"/>
    <w:rsid w:val="005D77C4"/>
    <w:rsid w:val="005D7B8C"/>
    <w:rsid w:val="005E097B"/>
    <w:rsid w:val="005E12FA"/>
    <w:rsid w:val="005E14C2"/>
    <w:rsid w:val="005E18B8"/>
    <w:rsid w:val="005E2380"/>
    <w:rsid w:val="005E25F9"/>
    <w:rsid w:val="005E3D8B"/>
    <w:rsid w:val="005E41E1"/>
    <w:rsid w:val="005E444F"/>
    <w:rsid w:val="005E4456"/>
    <w:rsid w:val="005E479D"/>
    <w:rsid w:val="005E48B1"/>
    <w:rsid w:val="005E4920"/>
    <w:rsid w:val="005E4C93"/>
    <w:rsid w:val="005E4D85"/>
    <w:rsid w:val="005E5562"/>
    <w:rsid w:val="005E5598"/>
    <w:rsid w:val="005E583C"/>
    <w:rsid w:val="005E5986"/>
    <w:rsid w:val="005E5E96"/>
    <w:rsid w:val="005E601F"/>
    <w:rsid w:val="005E64C6"/>
    <w:rsid w:val="005E69EF"/>
    <w:rsid w:val="005E6A1F"/>
    <w:rsid w:val="005E7BDF"/>
    <w:rsid w:val="005E7FB8"/>
    <w:rsid w:val="005F10A8"/>
    <w:rsid w:val="005F17AA"/>
    <w:rsid w:val="005F185B"/>
    <w:rsid w:val="005F1CA8"/>
    <w:rsid w:val="005F2538"/>
    <w:rsid w:val="005F28A8"/>
    <w:rsid w:val="005F2B33"/>
    <w:rsid w:val="005F2CF3"/>
    <w:rsid w:val="005F3115"/>
    <w:rsid w:val="005F35C0"/>
    <w:rsid w:val="005F3C23"/>
    <w:rsid w:val="005F3EB4"/>
    <w:rsid w:val="005F42C4"/>
    <w:rsid w:val="005F43E8"/>
    <w:rsid w:val="005F4ADF"/>
    <w:rsid w:val="005F4B54"/>
    <w:rsid w:val="005F57E2"/>
    <w:rsid w:val="005F5DDC"/>
    <w:rsid w:val="005F5FB3"/>
    <w:rsid w:val="005F6A47"/>
    <w:rsid w:val="005F72A1"/>
    <w:rsid w:val="00600027"/>
    <w:rsid w:val="006006E0"/>
    <w:rsid w:val="00600742"/>
    <w:rsid w:val="00600B5F"/>
    <w:rsid w:val="00600C0F"/>
    <w:rsid w:val="00600C82"/>
    <w:rsid w:val="00600FF6"/>
    <w:rsid w:val="00601DA0"/>
    <w:rsid w:val="00601F48"/>
    <w:rsid w:val="00601F93"/>
    <w:rsid w:val="006025C6"/>
    <w:rsid w:val="00602D89"/>
    <w:rsid w:val="00603036"/>
    <w:rsid w:val="00603224"/>
    <w:rsid w:val="00603297"/>
    <w:rsid w:val="006035B5"/>
    <w:rsid w:val="006036D7"/>
    <w:rsid w:val="00603A5E"/>
    <w:rsid w:val="00603FFD"/>
    <w:rsid w:val="00605819"/>
    <w:rsid w:val="00605880"/>
    <w:rsid w:val="0060670A"/>
    <w:rsid w:val="00606FAE"/>
    <w:rsid w:val="00607070"/>
    <w:rsid w:val="00607352"/>
    <w:rsid w:val="00607C56"/>
    <w:rsid w:val="00607EF4"/>
    <w:rsid w:val="00610326"/>
    <w:rsid w:val="0061053E"/>
    <w:rsid w:val="00610800"/>
    <w:rsid w:val="00610FCA"/>
    <w:rsid w:val="0061107B"/>
    <w:rsid w:val="0061174B"/>
    <w:rsid w:val="006119F3"/>
    <w:rsid w:val="00611A32"/>
    <w:rsid w:val="00611A57"/>
    <w:rsid w:val="00611FA9"/>
    <w:rsid w:val="00612799"/>
    <w:rsid w:val="00613ED7"/>
    <w:rsid w:val="006147FC"/>
    <w:rsid w:val="00614C03"/>
    <w:rsid w:val="006158B4"/>
    <w:rsid w:val="006159C5"/>
    <w:rsid w:val="00615EA9"/>
    <w:rsid w:val="00616A9B"/>
    <w:rsid w:val="006173A8"/>
    <w:rsid w:val="006208F6"/>
    <w:rsid w:val="00620967"/>
    <w:rsid w:val="00621165"/>
    <w:rsid w:val="00621654"/>
    <w:rsid w:val="00621B60"/>
    <w:rsid w:val="00621C5D"/>
    <w:rsid w:val="00621C8C"/>
    <w:rsid w:val="00622020"/>
    <w:rsid w:val="00622032"/>
    <w:rsid w:val="0062214B"/>
    <w:rsid w:val="0062304D"/>
    <w:rsid w:val="006232C4"/>
    <w:rsid w:val="0062394E"/>
    <w:rsid w:val="006240B5"/>
    <w:rsid w:val="00624190"/>
    <w:rsid w:val="0062494F"/>
    <w:rsid w:val="00624A21"/>
    <w:rsid w:val="006255B5"/>
    <w:rsid w:val="006258A1"/>
    <w:rsid w:val="00625D40"/>
    <w:rsid w:val="00625EBC"/>
    <w:rsid w:val="00625F73"/>
    <w:rsid w:val="00626020"/>
    <w:rsid w:val="006262C0"/>
    <w:rsid w:val="006271B0"/>
    <w:rsid w:val="006273B7"/>
    <w:rsid w:val="0063107B"/>
    <w:rsid w:val="00631497"/>
    <w:rsid w:val="006317D8"/>
    <w:rsid w:val="0063241A"/>
    <w:rsid w:val="00632AA1"/>
    <w:rsid w:val="00632FE1"/>
    <w:rsid w:val="006334BC"/>
    <w:rsid w:val="00633ADE"/>
    <w:rsid w:val="00634503"/>
    <w:rsid w:val="00634BBC"/>
    <w:rsid w:val="00635A4B"/>
    <w:rsid w:val="00635A7C"/>
    <w:rsid w:val="00635BB8"/>
    <w:rsid w:val="00635CEC"/>
    <w:rsid w:val="00635DD4"/>
    <w:rsid w:val="0063673C"/>
    <w:rsid w:val="00636A0F"/>
    <w:rsid w:val="00636A18"/>
    <w:rsid w:val="0063704F"/>
    <w:rsid w:val="0064018D"/>
    <w:rsid w:val="006410D5"/>
    <w:rsid w:val="00641625"/>
    <w:rsid w:val="0064179D"/>
    <w:rsid w:val="006419A3"/>
    <w:rsid w:val="006420B2"/>
    <w:rsid w:val="0064354C"/>
    <w:rsid w:val="00643F28"/>
    <w:rsid w:val="00644469"/>
    <w:rsid w:val="00644F4A"/>
    <w:rsid w:val="00644FFE"/>
    <w:rsid w:val="00645042"/>
    <w:rsid w:val="006458BF"/>
    <w:rsid w:val="006459E2"/>
    <w:rsid w:val="00646B31"/>
    <w:rsid w:val="00646BF7"/>
    <w:rsid w:val="00646DE4"/>
    <w:rsid w:val="0064702A"/>
    <w:rsid w:val="00647712"/>
    <w:rsid w:val="00650BFF"/>
    <w:rsid w:val="00651087"/>
    <w:rsid w:val="006514AB"/>
    <w:rsid w:val="00652C62"/>
    <w:rsid w:val="00652E91"/>
    <w:rsid w:val="006531CC"/>
    <w:rsid w:val="00653420"/>
    <w:rsid w:val="006543A5"/>
    <w:rsid w:val="00654768"/>
    <w:rsid w:val="00654CF5"/>
    <w:rsid w:val="00654F7B"/>
    <w:rsid w:val="00655105"/>
    <w:rsid w:val="00655195"/>
    <w:rsid w:val="006553B3"/>
    <w:rsid w:val="006556A2"/>
    <w:rsid w:val="006558F9"/>
    <w:rsid w:val="00655F35"/>
    <w:rsid w:val="00656002"/>
    <w:rsid w:val="00656190"/>
    <w:rsid w:val="006562B1"/>
    <w:rsid w:val="006570B7"/>
    <w:rsid w:val="00657110"/>
    <w:rsid w:val="00657112"/>
    <w:rsid w:val="00657840"/>
    <w:rsid w:val="0065784B"/>
    <w:rsid w:val="00657B67"/>
    <w:rsid w:val="0066013E"/>
    <w:rsid w:val="00660644"/>
    <w:rsid w:val="00660F64"/>
    <w:rsid w:val="0066109B"/>
    <w:rsid w:val="006612AB"/>
    <w:rsid w:val="00661AD5"/>
    <w:rsid w:val="00661CDC"/>
    <w:rsid w:val="0066220D"/>
    <w:rsid w:val="00662238"/>
    <w:rsid w:val="006626A1"/>
    <w:rsid w:val="00662D43"/>
    <w:rsid w:val="006630D0"/>
    <w:rsid w:val="00663184"/>
    <w:rsid w:val="0066381A"/>
    <w:rsid w:val="00663A42"/>
    <w:rsid w:val="00663C79"/>
    <w:rsid w:val="00663D67"/>
    <w:rsid w:val="00663E82"/>
    <w:rsid w:val="00663FFF"/>
    <w:rsid w:val="00664330"/>
    <w:rsid w:val="006645F5"/>
    <w:rsid w:val="0066488C"/>
    <w:rsid w:val="00664970"/>
    <w:rsid w:val="00665057"/>
    <w:rsid w:val="0066561B"/>
    <w:rsid w:val="00666540"/>
    <w:rsid w:val="00666778"/>
    <w:rsid w:val="006673A6"/>
    <w:rsid w:val="0066759B"/>
    <w:rsid w:val="006678B6"/>
    <w:rsid w:val="00667A57"/>
    <w:rsid w:val="00667D2B"/>
    <w:rsid w:val="006704B1"/>
    <w:rsid w:val="0067117E"/>
    <w:rsid w:val="00671428"/>
    <w:rsid w:val="00671754"/>
    <w:rsid w:val="00671B05"/>
    <w:rsid w:val="00672126"/>
    <w:rsid w:val="00672767"/>
    <w:rsid w:val="006728CD"/>
    <w:rsid w:val="00672982"/>
    <w:rsid w:val="00672DA4"/>
    <w:rsid w:val="0067368B"/>
    <w:rsid w:val="00673BF4"/>
    <w:rsid w:val="00673F9D"/>
    <w:rsid w:val="006746F2"/>
    <w:rsid w:val="0067471A"/>
    <w:rsid w:val="0067505C"/>
    <w:rsid w:val="00675301"/>
    <w:rsid w:val="006753DF"/>
    <w:rsid w:val="00675910"/>
    <w:rsid w:val="00676034"/>
    <w:rsid w:val="00677323"/>
    <w:rsid w:val="00677ABC"/>
    <w:rsid w:val="006800CC"/>
    <w:rsid w:val="0068044E"/>
    <w:rsid w:val="00680877"/>
    <w:rsid w:val="00680CB4"/>
    <w:rsid w:val="00681228"/>
    <w:rsid w:val="006813CF"/>
    <w:rsid w:val="006818DB"/>
    <w:rsid w:val="00681D83"/>
    <w:rsid w:val="006826CF"/>
    <w:rsid w:val="006830F9"/>
    <w:rsid w:val="0068483F"/>
    <w:rsid w:val="00684AF4"/>
    <w:rsid w:val="00685567"/>
    <w:rsid w:val="00685633"/>
    <w:rsid w:val="00685A3C"/>
    <w:rsid w:val="00686378"/>
    <w:rsid w:val="00687457"/>
    <w:rsid w:val="00690629"/>
    <w:rsid w:val="00690C28"/>
    <w:rsid w:val="0069115F"/>
    <w:rsid w:val="00691679"/>
    <w:rsid w:val="0069176B"/>
    <w:rsid w:val="00691AC3"/>
    <w:rsid w:val="00691D8C"/>
    <w:rsid w:val="00692216"/>
    <w:rsid w:val="00692B95"/>
    <w:rsid w:val="00693274"/>
    <w:rsid w:val="00693287"/>
    <w:rsid w:val="00693FAE"/>
    <w:rsid w:val="00694410"/>
    <w:rsid w:val="00694728"/>
    <w:rsid w:val="00695149"/>
    <w:rsid w:val="00695791"/>
    <w:rsid w:val="00695E01"/>
    <w:rsid w:val="00695E1F"/>
    <w:rsid w:val="00695FD7"/>
    <w:rsid w:val="00696993"/>
    <w:rsid w:val="00696AD8"/>
    <w:rsid w:val="00696FDF"/>
    <w:rsid w:val="006974D6"/>
    <w:rsid w:val="0069760D"/>
    <w:rsid w:val="006A03F6"/>
    <w:rsid w:val="006A087D"/>
    <w:rsid w:val="006A0C7C"/>
    <w:rsid w:val="006A0ECB"/>
    <w:rsid w:val="006A1EC3"/>
    <w:rsid w:val="006A20B2"/>
    <w:rsid w:val="006A32B1"/>
    <w:rsid w:val="006A339F"/>
    <w:rsid w:val="006A3B2D"/>
    <w:rsid w:val="006A3C13"/>
    <w:rsid w:val="006A3C57"/>
    <w:rsid w:val="006A3F90"/>
    <w:rsid w:val="006A470A"/>
    <w:rsid w:val="006A4839"/>
    <w:rsid w:val="006A4AA6"/>
    <w:rsid w:val="006A4D34"/>
    <w:rsid w:val="006A603A"/>
    <w:rsid w:val="006A6B88"/>
    <w:rsid w:val="006A6BC5"/>
    <w:rsid w:val="006A715A"/>
    <w:rsid w:val="006A7416"/>
    <w:rsid w:val="006A7474"/>
    <w:rsid w:val="006A74B5"/>
    <w:rsid w:val="006A7C91"/>
    <w:rsid w:val="006A7D08"/>
    <w:rsid w:val="006B0238"/>
    <w:rsid w:val="006B0FD7"/>
    <w:rsid w:val="006B1252"/>
    <w:rsid w:val="006B15D6"/>
    <w:rsid w:val="006B17DA"/>
    <w:rsid w:val="006B1B37"/>
    <w:rsid w:val="006B22B2"/>
    <w:rsid w:val="006B2C20"/>
    <w:rsid w:val="006B30B0"/>
    <w:rsid w:val="006B35B1"/>
    <w:rsid w:val="006B365B"/>
    <w:rsid w:val="006B3B65"/>
    <w:rsid w:val="006B414C"/>
    <w:rsid w:val="006B45B0"/>
    <w:rsid w:val="006B4709"/>
    <w:rsid w:val="006B4990"/>
    <w:rsid w:val="006B4B73"/>
    <w:rsid w:val="006B4B8C"/>
    <w:rsid w:val="006B60C4"/>
    <w:rsid w:val="006B622C"/>
    <w:rsid w:val="006B7260"/>
    <w:rsid w:val="006B793C"/>
    <w:rsid w:val="006B7E8E"/>
    <w:rsid w:val="006C0581"/>
    <w:rsid w:val="006C0886"/>
    <w:rsid w:val="006C09AA"/>
    <w:rsid w:val="006C12A7"/>
    <w:rsid w:val="006C160F"/>
    <w:rsid w:val="006C1C66"/>
    <w:rsid w:val="006C2FB2"/>
    <w:rsid w:val="006C3554"/>
    <w:rsid w:val="006C38E1"/>
    <w:rsid w:val="006C3970"/>
    <w:rsid w:val="006C3F59"/>
    <w:rsid w:val="006C40BB"/>
    <w:rsid w:val="006C465D"/>
    <w:rsid w:val="006C50E6"/>
    <w:rsid w:val="006C5810"/>
    <w:rsid w:val="006C5979"/>
    <w:rsid w:val="006C5A65"/>
    <w:rsid w:val="006C71F2"/>
    <w:rsid w:val="006C78F7"/>
    <w:rsid w:val="006C7AFC"/>
    <w:rsid w:val="006C7C81"/>
    <w:rsid w:val="006C7D47"/>
    <w:rsid w:val="006D0210"/>
    <w:rsid w:val="006D0416"/>
    <w:rsid w:val="006D0A15"/>
    <w:rsid w:val="006D103C"/>
    <w:rsid w:val="006D1992"/>
    <w:rsid w:val="006D1A41"/>
    <w:rsid w:val="006D1B31"/>
    <w:rsid w:val="006D1F86"/>
    <w:rsid w:val="006D22EC"/>
    <w:rsid w:val="006D22F3"/>
    <w:rsid w:val="006D2CAE"/>
    <w:rsid w:val="006D3177"/>
    <w:rsid w:val="006D32B7"/>
    <w:rsid w:val="006D36E8"/>
    <w:rsid w:val="006D375F"/>
    <w:rsid w:val="006D3D19"/>
    <w:rsid w:val="006D5021"/>
    <w:rsid w:val="006D6584"/>
    <w:rsid w:val="006D6D76"/>
    <w:rsid w:val="006D6DA9"/>
    <w:rsid w:val="006D6F87"/>
    <w:rsid w:val="006D7AF8"/>
    <w:rsid w:val="006D7CCD"/>
    <w:rsid w:val="006E0B12"/>
    <w:rsid w:val="006E10B7"/>
    <w:rsid w:val="006E11A5"/>
    <w:rsid w:val="006E17B5"/>
    <w:rsid w:val="006E1D02"/>
    <w:rsid w:val="006E1D83"/>
    <w:rsid w:val="006E1F10"/>
    <w:rsid w:val="006E22AF"/>
    <w:rsid w:val="006E2667"/>
    <w:rsid w:val="006E2749"/>
    <w:rsid w:val="006E2E5F"/>
    <w:rsid w:val="006E40D3"/>
    <w:rsid w:val="006E42A4"/>
    <w:rsid w:val="006E46C1"/>
    <w:rsid w:val="006E4B07"/>
    <w:rsid w:val="006E4F45"/>
    <w:rsid w:val="006E551F"/>
    <w:rsid w:val="006E57DB"/>
    <w:rsid w:val="006E5838"/>
    <w:rsid w:val="006E5882"/>
    <w:rsid w:val="006E5A51"/>
    <w:rsid w:val="006E5A95"/>
    <w:rsid w:val="006E5AAB"/>
    <w:rsid w:val="006E5AD9"/>
    <w:rsid w:val="006E62FB"/>
    <w:rsid w:val="006E64FF"/>
    <w:rsid w:val="006E6889"/>
    <w:rsid w:val="006E7956"/>
    <w:rsid w:val="006E7A49"/>
    <w:rsid w:val="006F006A"/>
    <w:rsid w:val="006F05DA"/>
    <w:rsid w:val="006F111C"/>
    <w:rsid w:val="006F15C2"/>
    <w:rsid w:val="006F19DA"/>
    <w:rsid w:val="006F1A3B"/>
    <w:rsid w:val="006F1CEA"/>
    <w:rsid w:val="006F2026"/>
    <w:rsid w:val="006F2091"/>
    <w:rsid w:val="006F275E"/>
    <w:rsid w:val="006F3223"/>
    <w:rsid w:val="006F3684"/>
    <w:rsid w:val="006F3B4F"/>
    <w:rsid w:val="006F45F7"/>
    <w:rsid w:val="006F484B"/>
    <w:rsid w:val="006F4D25"/>
    <w:rsid w:val="006F4D3C"/>
    <w:rsid w:val="006F5746"/>
    <w:rsid w:val="006F5C5D"/>
    <w:rsid w:val="006F5D24"/>
    <w:rsid w:val="006F5DAE"/>
    <w:rsid w:val="006F5E10"/>
    <w:rsid w:val="006F698C"/>
    <w:rsid w:val="006F7222"/>
    <w:rsid w:val="006F750F"/>
    <w:rsid w:val="006F7532"/>
    <w:rsid w:val="006F7783"/>
    <w:rsid w:val="006F797F"/>
    <w:rsid w:val="006F79CD"/>
    <w:rsid w:val="007006F1"/>
    <w:rsid w:val="0070071E"/>
    <w:rsid w:val="00700990"/>
    <w:rsid w:val="00700AF1"/>
    <w:rsid w:val="0070118F"/>
    <w:rsid w:val="007012C7"/>
    <w:rsid w:val="00701862"/>
    <w:rsid w:val="00701C59"/>
    <w:rsid w:val="00702A5A"/>
    <w:rsid w:val="007030E3"/>
    <w:rsid w:val="0070327E"/>
    <w:rsid w:val="00703430"/>
    <w:rsid w:val="0070346E"/>
    <w:rsid w:val="00703676"/>
    <w:rsid w:val="0070380C"/>
    <w:rsid w:val="00703C45"/>
    <w:rsid w:val="00704234"/>
    <w:rsid w:val="007046CF"/>
    <w:rsid w:val="0070472B"/>
    <w:rsid w:val="00704AFC"/>
    <w:rsid w:val="00705764"/>
    <w:rsid w:val="007057E6"/>
    <w:rsid w:val="00705BAD"/>
    <w:rsid w:val="00706412"/>
    <w:rsid w:val="00706DE9"/>
    <w:rsid w:val="0070731A"/>
    <w:rsid w:val="00707FF4"/>
    <w:rsid w:val="007102DE"/>
    <w:rsid w:val="007108BD"/>
    <w:rsid w:val="00710C5E"/>
    <w:rsid w:val="00711784"/>
    <w:rsid w:val="00711DD3"/>
    <w:rsid w:val="00711EEB"/>
    <w:rsid w:val="00711F04"/>
    <w:rsid w:val="007123DE"/>
    <w:rsid w:val="007126F2"/>
    <w:rsid w:val="007132D9"/>
    <w:rsid w:val="007134DD"/>
    <w:rsid w:val="0071368A"/>
    <w:rsid w:val="00714839"/>
    <w:rsid w:val="00714961"/>
    <w:rsid w:val="00714DD6"/>
    <w:rsid w:val="00715092"/>
    <w:rsid w:val="0071538F"/>
    <w:rsid w:val="0071545D"/>
    <w:rsid w:val="00715698"/>
    <w:rsid w:val="007158F8"/>
    <w:rsid w:val="0071592F"/>
    <w:rsid w:val="00715B8F"/>
    <w:rsid w:val="00715C4F"/>
    <w:rsid w:val="00716666"/>
    <w:rsid w:val="00717197"/>
    <w:rsid w:val="007172B7"/>
    <w:rsid w:val="0072085E"/>
    <w:rsid w:val="00721602"/>
    <w:rsid w:val="00724367"/>
    <w:rsid w:val="007245E8"/>
    <w:rsid w:val="0072464D"/>
    <w:rsid w:val="00724699"/>
    <w:rsid w:val="007246A9"/>
    <w:rsid w:val="00724A34"/>
    <w:rsid w:val="00724FF7"/>
    <w:rsid w:val="00725F4E"/>
    <w:rsid w:val="00726799"/>
    <w:rsid w:val="00726C9B"/>
    <w:rsid w:val="0072747B"/>
    <w:rsid w:val="00727DCC"/>
    <w:rsid w:val="00727ED0"/>
    <w:rsid w:val="007300D2"/>
    <w:rsid w:val="00730337"/>
    <w:rsid w:val="00730E20"/>
    <w:rsid w:val="00731254"/>
    <w:rsid w:val="00731C22"/>
    <w:rsid w:val="00731F51"/>
    <w:rsid w:val="00732507"/>
    <w:rsid w:val="00732B5A"/>
    <w:rsid w:val="00732D2E"/>
    <w:rsid w:val="00732FBA"/>
    <w:rsid w:val="00733D53"/>
    <w:rsid w:val="00733EB2"/>
    <w:rsid w:val="00733EBC"/>
    <w:rsid w:val="00734323"/>
    <w:rsid w:val="00734560"/>
    <w:rsid w:val="00734B64"/>
    <w:rsid w:val="00734CA9"/>
    <w:rsid w:val="00734CBE"/>
    <w:rsid w:val="0073541D"/>
    <w:rsid w:val="0073546F"/>
    <w:rsid w:val="00735B82"/>
    <w:rsid w:val="00735CA5"/>
    <w:rsid w:val="00736848"/>
    <w:rsid w:val="007370D1"/>
    <w:rsid w:val="0073789C"/>
    <w:rsid w:val="00737DE8"/>
    <w:rsid w:val="00740046"/>
    <w:rsid w:val="0074009D"/>
    <w:rsid w:val="00741083"/>
    <w:rsid w:val="007411BD"/>
    <w:rsid w:val="007416CA"/>
    <w:rsid w:val="007416CD"/>
    <w:rsid w:val="00741D89"/>
    <w:rsid w:val="00741E61"/>
    <w:rsid w:val="007426CD"/>
    <w:rsid w:val="00742754"/>
    <w:rsid w:val="00742C78"/>
    <w:rsid w:val="00742FDE"/>
    <w:rsid w:val="007437D0"/>
    <w:rsid w:val="00743C62"/>
    <w:rsid w:val="00743E25"/>
    <w:rsid w:val="00743F4B"/>
    <w:rsid w:val="007441D0"/>
    <w:rsid w:val="0074480B"/>
    <w:rsid w:val="00744C1A"/>
    <w:rsid w:val="00744C37"/>
    <w:rsid w:val="00744C3A"/>
    <w:rsid w:val="00745273"/>
    <w:rsid w:val="00745362"/>
    <w:rsid w:val="007467B1"/>
    <w:rsid w:val="00746D65"/>
    <w:rsid w:val="00746F12"/>
    <w:rsid w:val="00747289"/>
    <w:rsid w:val="0074777B"/>
    <w:rsid w:val="00747969"/>
    <w:rsid w:val="00747A83"/>
    <w:rsid w:val="00747E37"/>
    <w:rsid w:val="007506F2"/>
    <w:rsid w:val="00750E43"/>
    <w:rsid w:val="007511AE"/>
    <w:rsid w:val="00751354"/>
    <w:rsid w:val="0075138F"/>
    <w:rsid w:val="0075189E"/>
    <w:rsid w:val="00751C27"/>
    <w:rsid w:val="00751E7E"/>
    <w:rsid w:val="00751EA5"/>
    <w:rsid w:val="0075248C"/>
    <w:rsid w:val="00753207"/>
    <w:rsid w:val="007537AC"/>
    <w:rsid w:val="00753FFE"/>
    <w:rsid w:val="007541B6"/>
    <w:rsid w:val="007543EF"/>
    <w:rsid w:val="007545A2"/>
    <w:rsid w:val="00754719"/>
    <w:rsid w:val="00754816"/>
    <w:rsid w:val="00754C26"/>
    <w:rsid w:val="00754E76"/>
    <w:rsid w:val="00754EDE"/>
    <w:rsid w:val="007553D2"/>
    <w:rsid w:val="007553E6"/>
    <w:rsid w:val="00755538"/>
    <w:rsid w:val="007555C1"/>
    <w:rsid w:val="007555EF"/>
    <w:rsid w:val="00755798"/>
    <w:rsid w:val="00755836"/>
    <w:rsid w:val="0075588F"/>
    <w:rsid w:val="0075602F"/>
    <w:rsid w:val="00756067"/>
    <w:rsid w:val="007562FD"/>
    <w:rsid w:val="00756D2C"/>
    <w:rsid w:val="00757ACD"/>
    <w:rsid w:val="00757C7F"/>
    <w:rsid w:val="00757D4A"/>
    <w:rsid w:val="00760CCE"/>
    <w:rsid w:val="007615A5"/>
    <w:rsid w:val="007621D4"/>
    <w:rsid w:val="00762248"/>
    <w:rsid w:val="00762454"/>
    <w:rsid w:val="0076260D"/>
    <w:rsid w:val="0076280C"/>
    <w:rsid w:val="00762A6A"/>
    <w:rsid w:val="00762C7F"/>
    <w:rsid w:val="00762FAC"/>
    <w:rsid w:val="00763E54"/>
    <w:rsid w:val="00764049"/>
    <w:rsid w:val="00764240"/>
    <w:rsid w:val="0076427E"/>
    <w:rsid w:val="007649FF"/>
    <w:rsid w:val="00764DCA"/>
    <w:rsid w:val="00764E9F"/>
    <w:rsid w:val="00765857"/>
    <w:rsid w:val="007658E9"/>
    <w:rsid w:val="00765A56"/>
    <w:rsid w:val="00765C00"/>
    <w:rsid w:val="007661C5"/>
    <w:rsid w:val="00766CB5"/>
    <w:rsid w:val="00766E9A"/>
    <w:rsid w:val="0076782F"/>
    <w:rsid w:val="00767AC4"/>
    <w:rsid w:val="007703FD"/>
    <w:rsid w:val="00770605"/>
    <w:rsid w:val="00770752"/>
    <w:rsid w:val="00770A4E"/>
    <w:rsid w:val="00770B0A"/>
    <w:rsid w:val="00771260"/>
    <w:rsid w:val="00771544"/>
    <w:rsid w:val="00771F59"/>
    <w:rsid w:val="007724E6"/>
    <w:rsid w:val="007729B6"/>
    <w:rsid w:val="007732FC"/>
    <w:rsid w:val="00773703"/>
    <w:rsid w:val="00773D10"/>
    <w:rsid w:val="007745F8"/>
    <w:rsid w:val="0077490F"/>
    <w:rsid w:val="0077535C"/>
    <w:rsid w:val="00775832"/>
    <w:rsid w:val="00775E6F"/>
    <w:rsid w:val="0077619A"/>
    <w:rsid w:val="0077653D"/>
    <w:rsid w:val="00776F09"/>
    <w:rsid w:val="0077703D"/>
    <w:rsid w:val="00777F4C"/>
    <w:rsid w:val="00780E4B"/>
    <w:rsid w:val="0078146B"/>
    <w:rsid w:val="00782341"/>
    <w:rsid w:val="00782845"/>
    <w:rsid w:val="00782C94"/>
    <w:rsid w:val="0078355D"/>
    <w:rsid w:val="00783763"/>
    <w:rsid w:val="007837A7"/>
    <w:rsid w:val="007837F4"/>
    <w:rsid w:val="00783B7B"/>
    <w:rsid w:val="00783EDB"/>
    <w:rsid w:val="00784147"/>
    <w:rsid w:val="0078441B"/>
    <w:rsid w:val="00784A49"/>
    <w:rsid w:val="00784D31"/>
    <w:rsid w:val="0078523B"/>
    <w:rsid w:val="00786822"/>
    <w:rsid w:val="00786A30"/>
    <w:rsid w:val="00786B99"/>
    <w:rsid w:val="007878B6"/>
    <w:rsid w:val="00787C0E"/>
    <w:rsid w:val="007902DF"/>
    <w:rsid w:val="007906D2"/>
    <w:rsid w:val="0079106A"/>
    <w:rsid w:val="007916D0"/>
    <w:rsid w:val="007918EA"/>
    <w:rsid w:val="007919C0"/>
    <w:rsid w:val="00791BD0"/>
    <w:rsid w:val="00791F1B"/>
    <w:rsid w:val="007924FB"/>
    <w:rsid w:val="00792607"/>
    <w:rsid w:val="00792B75"/>
    <w:rsid w:val="00793381"/>
    <w:rsid w:val="007934D8"/>
    <w:rsid w:val="00793651"/>
    <w:rsid w:val="0079374F"/>
    <w:rsid w:val="0079386A"/>
    <w:rsid w:val="00794300"/>
    <w:rsid w:val="00794D07"/>
    <w:rsid w:val="00794DAD"/>
    <w:rsid w:val="0079657D"/>
    <w:rsid w:val="0079699E"/>
    <w:rsid w:val="00796B89"/>
    <w:rsid w:val="00796E50"/>
    <w:rsid w:val="00796F96"/>
    <w:rsid w:val="00797286"/>
    <w:rsid w:val="00797790"/>
    <w:rsid w:val="00797B87"/>
    <w:rsid w:val="00797C52"/>
    <w:rsid w:val="00797FCC"/>
    <w:rsid w:val="007A007D"/>
    <w:rsid w:val="007A0650"/>
    <w:rsid w:val="007A0FF0"/>
    <w:rsid w:val="007A12A0"/>
    <w:rsid w:val="007A2963"/>
    <w:rsid w:val="007A2F12"/>
    <w:rsid w:val="007A303D"/>
    <w:rsid w:val="007A35CD"/>
    <w:rsid w:val="007A3A21"/>
    <w:rsid w:val="007A4292"/>
    <w:rsid w:val="007A42FF"/>
    <w:rsid w:val="007A47EE"/>
    <w:rsid w:val="007A48E9"/>
    <w:rsid w:val="007A492D"/>
    <w:rsid w:val="007A4A23"/>
    <w:rsid w:val="007A4E22"/>
    <w:rsid w:val="007A52E0"/>
    <w:rsid w:val="007A5FAD"/>
    <w:rsid w:val="007A6018"/>
    <w:rsid w:val="007A6485"/>
    <w:rsid w:val="007A6C46"/>
    <w:rsid w:val="007A7936"/>
    <w:rsid w:val="007B0193"/>
    <w:rsid w:val="007B039B"/>
    <w:rsid w:val="007B09AE"/>
    <w:rsid w:val="007B0FCB"/>
    <w:rsid w:val="007B16CA"/>
    <w:rsid w:val="007B2124"/>
    <w:rsid w:val="007B29F8"/>
    <w:rsid w:val="007B3395"/>
    <w:rsid w:val="007B37BF"/>
    <w:rsid w:val="007B39C2"/>
    <w:rsid w:val="007B3AC2"/>
    <w:rsid w:val="007B3EE2"/>
    <w:rsid w:val="007B45B9"/>
    <w:rsid w:val="007B466C"/>
    <w:rsid w:val="007B47B3"/>
    <w:rsid w:val="007B5409"/>
    <w:rsid w:val="007B5E87"/>
    <w:rsid w:val="007B6865"/>
    <w:rsid w:val="007B6A08"/>
    <w:rsid w:val="007B6A5B"/>
    <w:rsid w:val="007B6FAE"/>
    <w:rsid w:val="007B7B9B"/>
    <w:rsid w:val="007C021E"/>
    <w:rsid w:val="007C07DC"/>
    <w:rsid w:val="007C08A9"/>
    <w:rsid w:val="007C1AC0"/>
    <w:rsid w:val="007C27EB"/>
    <w:rsid w:val="007C2E1A"/>
    <w:rsid w:val="007C344A"/>
    <w:rsid w:val="007C3530"/>
    <w:rsid w:val="007C400A"/>
    <w:rsid w:val="007C4352"/>
    <w:rsid w:val="007C4FC2"/>
    <w:rsid w:val="007C51BC"/>
    <w:rsid w:val="007C555E"/>
    <w:rsid w:val="007C585C"/>
    <w:rsid w:val="007C5D67"/>
    <w:rsid w:val="007C5DEE"/>
    <w:rsid w:val="007C6145"/>
    <w:rsid w:val="007C6280"/>
    <w:rsid w:val="007C634D"/>
    <w:rsid w:val="007C6514"/>
    <w:rsid w:val="007C680E"/>
    <w:rsid w:val="007C6852"/>
    <w:rsid w:val="007C6B5C"/>
    <w:rsid w:val="007C6DA0"/>
    <w:rsid w:val="007C6E4B"/>
    <w:rsid w:val="007C6EB8"/>
    <w:rsid w:val="007C6F9B"/>
    <w:rsid w:val="007D032A"/>
    <w:rsid w:val="007D0F74"/>
    <w:rsid w:val="007D140E"/>
    <w:rsid w:val="007D178C"/>
    <w:rsid w:val="007D2191"/>
    <w:rsid w:val="007D2877"/>
    <w:rsid w:val="007D3C2B"/>
    <w:rsid w:val="007D3C47"/>
    <w:rsid w:val="007D3F70"/>
    <w:rsid w:val="007D4036"/>
    <w:rsid w:val="007D4B64"/>
    <w:rsid w:val="007D52E2"/>
    <w:rsid w:val="007D55FC"/>
    <w:rsid w:val="007D5A9A"/>
    <w:rsid w:val="007D5EF9"/>
    <w:rsid w:val="007D6625"/>
    <w:rsid w:val="007D663C"/>
    <w:rsid w:val="007D6BB2"/>
    <w:rsid w:val="007D77FA"/>
    <w:rsid w:val="007D7B16"/>
    <w:rsid w:val="007E0C4D"/>
    <w:rsid w:val="007E0C65"/>
    <w:rsid w:val="007E0CA0"/>
    <w:rsid w:val="007E0EAF"/>
    <w:rsid w:val="007E0FB7"/>
    <w:rsid w:val="007E1198"/>
    <w:rsid w:val="007E133C"/>
    <w:rsid w:val="007E16ED"/>
    <w:rsid w:val="007E17F5"/>
    <w:rsid w:val="007E1BE2"/>
    <w:rsid w:val="007E1E17"/>
    <w:rsid w:val="007E203E"/>
    <w:rsid w:val="007E2123"/>
    <w:rsid w:val="007E21DC"/>
    <w:rsid w:val="007E24D8"/>
    <w:rsid w:val="007E2B60"/>
    <w:rsid w:val="007E2E88"/>
    <w:rsid w:val="007E2FA4"/>
    <w:rsid w:val="007E31B9"/>
    <w:rsid w:val="007E37A1"/>
    <w:rsid w:val="007E3BE5"/>
    <w:rsid w:val="007E417F"/>
    <w:rsid w:val="007E4CA4"/>
    <w:rsid w:val="007E4E62"/>
    <w:rsid w:val="007E4ECD"/>
    <w:rsid w:val="007E51EA"/>
    <w:rsid w:val="007E5624"/>
    <w:rsid w:val="007E59DE"/>
    <w:rsid w:val="007E5C0A"/>
    <w:rsid w:val="007E6D81"/>
    <w:rsid w:val="007E6D95"/>
    <w:rsid w:val="007E6E22"/>
    <w:rsid w:val="007E6E96"/>
    <w:rsid w:val="007E7554"/>
    <w:rsid w:val="007E75BC"/>
    <w:rsid w:val="007F0112"/>
    <w:rsid w:val="007F0B30"/>
    <w:rsid w:val="007F107E"/>
    <w:rsid w:val="007F15B5"/>
    <w:rsid w:val="007F15BB"/>
    <w:rsid w:val="007F15BD"/>
    <w:rsid w:val="007F178C"/>
    <w:rsid w:val="007F17C1"/>
    <w:rsid w:val="007F2535"/>
    <w:rsid w:val="007F2740"/>
    <w:rsid w:val="007F27E7"/>
    <w:rsid w:val="007F39EC"/>
    <w:rsid w:val="007F3E2D"/>
    <w:rsid w:val="007F3E42"/>
    <w:rsid w:val="007F4199"/>
    <w:rsid w:val="007F5027"/>
    <w:rsid w:val="007F555E"/>
    <w:rsid w:val="007F5B16"/>
    <w:rsid w:val="007F5BA5"/>
    <w:rsid w:val="007F63A8"/>
    <w:rsid w:val="007F6B33"/>
    <w:rsid w:val="007F78DC"/>
    <w:rsid w:val="007F7C05"/>
    <w:rsid w:val="008008D0"/>
    <w:rsid w:val="00801297"/>
    <w:rsid w:val="0080136B"/>
    <w:rsid w:val="00802A71"/>
    <w:rsid w:val="008048A0"/>
    <w:rsid w:val="00804D7D"/>
    <w:rsid w:val="008051F6"/>
    <w:rsid w:val="008055EB"/>
    <w:rsid w:val="008056D7"/>
    <w:rsid w:val="00806383"/>
    <w:rsid w:val="008069CE"/>
    <w:rsid w:val="00807622"/>
    <w:rsid w:val="00807745"/>
    <w:rsid w:val="008078D5"/>
    <w:rsid w:val="00807916"/>
    <w:rsid w:val="00807A71"/>
    <w:rsid w:val="008107CF"/>
    <w:rsid w:val="00810B78"/>
    <w:rsid w:val="00810BBD"/>
    <w:rsid w:val="00810D4D"/>
    <w:rsid w:val="00811301"/>
    <w:rsid w:val="0081139C"/>
    <w:rsid w:val="00811475"/>
    <w:rsid w:val="008115BA"/>
    <w:rsid w:val="00811725"/>
    <w:rsid w:val="008118FE"/>
    <w:rsid w:val="00811D36"/>
    <w:rsid w:val="00812096"/>
    <w:rsid w:val="00812FC7"/>
    <w:rsid w:val="00813168"/>
    <w:rsid w:val="008134D1"/>
    <w:rsid w:val="0081381C"/>
    <w:rsid w:val="008149AA"/>
    <w:rsid w:val="00814ADD"/>
    <w:rsid w:val="0081544B"/>
    <w:rsid w:val="00815E5F"/>
    <w:rsid w:val="0081622F"/>
    <w:rsid w:val="00816847"/>
    <w:rsid w:val="008172F7"/>
    <w:rsid w:val="00817970"/>
    <w:rsid w:val="00817DBC"/>
    <w:rsid w:val="00817E4D"/>
    <w:rsid w:val="0082050E"/>
    <w:rsid w:val="008205B8"/>
    <w:rsid w:val="0082086F"/>
    <w:rsid w:val="00820BBE"/>
    <w:rsid w:val="008212DC"/>
    <w:rsid w:val="008217F3"/>
    <w:rsid w:val="00821CD0"/>
    <w:rsid w:val="00821DA0"/>
    <w:rsid w:val="00821F40"/>
    <w:rsid w:val="0082289F"/>
    <w:rsid w:val="008229DF"/>
    <w:rsid w:val="00823F79"/>
    <w:rsid w:val="00824B8D"/>
    <w:rsid w:val="00824C85"/>
    <w:rsid w:val="00824FCA"/>
    <w:rsid w:val="00825549"/>
    <w:rsid w:val="00825EF6"/>
    <w:rsid w:val="00827048"/>
    <w:rsid w:val="008276D7"/>
    <w:rsid w:val="00830AB8"/>
    <w:rsid w:val="00831595"/>
    <w:rsid w:val="0083187C"/>
    <w:rsid w:val="008319FC"/>
    <w:rsid w:val="008320CA"/>
    <w:rsid w:val="008327E2"/>
    <w:rsid w:val="00832934"/>
    <w:rsid w:val="00833091"/>
    <w:rsid w:val="00833BA2"/>
    <w:rsid w:val="00833DD3"/>
    <w:rsid w:val="008348CE"/>
    <w:rsid w:val="00834DC5"/>
    <w:rsid w:val="008352BE"/>
    <w:rsid w:val="00835D09"/>
    <w:rsid w:val="008361E1"/>
    <w:rsid w:val="0083636F"/>
    <w:rsid w:val="0083645B"/>
    <w:rsid w:val="00836533"/>
    <w:rsid w:val="00836F1B"/>
    <w:rsid w:val="00837482"/>
    <w:rsid w:val="008378FA"/>
    <w:rsid w:val="00837DDC"/>
    <w:rsid w:val="00840726"/>
    <w:rsid w:val="008408D8"/>
    <w:rsid w:val="00840C48"/>
    <w:rsid w:val="00840DC7"/>
    <w:rsid w:val="00840E37"/>
    <w:rsid w:val="00840E80"/>
    <w:rsid w:val="008411AD"/>
    <w:rsid w:val="008418D3"/>
    <w:rsid w:val="00841FB2"/>
    <w:rsid w:val="00842564"/>
    <w:rsid w:val="0084292F"/>
    <w:rsid w:val="00842F4D"/>
    <w:rsid w:val="0084359F"/>
    <w:rsid w:val="008436BA"/>
    <w:rsid w:val="00844407"/>
    <w:rsid w:val="0084445D"/>
    <w:rsid w:val="00844E51"/>
    <w:rsid w:val="00845DC6"/>
    <w:rsid w:val="00845F5F"/>
    <w:rsid w:val="00845F65"/>
    <w:rsid w:val="00845FEA"/>
    <w:rsid w:val="008465A1"/>
    <w:rsid w:val="00846AC9"/>
    <w:rsid w:val="008470DF"/>
    <w:rsid w:val="00847BA4"/>
    <w:rsid w:val="00847FF5"/>
    <w:rsid w:val="00850262"/>
    <w:rsid w:val="0085143D"/>
    <w:rsid w:val="00851620"/>
    <w:rsid w:val="008517B5"/>
    <w:rsid w:val="0085185F"/>
    <w:rsid w:val="0085192F"/>
    <w:rsid w:val="00853934"/>
    <w:rsid w:val="00853E73"/>
    <w:rsid w:val="008542E1"/>
    <w:rsid w:val="008542F5"/>
    <w:rsid w:val="0085546A"/>
    <w:rsid w:val="00855C36"/>
    <w:rsid w:val="00856406"/>
    <w:rsid w:val="00857160"/>
    <w:rsid w:val="008572D6"/>
    <w:rsid w:val="00857589"/>
    <w:rsid w:val="00857700"/>
    <w:rsid w:val="00860374"/>
    <w:rsid w:val="008606B2"/>
    <w:rsid w:val="00860820"/>
    <w:rsid w:val="00860ADE"/>
    <w:rsid w:val="00860DDD"/>
    <w:rsid w:val="008610D3"/>
    <w:rsid w:val="0086193B"/>
    <w:rsid w:val="00862327"/>
    <w:rsid w:val="0086250B"/>
    <w:rsid w:val="00862CDB"/>
    <w:rsid w:val="00862F1E"/>
    <w:rsid w:val="008634D3"/>
    <w:rsid w:val="0086383D"/>
    <w:rsid w:val="0086465E"/>
    <w:rsid w:val="008647B1"/>
    <w:rsid w:val="008654AB"/>
    <w:rsid w:val="0086598F"/>
    <w:rsid w:val="00865A35"/>
    <w:rsid w:val="008661B0"/>
    <w:rsid w:val="0086646F"/>
    <w:rsid w:val="00866594"/>
    <w:rsid w:val="0086662D"/>
    <w:rsid w:val="0086684B"/>
    <w:rsid w:val="00866AA6"/>
    <w:rsid w:val="00866C7E"/>
    <w:rsid w:val="00867309"/>
    <w:rsid w:val="0086784B"/>
    <w:rsid w:val="00867860"/>
    <w:rsid w:val="00867F35"/>
    <w:rsid w:val="008701DD"/>
    <w:rsid w:val="008705F5"/>
    <w:rsid w:val="0087066E"/>
    <w:rsid w:val="008709B6"/>
    <w:rsid w:val="00870B02"/>
    <w:rsid w:val="00870F27"/>
    <w:rsid w:val="0087131E"/>
    <w:rsid w:val="008713D4"/>
    <w:rsid w:val="00871E40"/>
    <w:rsid w:val="0087221E"/>
    <w:rsid w:val="00872624"/>
    <w:rsid w:val="00872862"/>
    <w:rsid w:val="00872C52"/>
    <w:rsid w:val="00872CD9"/>
    <w:rsid w:val="008736F9"/>
    <w:rsid w:val="00873AD5"/>
    <w:rsid w:val="00873EB9"/>
    <w:rsid w:val="008740B4"/>
    <w:rsid w:val="0087416A"/>
    <w:rsid w:val="008747EC"/>
    <w:rsid w:val="008752A6"/>
    <w:rsid w:val="008759A7"/>
    <w:rsid w:val="00875C44"/>
    <w:rsid w:val="00875DED"/>
    <w:rsid w:val="00876822"/>
    <w:rsid w:val="0087697E"/>
    <w:rsid w:val="00876CF9"/>
    <w:rsid w:val="00877DDF"/>
    <w:rsid w:val="008801B9"/>
    <w:rsid w:val="00880BAF"/>
    <w:rsid w:val="00880F64"/>
    <w:rsid w:val="008814A1"/>
    <w:rsid w:val="00881BAF"/>
    <w:rsid w:val="00881C96"/>
    <w:rsid w:val="00882528"/>
    <w:rsid w:val="00882D10"/>
    <w:rsid w:val="0088331E"/>
    <w:rsid w:val="00883355"/>
    <w:rsid w:val="00883590"/>
    <w:rsid w:val="00883A0C"/>
    <w:rsid w:val="008840C0"/>
    <w:rsid w:val="008845A7"/>
    <w:rsid w:val="008845C1"/>
    <w:rsid w:val="00884CB4"/>
    <w:rsid w:val="00884D1B"/>
    <w:rsid w:val="00884D58"/>
    <w:rsid w:val="00884EE7"/>
    <w:rsid w:val="0088639C"/>
    <w:rsid w:val="0088695A"/>
    <w:rsid w:val="00886C13"/>
    <w:rsid w:val="00886C24"/>
    <w:rsid w:val="00886E96"/>
    <w:rsid w:val="00887658"/>
    <w:rsid w:val="008904ED"/>
    <w:rsid w:val="0089050F"/>
    <w:rsid w:val="008905A4"/>
    <w:rsid w:val="008908B2"/>
    <w:rsid w:val="00890DA3"/>
    <w:rsid w:val="00890E30"/>
    <w:rsid w:val="00890EC5"/>
    <w:rsid w:val="00891011"/>
    <w:rsid w:val="008912AF"/>
    <w:rsid w:val="008916E6"/>
    <w:rsid w:val="00891C7D"/>
    <w:rsid w:val="0089213E"/>
    <w:rsid w:val="00892448"/>
    <w:rsid w:val="0089284A"/>
    <w:rsid w:val="0089339E"/>
    <w:rsid w:val="00893604"/>
    <w:rsid w:val="008936F3"/>
    <w:rsid w:val="008939B9"/>
    <w:rsid w:val="00893C06"/>
    <w:rsid w:val="00893FFD"/>
    <w:rsid w:val="00894874"/>
    <w:rsid w:val="00895621"/>
    <w:rsid w:val="00896340"/>
    <w:rsid w:val="0089679D"/>
    <w:rsid w:val="00896CB8"/>
    <w:rsid w:val="00896F70"/>
    <w:rsid w:val="008A0816"/>
    <w:rsid w:val="008A1110"/>
    <w:rsid w:val="008A157E"/>
    <w:rsid w:val="008A1A3A"/>
    <w:rsid w:val="008A1D01"/>
    <w:rsid w:val="008A1DBD"/>
    <w:rsid w:val="008A21A2"/>
    <w:rsid w:val="008A2870"/>
    <w:rsid w:val="008A3165"/>
    <w:rsid w:val="008A324C"/>
    <w:rsid w:val="008A327F"/>
    <w:rsid w:val="008A3494"/>
    <w:rsid w:val="008A3951"/>
    <w:rsid w:val="008A3BF3"/>
    <w:rsid w:val="008A402E"/>
    <w:rsid w:val="008A420A"/>
    <w:rsid w:val="008A4483"/>
    <w:rsid w:val="008A45EB"/>
    <w:rsid w:val="008A46A0"/>
    <w:rsid w:val="008A4B21"/>
    <w:rsid w:val="008A5631"/>
    <w:rsid w:val="008A5B3F"/>
    <w:rsid w:val="008A6277"/>
    <w:rsid w:val="008A785E"/>
    <w:rsid w:val="008A79C4"/>
    <w:rsid w:val="008A7A50"/>
    <w:rsid w:val="008A7A52"/>
    <w:rsid w:val="008A7DDF"/>
    <w:rsid w:val="008B075F"/>
    <w:rsid w:val="008B0A44"/>
    <w:rsid w:val="008B0DCA"/>
    <w:rsid w:val="008B14DA"/>
    <w:rsid w:val="008B19A7"/>
    <w:rsid w:val="008B1D73"/>
    <w:rsid w:val="008B1E81"/>
    <w:rsid w:val="008B1F0D"/>
    <w:rsid w:val="008B20CF"/>
    <w:rsid w:val="008B25C4"/>
    <w:rsid w:val="008B2DDA"/>
    <w:rsid w:val="008B390D"/>
    <w:rsid w:val="008B53B4"/>
    <w:rsid w:val="008B5454"/>
    <w:rsid w:val="008B57E9"/>
    <w:rsid w:val="008B5968"/>
    <w:rsid w:val="008B5EA1"/>
    <w:rsid w:val="008B6F21"/>
    <w:rsid w:val="008B7670"/>
    <w:rsid w:val="008B7EBB"/>
    <w:rsid w:val="008C046F"/>
    <w:rsid w:val="008C07A0"/>
    <w:rsid w:val="008C08B4"/>
    <w:rsid w:val="008C0921"/>
    <w:rsid w:val="008C0BBB"/>
    <w:rsid w:val="008C0CFF"/>
    <w:rsid w:val="008C1820"/>
    <w:rsid w:val="008C1B4E"/>
    <w:rsid w:val="008C1DC9"/>
    <w:rsid w:val="008C28EE"/>
    <w:rsid w:val="008C3C49"/>
    <w:rsid w:val="008C492D"/>
    <w:rsid w:val="008C513D"/>
    <w:rsid w:val="008C51A9"/>
    <w:rsid w:val="008C5740"/>
    <w:rsid w:val="008C5F91"/>
    <w:rsid w:val="008C645F"/>
    <w:rsid w:val="008C6A41"/>
    <w:rsid w:val="008C6A50"/>
    <w:rsid w:val="008C6C42"/>
    <w:rsid w:val="008C6CD3"/>
    <w:rsid w:val="008D0270"/>
    <w:rsid w:val="008D028F"/>
    <w:rsid w:val="008D04EC"/>
    <w:rsid w:val="008D0923"/>
    <w:rsid w:val="008D0CFA"/>
    <w:rsid w:val="008D0D6E"/>
    <w:rsid w:val="008D1150"/>
    <w:rsid w:val="008D15FD"/>
    <w:rsid w:val="008D167F"/>
    <w:rsid w:val="008D318D"/>
    <w:rsid w:val="008D3CD6"/>
    <w:rsid w:val="008D446A"/>
    <w:rsid w:val="008D4C7F"/>
    <w:rsid w:val="008D4E61"/>
    <w:rsid w:val="008D589F"/>
    <w:rsid w:val="008D5A38"/>
    <w:rsid w:val="008D5F7C"/>
    <w:rsid w:val="008D5FEE"/>
    <w:rsid w:val="008D6674"/>
    <w:rsid w:val="008D709B"/>
    <w:rsid w:val="008D75AC"/>
    <w:rsid w:val="008D7974"/>
    <w:rsid w:val="008D7A2F"/>
    <w:rsid w:val="008E0865"/>
    <w:rsid w:val="008E12F7"/>
    <w:rsid w:val="008E1830"/>
    <w:rsid w:val="008E1DD2"/>
    <w:rsid w:val="008E1EF7"/>
    <w:rsid w:val="008E1FC2"/>
    <w:rsid w:val="008E24CE"/>
    <w:rsid w:val="008E2D98"/>
    <w:rsid w:val="008E2F99"/>
    <w:rsid w:val="008E2FA7"/>
    <w:rsid w:val="008E3142"/>
    <w:rsid w:val="008E3438"/>
    <w:rsid w:val="008E4613"/>
    <w:rsid w:val="008E5673"/>
    <w:rsid w:val="008E580C"/>
    <w:rsid w:val="008E67AA"/>
    <w:rsid w:val="008E6BDD"/>
    <w:rsid w:val="008E7352"/>
    <w:rsid w:val="008E7BF9"/>
    <w:rsid w:val="008E7C45"/>
    <w:rsid w:val="008F0638"/>
    <w:rsid w:val="008F09AB"/>
    <w:rsid w:val="008F0A18"/>
    <w:rsid w:val="008F0D53"/>
    <w:rsid w:val="008F1377"/>
    <w:rsid w:val="008F1EEC"/>
    <w:rsid w:val="008F225D"/>
    <w:rsid w:val="008F2647"/>
    <w:rsid w:val="008F27B8"/>
    <w:rsid w:val="008F2CD4"/>
    <w:rsid w:val="008F2E02"/>
    <w:rsid w:val="008F2F62"/>
    <w:rsid w:val="008F4648"/>
    <w:rsid w:val="008F4FF1"/>
    <w:rsid w:val="008F570C"/>
    <w:rsid w:val="008F57B8"/>
    <w:rsid w:val="008F5E53"/>
    <w:rsid w:val="008F5FB7"/>
    <w:rsid w:val="008F61D1"/>
    <w:rsid w:val="008F6418"/>
    <w:rsid w:val="008F6896"/>
    <w:rsid w:val="008F7389"/>
    <w:rsid w:val="008F761F"/>
    <w:rsid w:val="008F7A10"/>
    <w:rsid w:val="008F7CDD"/>
    <w:rsid w:val="009006A1"/>
    <w:rsid w:val="009006CB"/>
    <w:rsid w:val="00900875"/>
    <w:rsid w:val="009008F5"/>
    <w:rsid w:val="00900DDA"/>
    <w:rsid w:val="00900F0F"/>
    <w:rsid w:val="009012C3"/>
    <w:rsid w:val="009016D9"/>
    <w:rsid w:val="00901844"/>
    <w:rsid w:val="0090195D"/>
    <w:rsid w:val="00901EBC"/>
    <w:rsid w:val="009023C1"/>
    <w:rsid w:val="00902B8D"/>
    <w:rsid w:val="00902ECA"/>
    <w:rsid w:val="0090325C"/>
    <w:rsid w:val="00904758"/>
    <w:rsid w:val="009048C8"/>
    <w:rsid w:val="00905594"/>
    <w:rsid w:val="0090559E"/>
    <w:rsid w:val="00905F98"/>
    <w:rsid w:val="009062CC"/>
    <w:rsid w:val="00906961"/>
    <w:rsid w:val="009069C2"/>
    <w:rsid w:val="00906C80"/>
    <w:rsid w:val="009073F1"/>
    <w:rsid w:val="009077CB"/>
    <w:rsid w:val="009108DF"/>
    <w:rsid w:val="00910D83"/>
    <w:rsid w:val="00911EB8"/>
    <w:rsid w:val="00912D18"/>
    <w:rsid w:val="00913BCD"/>
    <w:rsid w:val="00913CA9"/>
    <w:rsid w:val="00913DD9"/>
    <w:rsid w:val="009142AF"/>
    <w:rsid w:val="009142D9"/>
    <w:rsid w:val="009142E4"/>
    <w:rsid w:val="00914636"/>
    <w:rsid w:val="00914766"/>
    <w:rsid w:val="00914D77"/>
    <w:rsid w:val="009155A5"/>
    <w:rsid w:val="009155C2"/>
    <w:rsid w:val="009164B8"/>
    <w:rsid w:val="00916BF8"/>
    <w:rsid w:val="00916E98"/>
    <w:rsid w:val="00917139"/>
    <w:rsid w:val="009172FC"/>
    <w:rsid w:val="00917C17"/>
    <w:rsid w:val="00917D71"/>
    <w:rsid w:val="0092031B"/>
    <w:rsid w:val="009209E7"/>
    <w:rsid w:val="00920FCA"/>
    <w:rsid w:val="00921206"/>
    <w:rsid w:val="00921599"/>
    <w:rsid w:val="00921984"/>
    <w:rsid w:val="00921EB0"/>
    <w:rsid w:val="009227C5"/>
    <w:rsid w:val="009228F2"/>
    <w:rsid w:val="00922AB4"/>
    <w:rsid w:val="00922B9E"/>
    <w:rsid w:val="00922C92"/>
    <w:rsid w:val="00922CB6"/>
    <w:rsid w:val="00922D7D"/>
    <w:rsid w:val="00923D97"/>
    <w:rsid w:val="00923FB9"/>
    <w:rsid w:val="00924434"/>
    <w:rsid w:val="0092488B"/>
    <w:rsid w:val="0092567F"/>
    <w:rsid w:val="00926910"/>
    <w:rsid w:val="00926E2E"/>
    <w:rsid w:val="00930554"/>
    <w:rsid w:val="0093066F"/>
    <w:rsid w:val="00930879"/>
    <w:rsid w:val="0093093B"/>
    <w:rsid w:val="00930B1F"/>
    <w:rsid w:val="00930F34"/>
    <w:rsid w:val="00931047"/>
    <w:rsid w:val="0093113C"/>
    <w:rsid w:val="00931F31"/>
    <w:rsid w:val="00932539"/>
    <w:rsid w:val="0093327E"/>
    <w:rsid w:val="00933EFE"/>
    <w:rsid w:val="009343E1"/>
    <w:rsid w:val="0093591C"/>
    <w:rsid w:val="00935A75"/>
    <w:rsid w:val="00935E89"/>
    <w:rsid w:val="00936F13"/>
    <w:rsid w:val="00937328"/>
    <w:rsid w:val="00937364"/>
    <w:rsid w:val="009373A6"/>
    <w:rsid w:val="0093762A"/>
    <w:rsid w:val="0093783B"/>
    <w:rsid w:val="0094008E"/>
    <w:rsid w:val="00940218"/>
    <w:rsid w:val="00940CCB"/>
    <w:rsid w:val="00940DDD"/>
    <w:rsid w:val="0094111B"/>
    <w:rsid w:val="0094161A"/>
    <w:rsid w:val="0094193C"/>
    <w:rsid w:val="00941EA2"/>
    <w:rsid w:val="0094213D"/>
    <w:rsid w:val="00942AE7"/>
    <w:rsid w:val="00942C0C"/>
    <w:rsid w:val="00942F29"/>
    <w:rsid w:val="00943757"/>
    <w:rsid w:val="00943C9F"/>
    <w:rsid w:val="00943FE0"/>
    <w:rsid w:val="00944BCC"/>
    <w:rsid w:val="009456D6"/>
    <w:rsid w:val="009458C0"/>
    <w:rsid w:val="0094621D"/>
    <w:rsid w:val="009468D9"/>
    <w:rsid w:val="00946AB9"/>
    <w:rsid w:val="00946B2E"/>
    <w:rsid w:val="00947216"/>
    <w:rsid w:val="00947856"/>
    <w:rsid w:val="009478EE"/>
    <w:rsid w:val="0094797E"/>
    <w:rsid w:val="00947A35"/>
    <w:rsid w:val="00947DC3"/>
    <w:rsid w:val="0095012C"/>
    <w:rsid w:val="009504E8"/>
    <w:rsid w:val="00950501"/>
    <w:rsid w:val="00950524"/>
    <w:rsid w:val="00950700"/>
    <w:rsid w:val="00950C4D"/>
    <w:rsid w:val="0095151E"/>
    <w:rsid w:val="0095183A"/>
    <w:rsid w:val="00951BF0"/>
    <w:rsid w:val="00951D7B"/>
    <w:rsid w:val="009521FD"/>
    <w:rsid w:val="009522E4"/>
    <w:rsid w:val="00952C3A"/>
    <w:rsid w:val="00953087"/>
    <w:rsid w:val="00953D80"/>
    <w:rsid w:val="009549E4"/>
    <w:rsid w:val="00954AA6"/>
    <w:rsid w:val="00954B99"/>
    <w:rsid w:val="00954C68"/>
    <w:rsid w:val="009550B2"/>
    <w:rsid w:val="00955212"/>
    <w:rsid w:val="00955587"/>
    <w:rsid w:val="00955BEF"/>
    <w:rsid w:val="00955C19"/>
    <w:rsid w:val="00956508"/>
    <w:rsid w:val="00956BEA"/>
    <w:rsid w:val="00956FE3"/>
    <w:rsid w:val="00957F5D"/>
    <w:rsid w:val="00960609"/>
    <w:rsid w:val="009608DB"/>
    <w:rsid w:val="00960918"/>
    <w:rsid w:val="00960DC4"/>
    <w:rsid w:val="00961714"/>
    <w:rsid w:val="00961C26"/>
    <w:rsid w:val="0096223F"/>
    <w:rsid w:val="00962F44"/>
    <w:rsid w:val="00963C9E"/>
    <w:rsid w:val="00963D6B"/>
    <w:rsid w:val="00963DD4"/>
    <w:rsid w:val="009644A5"/>
    <w:rsid w:val="0096484B"/>
    <w:rsid w:val="00964955"/>
    <w:rsid w:val="00964A0F"/>
    <w:rsid w:val="00965E8E"/>
    <w:rsid w:val="009667FD"/>
    <w:rsid w:val="00966B04"/>
    <w:rsid w:val="00967E06"/>
    <w:rsid w:val="00970812"/>
    <w:rsid w:val="00970895"/>
    <w:rsid w:val="00970D6A"/>
    <w:rsid w:val="00970F1B"/>
    <w:rsid w:val="009710C8"/>
    <w:rsid w:val="00971132"/>
    <w:rsid w:val="009712EB"/>
    <w:rsid w:val="00971349"/>
    <w:rsid w:val="0097159A"/>
    <w:rsid w:val="009716A7"/>
    <w:rsid w:val="00971AC0"/>
    <w:rsid w:val="0097243F"/>
    <w:rsid w:val="009725F7"/>
    <w:rsid w:val="00972624"/>
    <w:rsid w:val="0097278A"/>
    <w:rsid w:val="00973FAD"/>
    <w:rsid w:val="00974F02"/>
    <w:rsid w:val="00975354"/>
    <w:rsid w:val="009754ED"/>
    <w:rsid w:val="00975D94"/>
    <w:rsid w:val="00976661"/>
    <w:rsid w:val="00977493"/>
    <w:rsid w:val="00980730"/>
    <w:rsid w:val="009809CD"/>
    <w:rsid w:val="00980C1C"/>
    <w:rsid w:val="009817AF"/>
    <w:rsid w:val="0098217F"/>
    <w:rsid w:val="0098231C"/>
    <w:rsid w:val="00982897"/>
    <w:rsid w:val="009828AC"/>
    <w:rsid w:val="00982B57"/>
    <w:rsid w:val="00982EB2"/>
    <w:rsid w:val="00983644"/>
    <w:rsid w:val="00983B2E"/>
    <w:rsid w:val="009843F2"/>
    <w:rsid w:val="009845D4"/>
    <w:rsid w:val="00984E24"/>
    <w:rsid w:val="00985447"/>
    <w:rsid w:val="00985A1E"/>
    <w:rsid w:val="00985C02"/>
    <w:rsid w:val="00985C5F"/>
    <w:rsid w:val="00985E27"/>
    <w:rsid w:val="0098693E"/>
    <w:rsid w:val="00987B7F"/>
    <w:rsid w:val="00987C79"/>
    <w:rsid w:val="00987CB7"/>
    <w:rsid w:val="00987DC8"/>
    <w:rsid w:val="009904BE"/>
    <w:rsid w:val="00990A5D"/>
    <w:rsid w:val="009912D7"/>
    <w:rsid w:val="0099146F"/>
    <w:rsid w:val="009915FB"/>
    <w:rsid w:val="00991D0B"/>
    <w:rsid w:val="009920B2"/>
    <w:rsid w:val="0099227C"/>
    <w:rsid w:val="009937CE"/>
    <w:rsid w:val="00994737"/>
    <w:rsid w:val="009947A8"/>
    <w:rsid w:val="00994E5F"/>
    <w:rsid w:val="0099513D"/>
    <w:rsid w:val="009956F3"/>
    <w:rsid w:val="009957D3"/>
    <w:rsid w:val="00995B4F"/>
    <w:rsid w:val="00995BBB"/>
    <w:rsid w:val="00995D63"/>
    <w:rsid w:val="00995F2C"/>
    <w:rsid w:val="00997157"/>
    <w:rsid w:val="00997D93"/>
    <w:rsid w:val="009A00CD"/>
    <w:rsid w:val="009A0103"/>
    <w:rsid w:val="009A03B6"/>
    <w:rsid w:val="009A091F"/>
    <w:rsid w:val="009A0E1B"/>
    <w:rsid w:val="009A11AD"/>
    <w:rsid w:val="009A14B6"/>
    <w:rsid w:val="009A29C8"/>
    <w:rsid w:val="009A29F6"/>
    <w:rsid w:val="009A2EFA"/>
    <w:rsid w:val="009A331C"/>
    <w:rsid w:val="009A3997"/>
    <w:rsid w:val="009A39C6"/>
    <w:rsid w:val="009A4829"/>
    <w:rsid w:val="009A4C4C"/>
    <w:rsid w:val="009A4C61"/>
    <w:rsid w:val="009A4FD7"/>
    <w:rsid w:val="009A55D2"/>
    <w:rsid w:val="009A5C1F"/>
    <w:rsid w:val="009A5E01"/>
    <w:rsid w:val="009A6B0D"/>
    <w:rsid w:val="009A6B40"/>
    <w:rsid w:val="009A742E"/>
    <w:rsid w:val="009A74ED"/>
    <w:rsid w:val="009A768F"/>
    <w:rsid w:val="009A76E5"/>
    <w:rsid w:val="009A7AAC"/>
    <w:rsid w:val="009A7D64"/>
    <w:rsid w:val="009B0401"/>
    <w:rsid w:val="009B0F31"/>
    <w:rsid w:val="009B0F78"/>
    <w:rsid w:val="009B1712"/>
    <w:rsid w:val="009B1A90"/>
    <w:rsid w:val="009B1E99"/>
    <w:rsid w:val="009B208E"/>
    <w:rsid w:val="009B27B5"/>
    <w:rsid w:val="009B3476"/>
    <w:rsid w:val="009B3A18"/>
    <w:rsid w:val="009B3AA7"/>
    <w:rsid w:val="009B421F"/>
    <w:rsid w:val="009B436C"/>
    <w:rsid w:val="009B477B"/>
    <w:rsid w:val="009B47F6"/>
    <w:rsid w:val="009B4EA7"/>
    <w:rsid w:val="009B590C"/>
    <w:rsid w:val="009B5984"/>
    <w:rsid w:val="009B5BCB"/>
    <w:rsid w:val="009B5C12"/>
    <w:rsid w:val="009B674F"/>
    <w:rsid w:val="009B715B"/>
    <w:rsid w:val="009B7311"/>
    <w:rsid w:val="009B78D2"/>
    <w:rsid w:val="009C0035"/>
    <w:rsid w:val="009C0153"/>
    <w:rsid w:val="009C0481"/>
    <w:rsid w:val="009C0605"/>
    <w:rsid w:val="009C0797"/>
    <w:rsid w:val="009C0C9F"/>
    <w:rsid w:val="009C10A4"/>
    <w:rsid w:val="009C1256"/>
    <w:rsid w:val="009C15B1"/>
    <w:rsid w:val="009C1605"/>
    <w:rsid w:val="009C1BA5"/>
    <w:rsid w:val="009C1BBE"/>
    <w:rsid w:val="009C1FFA"/>
    <w:rsid w:val="009C230F"/>
    <w:rsid w:val="009C26E6"/>
    <w:rsid w:val="009C2BC0"/>
    <w:rsid w:val="009C3CE1"/>
    <w:rsid w:val="009C3E09"/>
    <w:rsid w:val="009C43FD"/>
    <w:rsid w:val="009C443C"/>
    <w:rsid w:val="009C4695"/>
    <w:rsid w:val="009C587B"/>
    <w:rsid w:val="009C597C"/>
    <w:rsid w:val="009C5D8A"/>
    <w:rsid w:val="009C6137"/>
    <w:rsid w:val="009C64F1"/>
    <w:rsid w:val="009C6801"/>
    <w:rsid w:val="009C6CD7"/>
    <w:rsid w:val="009C76EC"/>
    <w:rsid w:val="009C7C1A"/>
    <w:rsid w:val="009D0417"/>
    <w:rsid w:val="009D0A8A"/>
    <w:rsid w:val="009D153C"/>
    <w:rsid w:val="009D1B42"/>
    <w:rsid w:val="009D1B52"/>
    <w:rsid w:val="009D1BAF"/>
    <w:rsid w:val="009D1DAA"/>
    <w:rsid w:val="009D2219"/>
    <w:rsid w:val="009D2586"/>
    <w:rsid w:val="009D33E6"/>
    <w:rsid w:val="009D3BF8"/>
    <w:rsid w:val="009D42C0"/>
    <w:rsid w:val="009D46EA"/>
    <w:rsid w:val="009D4CE5"/>
    <w:rsid w:val="009D5799"/>
    <w:rsid w:val="009D58BB"/>
    <w:rsid w:val="009D5DC5"/>
    <w:rsid w:val="009D6271"/>
    <w:rsid w:val="009D62CB"/>
    <w:rsid w:val="009D63BF"/>
    <w:rsid w:val="009D653D"/>
    <w:rsid w:val="009D6FE4"/>
    <w:rsid w:val="009D70DC"/>
    <w:rsid w:val="009D7EC9"/>
    <w:rsid w:val="009E0313"/>
    <w:rsid w:val="009E0E01"/>
    <w:rsid w:val="009E0F0F"/>
    <w:rsid w:val="009E0FD2"/>
    <w:rsid w:val="009E1338"/>
    <w:rsid w:val="009E147C"/>
    <w:rsid w:val="009E14AE"/>
    <w:rsid w:val="009E1575"/>
    <w:rsid w:val="009E22E5"/>
    <w:rsid w:val="009E2351"/>
    <w:rsid w:val="009E2E92"/>
    <w:rsid w:val="009E3AE0"/>
    <w:rsid w:val="009E413A"/>
    <w:rsid w:val="009E4762"/>
    <w:rsid w:val="009E4B0B"/>
    <w:rsid w:val="009E4E10"/>
    <w:rsid w:val="009E529D"/>
    <w:rsid w:val="009E534D"/>
    <w:rsid w:val="009E5458"/>
    <w:rsid w:val="009E55B1"/>
    <w:rsid w:val="009E56BF"/>
    <w:rsid w:val="009E73A9"/>
    <w:rsid w:val="009E7F6B"/>
    <w:rsid w:val="009F1CC7"/>
    <w:rsid w:val="009F1E84"/>
    <w:rsid w:val="009F2884"/>
    <w:rsid w:val="009F2903"/>
    <w:rsid w:val="009F295F"/>
    <w:rsid w:val="009F357A"/>
    <w:rsid w:val="009F39CC"/>
    <w:rsid w:val="009F3A2D"/>
    <w:rsid w:val="009F4113"/>
    <w:rsid w:val="009F446A"/>
    <w:rsid w:val="009F44C7"/>
    <w:rsid w:val="009F482B"/>
    <w:rsid w:val="009F4D16"/>
    <w:rsid w:val="009F549E"/>
    <w:rsid w:val="009F5A9D"/>
    <w:rsid w:val="009F5B3C"/>
    <w:rsid w:val="009F60D9"/>
    <w:rsid w:val="009F649D"/>
    <w:rsid w:val="009F6663"/>
    <w:rsid w:val="009F6707"/>
    <w:rsid w:val="009F6E97"/>
    <w:rsid w:val="009F7940"/>
    <w:rsid w:val="009F79F0"/>
    <w:rsid w:val="009F7FDA"/>
    <w:rsid w:val="00A005B9"/>
    <w:rsid w:val="00A00D33"/>
    <w:rsid w:val="00A01CA7"/>
    <w:rsid w:val="00A020A9"/>
    <w:rsid w:val="00A02275"/>
    <w:rsid w:val="00A024B1"/>
    <w:rsid w:val="00A026A8"/>
    <w:rsid w:val="00A02703"/>
    <w:rsid w:val="00A02AD2"/>
    <w:rsid w:val="00A02ADC"/>
    <w:rsid w:val="00A02B0B"/>
    <w:rsid w:val="00A03681"/>
    <w:rsid w:val="00A03A51"/>
    <w:rsid w:val="00A03C5D"/>
    <w:rsid w:val="00A03F42"/>
    <w:rsid w:val="00A04223"/>
    <w:rsid w:val="00A04745"/>
    <w:rsid w:val="00A04763"/>
    <w:rsid w:val="00A047AF"/>
    <w:rsid w:val="00A0603A"/>
    <w:rsid w:val="00A06AF5"/>
    <w:rsid w:val="00A06BB2"/>
    <w:rsid w:val="00A06F5C"/>
    <w:rsid w:val="00A07055"/>
    <w:rsid w:val="00A07AEB"/>
    <w:rsid w:val="00A10C19"/>
    <w:rsid w:val="00A116B6"/>
    <w:rsid w:val="00A11B0C"/>
    <w:rsid w:val="00A11CF8"/>
    <w:rsid w:val="00A11EFB"/>
    <w:rsid w:val="00A12654"/>
    <w:rsid w:val="00A12AFF"/>
    <w:rsid w:val="00A13B58"/>
    <w:rsid w:val="00A13FCB"/>
    <w:rsid w:val="00A14932"/>
    <w:rsid w:val="00A14D83"/>
    <w:rsid w:val="00A151E5"/>
    <w:rsid w:val="00A1550F"/>
    <w:rsid w:val="00A15576"/>
    <w:rsid w:val="00A15A03"/>
    <w:rsid w:val="00A15BFC"/>
    <w:rsid w:val="00A15D4D"/>
    <w:rsid w:val="00A16BA1"/>
    <w:rsid w:val="00A1726D"/>
    <w:rsid w:val="00A17558"/>
    <w:rsid w:val="00A20597"/>
    <w:rsid w:val="00A20CF6"/>
    <w:rsid w:val="00A20E56"/>
    <w:rsid w:val="00A21199"/>
    <w:rsid w:val="00A2152F"/>
    <w:rsid w:val="00A21A87"/>
    <w:rsid w:val="00A22AAC"/>
    <w:rsid w:val="00A237A4"/>
    <w:rsid w:val="00A238FD"/>
    <w:rsid w:val="00A2390C"/>
    <w:rsid w:val="00A23B0F"/>
    <w:rsid w:val="00A23FD3"/>
    <w:rsid w:val="00A241A3"/>
    <w:rsid w:val="00A24302"/>
    <w:rsid w:val="00A243B4"/>
    <w:rsid w:val="00A25D88"/>
    <w:rsid w:val="00A260F9"/>
    <w:rsid w:val="00A26597"/>
    <w:rsid w:val="00A27023"/>
    <w:rsid w:val="00A27A01"/>
    <w:rsid w:val="00A3026C"/>
    <w:rsid w:val="00A3107B"/>
    <w:rsid w:val="00A310F3"/>
    <w:rsid w:val="00A31760"/>
    <w:rsid w:val="00A31800"/>
    <w:rsid w:val="00A31EB8"/>
    <w:rsid w:val="00A32171"/>
    <w:rsid w:val="00A32671"/>
    <w:rsid w:val="00A326CB"/>
    <w:rsid w:val="00A3287D"/>
    <w:rsid w:val="00A32C18"/>
    <w:rsid w:val="00A32CF5"/>
    <w:rsid w:val="00A32DF8"/>
    <w:rsid w:val="00A330B5"/>
    <w:rsid w:val="00A3363F"/>
    <w:rsid w:val="00A33D79"/>
    <w:rsid w:val="00A3403D"/>
    <w:rsid w:val="00A344F4"/>
    <w:rsid w:val="00A3537C"/>
    <w:rsid w:val="00A356DB"/>
    <w:rsid w:val="00A359ED"/>
    <w:rsid w:val="00A360A9"/>
    <w:rsid w:val="00A367F3"/>
    <w:rsid w:val="00A36FA4"/>
    <w:rsid w:val="00A371A8"/>
    <w:rsid w:val="00A37488"/>
    <w:rsid w:val="00A3750C"/>
    <w:rsid w:val="00A3760B"/>
    <w:rsid w:val="00A37E18"/>
    <w:rsid w:val="00A37FB4"/>
    <w:rsid w:val="00A40419"/>
    <w:rsid w:val="00A40426"/>
    <w:rsid w:val="00A405D1"/>
    <w:rsid w:val="00A40CF0"/>
    <w:rsid w:val="00A41033"/>
    <w:rsid w:val="00A41F2D"/>
    <w:rsid w:val="00A4246D"/>
    <w:rsid w:val="00A42663"/>
    <w:rsid w:val="00A426D3"/>
    <w:rsid w:val="00A428F1"/>
    <w:rsid w:val="00A43826"/>
    <w:rsid w:val="00A43CF8"/>
    <w:rsid w:val="00A440C1"/>
    <w:rsid w:val="00A4450A"/>
    <w:rsid w:val="00A454F6"/>
    <w:rsid w:val="00A45C96"/>
    <w:rsid w:val="00A45E35"/>
    <w:rsid w:val="00A46281"/>
    <w:rsid w:val="00A46776"/>
    <w:rsid w:val="00A4701C"/>
    <w:rsid w:val="00A474D6"/>
    <w:rsid w:val="00A477FB"/>
    <w:rsid w:val="00A47B15"/>
    <w:rsid w:val="00A47BFF"/>
    <w:rsid w:val="00A50095"/>
    <w:rsid w:val="00A50D7B"/>
    <w:rsid w:val="00A50E9B"/>
    <w:rsid w:val="00A51BD2"/>
    <w:rsid w:val="00A52630"/>
    <w:rsid w:val="00A52D76"/>
    <w:rsid w:val="00A53535"/>
    <w:rsid w:val="00A53623"/>
    <w:rsid w:val="00A53809"/>
    <w:rsid w:val="00A5423E"/>
    <w:rsid w:val="00A54587"/>
    <w:rsid w:val="00A54BF7"/>
    <w:rsid w:val="00A54F54"/>
    <w:rsid w:val="00A559E2"/>
    <w:rsid w:val="00A55F41"/>
    <w:rsid w:val="00A5602A"/>
    <w:rsid w:val="00A569B4"/>
    <w:rsid w:val="00A56D24"/>
    <w:rsid w:val="00A572BE"/>
    <w:rsid w:val="00A57B8A"/>
    <w:rsid w:val="00A60017"/>
    <w:rsid w:val="00A602C1"/>
    <w:rsid w:val="00A6044D"/>
    <w:rsid w:val="00A607DF"/>
    <w:rsid w:val="00A60EB0"/>
    <w:rsid w:val="00A61174"/>
    <w:rsid w:val="00A612BA"/>
    <w:rsid w:val="00A61404"/>
    <w:rsid w:val="00A6166A"/>
    <w:rsid w:val="00A616A8"/>
    <w:rsid w:val="00A616DC"/>
    <w:rsid w:val="00A62D9A"/>
    <w:rsid w:val="00A62F96"/>
    <w:rsid w:val="00A63062"/>
    <w:rsid w:val="00A6387A"/>
    <w:rsid w:val="00A64235"/>
    <w:rsid w:val="00A642D3"/>
    <w:rsid w:val="00A6488F"/>
    <w:rsid w:val="00A65094"/>
    <w:rsid w:val="00A650D2"/>
    <w:rsid w:val="00A6597B"/>
    <w:rsid w:val="00A6618A"/>
    <w:rsid w:val="00A66756"/>
    <w:rsid w:val="00A66772"/>
    <w:rsid w:val="00A670FF"/>
    <w:rsid w:val="00A700D7"/>
    <w:rsid w:val="00A70DEE"/>
    <w:rsid w:val="00A70F0E"/>
    <w:rsid w:val="00A718C0"/>
    <w:rsid w:val="00A719B4"/>
    <w:rsid w:val="00A71B0A"/>
    <w:rsid w:val="00A7201D"/>
    <w:rsid w:val="00A72071"/>
    <w:rsid w:val="00A735E3"/>
    <w:rsid w:val="00A73A2A"/>
    <w:rsid w:val="00A73C8F"/>
    <w:rsid w:val="00A73D2D"/>
    <w:rsid w:val="00A73F54"/>
    <w:rsid w:val="00A746D9"/>
    <w:rsid w:val="00A74793"/>
    <w:rsid w:val="00A74CF6"/>
    <w:rsid w:val="00A754E2"/>
    <w:rsid w:val="00A7617C"/>
    <w:rsid w:val="00A76B8A"/>
    <w:rsid w:val="00A77293"/>
    <w:rsid w:val="00A773F6"/>
    <w:rsid w:val="00A774CC"/>
    <w:rsid w:val="00A77CC3"/>
    <w:rsid w:val="00A77F04"/>
    <w:rsid w:val="00A801DE"/>
    <w:rsid w:val="00A80260"/>
    <w:rsid w:val="00A80292"/>
    <w:rsid w:val="00A80BE7"/>
    <w:rsid w:val="00A80CC0"/>
    <w:rsid w:val="00A80D4B"/>
    <w:rsid w:val="00A80D87"/>
    <w:rsid w:val="00A813FA"/>
    <w:rsid w:val="00A815E1"/>
    <w:rsid w:val="00A81C71"/>
    <w:rsid w:val="00A81D64"/>
    <w:rsid w:val="00A81DFB"/>
    <w:rsid w:val="00A8299B"/>
    <w:rsid w:val="00A83D86"/>
    <w:rsid w:val="00A84DFF"/>
    <w:rsid w:val="00A84E5C"/>
    <w:rsid w:val="00A850C3"/>
    <w:rsid w:val="00A85943"/>
    <w:rsid w:val="00A85F2C"/>
    <w:rsid w:val="00A86111"/>
    <w:rsid w:val="00A862A6"/>
    <w:rsid w:val="00A862CF"/>
    <w:rsid w:val="00A86DE5"/>
    <w:rsid w:val="00A87395"/>
    <w:rsid w:val="00A903C3"/>
    <w:rsid w:val="00A90570"/>
    <w:rsid w:val="00A90B30"/>
    <w:rsid w:val="00A90CF7"/>
    <w:rsid w:val="00A90E79"/>
    <w:rsid w:val="00A91360"/>
    <w:rsid w:val="00A91897"/>
    <w:rsid w:val="00A918F9"/>
    <w:rsid w:val="00A93433"/>
    <w:rsid w:val="00A940E6"/>
    <w:rsid w:val="00A942B4"/>
    <w:rsid w:val="00A9445C"/>
    <w:rsid w:val="00A945F0"/>
    <w:rsid w:val="00A954F5"/>
    <w:rsid w:val="00A958BB"/>
    <w:rsid w:val="00A9595C"/>
    <w:rsid w:val="00A962BE"/>
    <w:rsid w:val="00A963C7"/>
    <w:rsid w:val="00A965C8"/>
    <w:rsid w:val="00A9676A"/>
    <w:rsid w:val="00A969DC"/>
    <w:rsid w:val="00A971EF"/>
    <w:rsid w:val="00A9721D"/>
    <w:rsid w:val="00A9764D"/>
    <w:rsid w:val="00A97C58"/>
    <w:rsid w:val="00AA0055"/>
    <w:rsid w:val="00AA0774"/>
    <w:rsid w:val="00AA0862"/>
    <w:rsid w:val="00AA09F9"/>
    <w:rsid w:val="00AA0CB8"/>
    <w:rsid w:val="00AA192A"/>
    <w:rsid w:val="00AA2D1F"/>
    <w:rsid w:val="00AA30B2"/>
    <w:rsid w:val="00AA33DE"/>
    <w:rsid w:val="00AA37CA"/>
    <w:rsid w:val="00AA3E37"/>
    <w:rsid w:val="00AA4026"/>
    <w:rsid w:val="00AA45E0"/>
    <w:rsid w:val="00AA4BF2"/>
    <w:rsid w:val="00AA502D"/>
    <w:rsid w:val="00AA5F37"/>
    <w:rsid w:val="00AA633E"/>
    <w:rsid w:val="00AA71DB"/>
    <w:rsid w:val="00AA7971"/>
    <w:rsid w:val="00AB0512"/>
    <w:rsid w:val="00AB0709"/>
    <w:rsid w:val="00AB21C2"/>
    <w:rsid w:val="00AB2BB1"/>
    <w:rsid w:val="00AB2C33"/>
    <w:rsid w:val="00AB2C61"/>
    <w:rsid w:val="00AB2ED3"/>
    <w:rsid w:val="00AB3462"/>
    <w:rsid w:val="00AB3F4C"/>
    <w:rsid w:val="00AB40E5"/>
    <w:rsid w:val="00AB45D5"/>
    <w:rsid w:val="00AB4C2F"/>
    <w:rsid w:val="00AB4CF4"/>
    <w:rsid w:val="00AB56D6"/>
    <w:rsid w:val="00AB70F5"/>
    <w:rsid w:val="00AB7415"/>
    <w:rsid w:val="00AB744A"/>
    <w:rsid w:val="00AB77F9"/>
    <w:rsid w:val="00AB7C67"/>
    <w:rsid w:val="00AB7D8E"/>
    <w:rsid w:val="00AC046E"/>
    <w:rsid w:val="00AC0627"/>
    <w:rsid w:val="00AC0B7A"/>
    <w:rsid w:val="00AC1C64"/>
    <w:rsid w:val="00AC1D13"/>
    <w:rsid w:val="00AC481D"/>
    <w:rsid w:val="00AC4CFF"/>
    <w:rsid w:val="00AC4F7E"/>
    <w:rsid w:val="00AC5399"/>
    <w:rsid w:val="00AC55A3"/>
    <w:rsid w:val="00AC55BF"/>
    <w:rsid w:val="00AC5746"/>
    <w:rsid w:val="00AC5F06"/>
    <w:rsid w:val="00AC5F79"/>
    <w:rsid w:val="00AC61EF"/>
    <w:rsid w:val="00AC73CA"/>
    <w:rsid w:val="00AC799F"/>
    <w:rsid w:val="00AC7B73"/>
    <w:rsid w:val="00AC7EBD"/>
    <w:rsid w:val="00AD00E7"/>
    <w:rsid w:val="00AD0355"/>
    <w:rsid w:val="00AD069B"/>
    <w:rsid w:val="00AD0DBF"/>
    <w:rsid w:val="00AD0DC8"/>
    <w:rsid w:val="00AD0FDC"/>
    <w:rsid w:val="00AD124A"/>
    <w:rsid w:val="00AD16AA"/>
    <w:rsid w:val="00AD1EC3"/>
    <w:rsid w:val="00AD28FB"/>
    <w:rsid w:val="00AD2B50"/>
    <w:rsid w:val="00AD2E21"/>
    <w:rsid w:val="00AD34D2"/>
    <w:rsid w:val="00AD3638"/>
    <w:rsid w:val="00AD3BAC"/>
    <w:rsid w:val="00AD3F2B"/>
    <w:rsid w:val="00AD56E2"/>
    <w:rsid w:val="00AD5C6F"/>
    <w:rsid w:val="00AD6654"/>
    <w:rsid w:val="00AD74D4"/>
    <w:rsid w:val="00AD757B"/>
    <w:rsid w:val="00AD7602"/>
    <w:rsid w:val="00AD7AF4"/>
    <w:rsid w:val="00AD7DF1"/>
    <w:rsid w:val="00AE054F"/>
    <w:rsid w:val="00AE1218"/>
    <w:rsid w:val="00AE1B22"/>
    <w:rsid w:val="00AE227D"/>
    <w:rsid w:val="00AE25E1"/>
    <w:rsid w:val="00AE2A20"/>
    <w:rsid w:val="00AE2F87"/>
    <w:rsid w:val="00AE33BE"/>
    <w:rsid w:val="00AE341A"/>
    <w:rsid w:val="00AE359E"/>
    <w:rsid w:val="00AE3D48"/>
    <w:rsid w:val="00AE44B9"/>
    <w:rsid w:val="00AE4687"/>
    <w:rsid w:val="00AE48E7"/>
    <w:rsid w:val="00AE4E08"/>
    <w:rsid w:val="00AE51F9"/>
    <w:rsid w:val="00AE5596"/>
    <w:rsid w:val="00AE582D"/>
    <w:rsid w:val="00AE5DA9"/>
    <w:rsid w:val="00AE666C"/>
    <w:rsid w:val="00AE6CDB"/>
    <w:rsid w:val="00AE71E7"/>
    <w:rsid w:val="00AE7503"/>
    <w:rsid w:val="00AE7818"/>
    <w:rsid w:val="00AF04D3"/>
    <w:rsid w:val="00AF1511"/>
    <w:rsid w:val="00AF2655"/>
    <w:rsid w:val="00AF2E3F"/>
    <w:rsid w:val="00AF308D"/>
    <w:rsid w:val="00AF37C6"/>
    <w:rsid w:val="00AF3968"/>
    <w:rsid w:val="00AF4458"/>
    <w:rsid w:val="00AF451C"/>
    <w:rsid w:val="00AF4849"/>
    <w:rsid w:val="00AF4E65"/>
    <w:rsid w:val="00AF4EDC"/>
    <w:rsid w:val="00AF595D"/>
    <w:rsid w:val="00AF5E83"/>
    <w:rsid w:val="00AF6062"/>
    <w:rsid w:val="00AF65B2"/>
    <w:rsid w:val="00AF6A77"/>
    <w:rsid w:val="00AF6EC6"/>
    <w:rsid w:val="00AF7310"/>
    <w:rsid w:val="00AF7857"/>
    <w:rsid w:val="00AF7CA8"/>
    <w:rsid w:val="00AF7DC9"/>
    <w:rsid w:val="00AF7DD2"/>
    <w:rsid w:val="00B00271"/>
    <w:rsid w:val="00B021FD"/>
    <w:rsid w:val="00B02B71"/>
    <w:rsid w:val="00B02F1E"/>
    <w:rsid w:val="00B03140"/>
    <w:rsid w:val="00B037E1"/>
    <w:rsid w:val="00B03ABD"/>
    <w:rsid w:val="00B03F1B"/>
    <w:rsid w:val="00B042E8"/>
    <w:rsid w:val="00B0475A"/>
    <w:rsid w:val="00B04A2A"/>
    <w:rsid w:val="00B04F41"/>
    <w:rsid w:val="00B05910"/>
    <w:rsid w:val="00B05CA8"/>
    <w:rsid w:val="00B0635A"/>
    <w:rsid w:val="00B06586"/>
    <w:rsid w:val="00B0658E"/>
    <w:rsid w:val="00B069BE"/>
    <w:rsid w:val="00B06BD6"/>
    <w:rsid w:val="00B075F7"/>
    <w:rsid w:val="00B07AD8"/>
    <w:rsid w:val="00B07B3E"/>
    <w:rsid w:val="00B07D8E"/>
    <w:rsid w:val="00B07E5C"/>
    <w:rsid w:val="00B07F46"/>
    <w:rsid w:val="00B10803"/>
    <w:rsid w:val="00B110E2"/>
    <w:rsid w:val="00B1132C"/>
    <w:rsid w:val="00B12415"/>
    <w:rsid w:val="00B12A7C"/>
    <w:rsid w:val="00B12DAF"/>
    <w:rsid w:val="00B13279"/>
    <w:rsid w:val="00B1348A"/>
    <w:rsid w:val="00B143B9"/>
    <w:rsid w:val="00B146E2"/>
    <w:rsid w:val="00B14E87"/>
    <w:rsid w:val="00B16203"/>
    <w:rsid w:val="00B16C14"/>
    <w:rsid w:val="00B171E8"/>
    <w:rsid w:val="00B175D1"/>
    <w:rsid w:val="00B178CA"/>
    <w:rsid w:val="00B17C0D"/>
    <w:rsid w:val="00B208F8"/>
    <w:rsid w:val="00B20A45"/>
    <w:rsid w:val="00B20B5F"/>
    <w:rsid w:val="00B21304"/>
    <w:rsid w:val="00B21758"/>
    <w:rsid w:val="00B21BE2"/>
    <w:rsid w:val="00B225A5"/>
    <w:rsid w:val="00B22637"/>
    <w:rsid w:val="00B22C44"/>
    <w:rsid w:val="00B243D7"/>
    <w:rsid w:val="00B2492C"/>
    <w:rsid w:val="00B253F1"/>
    <w:rsid w:val="00B2542E"/>
    <w:rsid w:val="00B257C1"/>
    <w:rsid w:val="00B25824"/>
    <w:rsid w:val="00B2596F"/>
    <w:rsid w:val="00B25DC5"/>
    <w:rsid w:val="00B25E21"/>
    <w:rsid w:val="00B26223"/>
    <w:rsid w:val="00B2628B"/>
    <w:rsid w:val="00B264AF"/>
    <w:rsid w:val="00B26634"/>
    <w:rsid w:val="00B2681C"/>
    <w:rsid w:val="00B2713A"/>
    <w:rsid w:val="00B27789"/>
    <w:rsid w:val="00B27DB0"/>
    <w:rsid w:val="00B307C8"/>
    <w:rsid w:val="00B3097E"/>
    <w:rsid w:val="00B30B3A"/>
    <w:rsid w:val="00B3182A"/>
    <w:rsid w:val="00B31D9A"/>
    <w:rsid w:val="00B32CA3"/>
    <w:rsid w:val="00B33194"/>
    <w:rsid w:val="00B33A29"/>
    <w:rsid w:val="00B33AAE"/>
    <w:rsid w:val="00B346E5"/>
    <w:rsid w:val="00B34D23"/>
    <w:rsid w:val="00B34D6C"/>
    <w:rsid w:val="00B34EDF"/>
    <w:rsid w:val="00B3593C"/>
    <w:rsid w:val="00B35B08"/>
    <w:rsid w:val="00B360CF"/>
    <w:rsid w:val="00B36428"/>
    <w:rsid w:val="00B36594"/>
    <w:rsid w:val="00B36BC1"/>
    <w:rsid w:val="00B3726A"/>
    <w:rsid w:val="00B374F8"/>
    <w:rsid w:val="00B3764A"/>
    <w:rsid w:val="00B3794B"/>
    <w:rsid w:val="00B40032"/>
    <w:rsid w:val="00B40688"/>
    <w:rsid w:val="00B40BA0"/>
    <w:rsid w:val="00B4160C"/>
    <w:rsid w:val="00B419CC"/>
    <w:rsid w:val="00B41D50"/>
    <w:rsid w:val="00B41E8E"/>
    <w:rsid w:val="00B41FC4"/>
    <w:rsid w:val="00B42110"/>
    <w:rsid w:val="00B42115"/>
    <w:rsid w:val="00B42C8E"/>
    <w:rsid w:val="00B44258"/>
    <w:rsid w:val="00B4426C"/>
    <w:rsid w:val="00B447FD"/>
    <w:rsid w:val="00B450B5"/>
    <w:rsid w:val="00B451DE"/>
    <w:rsid w:val="00B45353"/>
    <w:rsid w:val="00B45410"/>
    <w:rsid w:val="00B45A4B"/>
    <w:rsid w:val="00B45E18"/>
    <w:rsid w:val="00B477CB"/>
    <w:rsid w:val="00B47F84"/>
    <w:rsid w:val="00B5026C"/>
    <w:rsid w:val="00B50718"/>
    <w:rsid w:val="00B50E3F"/>
    <w:rsid w:val="00B5179E"/>
    <w:rsid w:val="00B52229"/>
    <w:rsid w:val="00B5241A"/>
    <w:rsid w:val="00B53005"/>
    <w:rsid w:val="00B533B6"/>
    <w:rsid w:val="00B54205"/>
    <w:rsid w:val="00B54540"/>
    <w:rsid w:val="00B54CB2"/>
    <w:rsid w:val="00B54CCA"/>
    <w:rsid w:val="00B55C30"/>
    <w:rsid w:val="00B56175"/>
    <w:rsid w:val="00B57120"/>
    <w:rsid w:val="00B57402"/>
    <w:rsid w:val="00B579B4"/>
    <w:rsid w:val="00B60650"/>
    <w:rsid w:val="00B60A43"/>
    <w:rsid w:val="00B60F12"/>
    <w:rsid w:val="00B6125B"/>
    <w:rsid w:val="00B61437"/>
    <w:rsid w:val="00B61758"/>
    <w:rsid w:val="00B617E2"/>
    <w:rsid w:val="00B61DCE"/>
    <w:rsid w:val="00B61F3F"/>
    <w:rsid w:val="00B6269F"/>
    <w:rsid w:val="00B634A1"/>
    <w:rsid w:val="00B635B0"/>
    <w:rsid w:val="00B63B1E"/>
    <w:rsid w:val="00B63E13"/>
    <w:rsid w:val="00B6402D"/>
    <w:rsid w:val="00B642C6"/>
    <w:rsid w:val="00B64454"/>
    <w:rsid w:val="00B64478"/>
    <w:rsid w:val="00B64568"/>
    <w:rsid w:val="00B64688"/>
    <w:rsid w:val="00B651D7"/>
    <w:rsid w:val="00B6544D"/>
    <w:rsid w:val="00B65574"/>
    <w:rsid w:val="00B6565A"/>
    <w:rsid w:val="00B6679F"/>
    <w:rsid w:val="00B676AA"/>
    <w:rsid w:val="00B67747"/>
    <w:rsid w:val="00B70448"/>
    <w:rsid w:val="00B704D3"/>
    <w:rsid w:val="00B709AF"/>
    <w:rsid w:val="00B70E56"/>
    <w:rsid w:val="00B71128"/>
    <w:rsid w:val="00B71DAD"/>
    <w:rsid w:val="00B7210B"/>
    <w:rsid w:val="00B72159"/>
    <w:rsid w:val="00B7234F"/>
    <w:rsid w:val="00B72655"/>
    <w:rsid w:val="00B72A3E"/>
    <w:rsid w:val="00B72BAE"/>
    <w:rsid w:val="00B72BDA"/>
    <w:rsid w:val="00B7326B"/>
    <w:rsid w:val="00B74CAF"/>
    <w:rsid w:val="00B75397"/>
    <w:rsid w:val="00B756BE"/>
    <w:rsid w:val="00B75FEC"/>
    <w:rsid w:val="00B7602B"/>
    <w:rsid w:val="00B764CD"/>
    <w:rsid w:val="00B76763"/>
    <w:rsid w:val="00B7678E"/>
    <w:rsid w:val="00B768BD"/>
    <w:rsid w:val="00B768BF"/>
    <w:rsid w:val="00B769C5"/>
    <w:rsid w:val="00B770F2"/>
    <w:rsid w:val="00B77892"/>
    <w:rsid w:val="00B77D45"/>
    <w:rsid w:val="00B80432"/>
    <w:rsid w:val="00B80906"/>
    <w:rsid w:val="00B8117B"/>
    <w:rsid w:val="00B8155A"/>
    <w:rsid w:val="00B81A3F"/>
    <w:rsid w:val="00B81A95"/>
    <w:rsid w:val="00B82A82"/>
    <w:rsid w:val="00B82C75"/>
    <w:rsid w:val="00B82CC8"/>
    <w:rsid w:val="00B83320"/>
    <w:rsid w:val="00B833AD"/>
    <w:rsid w:val="00B83612"/>
    <w:rsid w:val="00B83CB2"/>
    <w:rsid w:val="00B83F29"/>
    <w:rsid w:val="00B84316"/>
    <w:rsid w:val="00B84345"/>
    <w:rsid w:val="00B844F4"/>
    <w:rsid w:val="00B845E6"/>
    <w:rsid w:val="00B85057"/>
    <w:rsid w:val="00B8594C"/>
    <w:rsid w:val="00B85A2D"/>
    <w:rsid w:val="00B85B7B"/>
    <w:rsid w:val="00B85BCA"/>
    <w:rsid w:val="00B85F0B"/>
    <w:rsid w:val="00B85FC8"/>
    <w:rsid w:val="00B85FE9"/>
    <w:rsid w:val="00B86039"/>
    <w:rsid w:val="00B860E6"/>
    <w:rsid w:val="00B86131"/>
    <w:rsid w:val="00B866CF"/>
    <w:rsid w:val="00B86876"/>
    <w:rsid w:val="00B90824"/>
    <w:rsid w:val="00B90AAE"/>
    <w:rsid w:val="00B91472"/>
    <w:rsid w:val="00B91FA4"/>
    <w:rsid w:val="00B92451"/>
    <w:rsid w:val="00B9277F"/>
    <w:rsid w:val="00B92D53"/>
    <w:rsid w:val="00B92F3C"/>
    <w:rsid w:val="00B93727"/>
    <w:rsid w:val="00B93A05"/>
    <w:rsid w:val="00B93ACE"/>
    <w:rsid w:val="00B93C29"/>
    <w:rsid w:val="00B93D61"/>
    <w:rsid w:val="00B945A8"/>
    <w:rsid w:val="00B9500E"/>
    <w:rsid w:val="00B952E8"/>
    <w:rsid w:val="00B955D3"/>
    <w:rsid w:val="00B955FA"/>
    <w:rsid w:val="00B95AEE"/>
    <w:rsid w:val="00B95EE3"/>
    <w:rsid w:val="00B966BB"/>
    <w:rsid w:val="00B9743B"/>
    <w:rsid w:val="00B97D74"/>
    <w:rsid w:val="00BA0963"/>
    <w:rsid w:val="00BA09B5"/>
    <w:rsid w:val="00BA11C9"/>
    <w:rsid w:val="00BA14D9"/>
    <w:rsid w:val="00BA16A9"/>
    <w:rsid w:val="00BA174A"/>
    <w:rsid w:val="00BA241F"/>
    <w:rsid w:val="00BA2D99"/>
    <w:rsid w:val="00BA2E33"/>
    <w:rsid w:val="00BA2EC5"/>
    <w:rsid w:val="00BA35E1"/>
    <w:rsid w:val="00BA36B9"/>
    <w:rsid w:val="00BA3805"/>
    <w:rsid w:val="00BA388B"/>
    <w:rsid w:val="00BA3A7A"/>
    <w:rsid w:val="00BA3AF0"/>
    <w:rsid w:val="00BA3CE6"/>
    <w:rsid w:val="00BA3EEB"/>
    <w:rsid w:val="00BA433A"/>
    <w:rsid w:val="00BA44EB"/>
    <w:rsid w:val="00BA490F"/>
    <w:rsid w:val="00BA4B91"/>
    <w:rsid w:val="00BA4FDC"/>
    <w:rsid w:val="00BA5003"/>
    <w:rsid w:val="00BA50FE"/>
    <w:rsid w:val="00BA5511"/>
    <w:rsid w:val="00BA586D"/>
    <w:rsid w:val="00BA5F11"/>
    <w:rsid w:val="00BA5F1E"/>
    <w:rsid w:val="00BA5FBC"/>
    <w:rsid w:val="00BA69B7"/>
    <w:rsid w:val="00BA6F74"/>
    <w:rsid w:val="00BA6FC4"/>
    <w:rsid w:val="00BB0710"/>
    <w:rsid w:val="00BB0B7E"/>
    <w:rsid w:val="00BB14A2"/>
    <w:rsid w:val="00BB1E74"/>
    <w:rsid w:val="00BB232E"/>
    <w:rsid w:val="00BB2404"/>
    <w:rsid w:val="00BB290E"/>
    <w:rsid w:val="00BB387B"/>
    <w:rsid w:val="00BB3B3A"/>
    <w:rsid w:val="00BB3C27"/>
    <w:rsid w:val="00BB3CCE"/>
    <w:rsid w:val="00BB3E26"/>
    <w:rsid w:val="00BB43AC"/>
    <w:rsid w:val="00BB4AD8"/>
    <w:rsid w:val="00BB4E7E"/>
    <w:rsid w:val="00BB4FFD"/>
    <w:rsid w:val="00BB5133"/>
    <w:rsid w:val="00BB5337"/>
    <w:rsid w:val="00BB69CB"/>
    <w:rsid w:val="00BB6FA2"/>
    <w:rsid w:val="00BB714C"/>
    <w:rsid w:val="00BB74F1"/>
    <w:rsid w:val="00BB79AE"/>
    <w:rsid w:val="00BB7A07"/>
    <w:rsid w:val="00BC05D6"/>
    <w:rsid w:val="00BC06FF"/>
    <w:rsid w:val="00BC0902"/>
    <w:rsid w:val="00BC0B25"/>
    <w:rsid w:val="00BC0F3D"/>
    <w:rsid w:val="00BC10BB"/>
    <w:rsid w:val="00BC24FB"/>
    <w:rsid w:val="00BC2895"/>
    <w:rsid w:val="00BC2923"/>
    <w:rsid w:val="00BC370A"/>
    <w:rsid w:val="00BC38C5"/>
    <w:rsid w:val="00BC3918"/>
    <w:rsid w:val="00BC391C"/>
    <w:rsid w:val="00BC3D6E"/>
    <w:rsid w:val="00BC3DF7"/>
    <w:rsid w:val="00BC4165"/>
    <w:rsid w:val="00BC423D"/>
    <w:rsid w:val="00BC5EEC"/>
    <w:rsid w:val="00BC68A2"/>
    <w:rsid w:val="00BC7677"/>
    <w:rsid w:val="00BC7C26"/>
    <w:rsid w:val="00BC7D33"/>
    <w:rsid w:val="00BD04A3"/>
    <w:rsid w:val="00BD0665"/>
    <w:rsid w:val="00BD087B"/>
    <w:rsid w:val="00BD13F7"/>
    <w:rsid w:val="00BD1DB1"/>
    <w:rsid w:val="00BD1E78"/>
    <w:rsid w:val="00BD2981"/>
    <w:rsid w:val="00BD2A5F"/>
    <w:rsid w:val="00BD34F9"/>
    <w:rsid w:val="00BD36A0"/>
    <w:rsid w:val="00BD3761"/>
    <w:rsid w:val="00BD4136"/>
    <w:rsid w:val="00BD4742"/>
    <w:rsid w:val="00BD4F30"/>
    <w:rsid w:val="00BD55CA"/>
    <w:rsid w:val="00BD5B0F"/>
    <w:rsid w:val="00BD5C7C"/>
    <w:rsid w:val="00BD5C7F"/>
    <w:rsid w:val="00BD5D5E"/>
    <w:rsid w:val="00BD651C"/>
    <w:rsid w:val="00BD6665"/>
    <w:rsid w:val="00BD6A02"/>
    <w:rsid w:val="00BD723D"/>
    <w:rsid w:val="00BD740F"/>
    <w:rsid w:val="00BD743A"/>
    <w:rsid w:val="00BD76B9"/>
    <w:rsid w:val="00BE145B"/>
    <w:rsid w:val="00BE1EA1"/>
    <w:rsid w:val="00BE215D"/>
    <w:rsid w:val="00BE2266"/>
    <w:rsid w:val="00BE3169"/>
    <w:rsid w:val="00BE372B"/>
    <w:rsid w:val="00BE3C82"/>
    <w:rsid w:val="00BE42CE"/>
    <w:rsid w:val="00BE4470"/>
    <w:rsid w:val="00BE4A73"/>
    <w:rsid w:val="00BE4C10"/>
    <w:rsid w:val="00BE4F3A"/>
    <w:rsid w:val="00BE4F3C"/>
    <w:rsid w:val="00BE5095"/>
    <w:rsid w:val="00BE60D7"/>
    <w:rsid w:val="00BE6570"/>
    <w:rsid w:val="00BE65EB"/>
    <w:rsid w:val="00BE66B9"/>
    <w:rsid w:val="00BE6AE1"/>
    <w:rsid w:val="00BE73E7"/>
    <w:rsid w:val="00BE7460"/>
    <w:rsid w:val="00BF00D5"/>
    <w:rsid w:val="00BF0CB0"/>
    <w:rsid w:val="00BF0F82"/>
    <w:rsid w:val="00BF10BC"/>
    <w:rsid w:val="00BF12DB"/>
    <w:rsid w:val="00BF2180"/>
    <w:rsid w:val="00BF2259"/>
    <w:rsid w:val="00BF22E4"/>
    <w:rsid w:val="00BF28C6"/>
    <w:rsid w:val="00BF2C6E"/>
    <w:rsid w:val="00BF2D68"/>
    <w:rsid w:val="00BF32AC"/>
    <w:rsid w:val="00BF36C0"/>
    <w:rsid w:val="00BF3B69"/>
    <w:rsid w:val="00BF3B73"/>
    <w:rsid w:val="00BF3BCB"/>
    <w:rsid w:val="00BF3D1E"/>
    <w:rsid w:val="00BF4064"/>
    <w:rsid w:val="00BF4715"/>
    <w:rsid w:val="00BF4CAB"/>
    <w:rsid w:val="00BF5189"/>
    <w:rsid w:val="00BF58F8"/>
    <w:rsid w:val="00BF5E46"/>
    <w:rsid w:val="00BF5F7C"/>
    <w:rsid w:val="00BF6493"/>
    <w:rsid w:val="00BF6604"/>
    <w:rsid w:val="00BF6901"/>
    <w:rsid w:val="00BF745F"/>
    <w:rsid w:val="00BF75FC"/>
    <w:rsid w:val="00BF7EE0"/>
    <w:rsid w:val="00C00149"/>
    <w:rsid w:val="00C0095D"/>
    <w:rsid w:val="00C013DD"/>
    <w:rsid w:val="00C01FDD"/>
    <w:rsid w:val="00C021BF"/>
    <w:rsid w:val="00C02AFE"/>
    <w:rsid w:val="00C03257"/>
    <w:rsid w:val="00C03A4E"/>
    <w:rsid w:val="00C03FA4"/>
    <w:rsid w:val="00C04201"/>
    <w:rsid w:val="00C047C4"/>
    <w:rsid w:val="00C04BA1"/>
    <w:rsid w:val="00C04D44"/>
    <w:rsid w:val="00C04FA8"/>
    <w:rsid w:val="00C04FFE"/>
    <w:rsid w:val="00C06175"/>
    <w:rsid w:val="00C069EA"/>
    <w:rsid w:val="00C07023"/>
    <w:rsid w:val="00C07AE7"/>
    <w:rsid w:val="00C07C34"/>
    <w:rsid w:val="00C1010A"/>
    <w:rsid w:val="00C10F00"/>
    <w:rsid w:val="00C1134D"/>
    <w:rsid w:val="00C11A97"/>
    <w:rsid w:val="00C11D5E"/>
    <w:rsid w:val="00C11D98"/>
    <w:rsid w:val="00C1255B"/>
    <w:rsid w:val="00C12C6B"/>
    <w:rsid w:val="00C130FD"/>
    <w:rsid w:val="00C13260"/>
    <w:rsid w:val="00C13C8F"/>
    <w:rsid w:val="00C13CED"/>
    <w:rsid w:val="00C14751"/>
    <w:rsid w:val="00C15032"/>
    <w:rsid w:val="00C151D6"/>
    <w:rsid w:val="00C159BC"/>
    <w:rsid w:val="00C15EDE"/>
    <w:rsid w:val="00C167B8"/>
    <w:rsid w:val="00C16CCE"/>
    <w:rsid w:val="00C16CEC"/>
    <w:rsid w:val="00C1733B"/>
    <w:rsid w:val="00C17B2A"/>
    <w:rsid w:val="00C17B59"/>
    <w:rsid w:val="00C20503"/>
    <w:rsid w:val="00C2069F"/>
    <w:rsid w:val="00C20B55"/>
    <w:rsid w:val="00C212BF"/>
    <w:rsid w:val="00C213AB"/>
    <w:rsid w:val="00C213B1"/>
    <w:rsid w:val="00C2168D"/>
    <w:rsid w:val="00C216C5"/>
    <w:rsid w:val="00C2175B"/>
    <w:rsid w:val="00C218DB"/>
    <w:rsid w:val="00C21C00"/>
    <w:rsid w:val="00C22B92"/>
    <w:rsid w:val="00C22EF5"/>
    <w:rsid w:val="00C22FB5"/>
    <w:rsid w:val="00C23412"/>
    <w:rsid w:val="00C234B0"/>
    <w:rsid w:val="00C23935"/>
    <w:rsid w:val="00C23D0C"/>
    <w:rsid w:val="00C246FA"/>
    <w:rsid w:val="00C24D7C"/>
    <w:rsid w:val="00C24E98"/>
    <w:rsid w:val="00C255EA"/>
    <w:rsid w:val="00C25681"/>
    <w:rsid w:val="00C261B8"/>
    <w:rsid w:val="00C26BF0"/>
    <w:rsid w:val="00C26C3F"/>
    <w:rsid w:val="00C2716C"/>
    <w:rsid w:val="00C273DA"/>
    <w:rsid w:val="00C277B4"/>
    <w:rsid w:val="00C27B24"/>
    <w:rsid w:val="00C27FEE"/>
    <w:rsid w:val="00C3018D"/>
    <w:rsid w:val="00C309A9"/>
    <w:rsid w:val="00C30B3D"/>
    <w:rsid w:val="00C30B95"/>
    <w:rsid w:val="00C31458"/>
    <w:rsid w:val="00C31520"/>
    <w:rsid w:val="00C316B5"/>
    <w:rsid w:val="00C321D1"/>
    <w:rsid w:val="00C32EE0"/>
    <w:rsid w:val="00C333E8"/>
    <w:rsid w:val="00C335CA"/>
    <w:rsid w:val="00C3392F"/>
    <w:rsid w:val="00C33B59"/>
    <w:rsid w:val="00C33DAE"/>
    <w:rsid w:val="00C3408F"/>
    <w:rsid w:val="00C342BA"/>
    <w:rsid w:val="00C3482D"/>
    <w:rsid w:val="00C3565F"/>
    <w:rsid w:val="00C35FDB"/>
    <w:rsid w:val="00C364A0"/>
    <w:rsid w:val="00C36D18"/>
    <w:rsid w:val="00C36E76"/>
    <w:rsid w:val="00C36FC6"/>
    <w:rsid w:val="00C37367"/>
    <w:rsid w:val="00C37A7D"/>
    <w:rsid w:val="00C402AC"/>
    <w:rsid w:val="00C40352"/>
    <w:rsid w:val="00C404C3"/>
    <w:rsid w:val="00C406B9"/>
    <w:rsid w:val="00C4158C"/>
    <w:rsid w:val="00C41919"/>
    <w:rsid w:val="00C419DF"/>
    <w:rsid w:val="00C41A6F"/>
    <w:rsid w:val="00C41AA8"/>
    <w:rsid w:val="00C41C4D"/>
    <w:rsid w:val="00C42C9A"/>
    <w:rsid w:val="00C42EC2"/>
    <w:rsid w:val="00C44938"/>
    <w:rsid w:val="00C44B66"/>
    <w:rsid w:val="00C453D6"/>
    <w:rsid w:val="00C457AE"/>
    <w:rsid w:val="00C4619C"/>
    <w:rsid w:val="00C46A1E"/>
    <w:rsid w:val="00C46B65"/>
    <w:rsid w:val="00C46BA4"/>
    <w:rsid w:val="00C46D43"/>
    <w:rsid w:val="00C46E6F"/>
    <w:rsid w:val="00C47208"/>
    <w:rsid w:val="00C47415"/>
    <w:rsid w:val="00C47A61"/>
    <w:rsid w:val="00C5006F"/>
    <w:rsid w:val="00C50A48"/>
    <w:rsid w:val="00C50ABA"/>
    <w:rsid w:val="00C5109F"/>
    <w:rsid w:val="00C510B8"/>
    <w:rsid w:val="00C51134"/>
    <w:rsid w:val="00C5123B"/>
    <w:rsid w:val="00C51D71"/>
    <w:rsid w:val="00C52022"/>
    <w:rsid w:val="00C536BD"/>
    <w:rsid w:val="00C53754"/>
    <w:rsid w:val="00C537A8"/>
    <w:rsid w:val="00C53F72"/>
    <w:rsid w:val="00C5402A"/>
    <w:rsid w:val="00C5425D"/>
    <w:rsid w:val="00C54905"/>
    <w:rsid w:val="00C5549D"/>
    <w:rsid w:val="00C55B7A"/>
    <w:rsid w:val="00C5614C"/>
    <w:rsid w:val="00C563D1"/>
    <w:rsid w:val="00C56B62"/>
    <w:rsid w:val="00C57880"/>
    <w:rsid w:val="00C603A8"/>
    <w:rsid w:val="00C60E6E"/>
    <w:rsid w:val="00C6183A"/>
    <w:rsid w:val="00C6183B"/>
    <w:rsid w:val="00C622F4"/>
    <w:rsid w:val="00C623FF"/>
    <w:rsid w:val="00C625FD"/>
    <w:rsid w:val="00C6279B"/>
    <w:rsid w:val="00C629E6"/>
    <w:rsid w:val="00C62F1B"/>
    <w:rsid w:val="00C6338C"/>
    <w:rsid w:val="00C63B19"/>
    <w:rsid w:val="00C63BE3"/>
    <w:rsid w:val="00C63DC9"/>
    <w:rsid w:val="00C63E98"/>
    <w:rsid w:val="00C640DA"/>
    <w:rsid w:val="00C6414D"/>
    <w:rsid w:val="00C646B9"/>
    <w:rsid w:val="00C64DA5"/>
    <w:rsid w:val="00C64E70"/>
    <w:rsid w:val="00C64EEC"/>
    <w:rsid w:val="00C65377"/>
    <w:rsid w:val="00C65448"/>
    <w:rsid w:val="00C65F3F"/>
    <w:rsid w:val="00C66EB9"/>
    <w:rsid w:val="00C67055"/>
    <w:rsid w:val="00C67082"/>
    <w:rsid w:val="00C67738"/>
    <w:rsid w:val="00C6790E"/>
    <w:rsid w:val="00C67A0A"/>
    <w:rsid w:val="00C67B20"/>
    <w:rsid w:val="00C67DA4"/>
    <w:rsid w:val="00C67E85"/>
    <w:rsid w:val="00C70A04"/>
    <w:rsid w:val="00C70A4D"/>
    <w:rsid w:val="00C71628"/>
    <w:rsid w:val="00C71A2A"/>
    <w:rsid w:val="00C726AC"/>
    <w:rsid w:val="00C72CD9"/>
    <w:rsid w:val="00C72D86"/>
    <w:rsid w:val="00C7340A"/>
    <w:rsid w:val="00C73512"/>
    <w:rsid w:val="00C73567"/>
    <w:rsid w:val="00C73C71"/>
    <w:rsid w:val="00C73E4C"/>
    <w:rsid w:val="00C740C2"/>
    <w:rsid w:val="00C742F8"/>
    <w:rsid w:val="00C7456C"/>
    <w:rsid w:val="00C748A9"/>
    <w:rsid w:val="00C75541"/>
    <w:rsid w:val="00C75DCA"/>
    <w:rsid w:val="00C769D7"/>
    <w:rsid w:val="00C7704D"/>
    <w:rsid w:val="00C773D6"/>
    <w:rsid w:val="00C80CAD"/>
    <w:rsid w:val="00C81CC5"/>
    <w:rsid w:val="00C81FC2"/>
    <w:rsid w:val="00C823A0"/>
    <w:rsid w:val="00C8244B"/>
    <w:rsid w:val="00C8276F"/>
    <w:rsid w:val="00C82C1F"/>
    <w:rsid w:val="00C82DBF"/>
    <w:rsid w:val="00C8396E"/>
    <w:rsid w:val="00C83F1F"/>
    <w:rsid w:val="00C8447A"/>
    <w:rsid w:val="00C84481"/>
    <w:rsid w:val="00C84809"/>
    <w:rsid w:val="00C84A86"/>
    <w:rsid w:val="00C84B01"/>
    <w:rsid w:val="00C84B9C"/>
    <w:rsid w:val="00C85906"/>
    <w:rsid w:val="00C85DC1"/>
    <w:rsid w:val="00C864BA"/>
    <w:rsid w:val="00C864F8"/>
    <w:rsid w:val="00C86778"/>
    <w:rsid w:val="00C86B05"/>
    <w:rsid w:val="00C87553"/>
    <w:rsid w:val="00C87654"/>
    <w:rsid w:val="00C87A7A"/>
    <w:rsid w:val="00C90327"/>
    <w:rsid w:val="00C904A0"/>
    <w:rsid w:val="00C905CB"/>
    <w:rsid w:val="00C90713"/>
    <w:rsid w:val="00C90997"/>
    <w:rsid w:val="00C90BF9"/>
    <w:rsid w:val="00C90C83"/>
    <w:rsid w:val="00C91322"/>
    <w:rsid w:val="00C9134A"/>
    <w:rsid w:val="00C91906"/>
    <w:rsid w:val="00C919AD"/>
    <w:rsid w:val="00C92B9B"/>
    <w:rsid w:val="00C92F2A"/>
    <w:rsid w:val="00C9394D"/>
    <w:rsid w:val="00C93FB7"/>
    <w:rsid w:val="00C94D51"/>
    <w:rsid w:val="00C95558"/>
    <w:rsid w:val="00C95818"/>
    <w:rsid w:val="00C95B91"/>
    <w:rsid w:val="00C95F72"/>
    <w:rsid w:val="00C96010"/>
    <w:rsid w:val="00C96031"/>
    <w:rsid w:val="00C96639"/>
    <w:rsid w:val="00C96BDC"/>
    <w:rsid w:val="00C96D4E"/>
    <w:rsid w:val="00C96D60"/>
    <w:rsid w:val="00C97DA8"/>
    <w:rsid w:val="00CA06AE"/>
    <w:rsid w:val="00CA095C"/>
    <w:rsid w:val="00CA10E0"/>
    <w:rsid w:val="00CA1864"/>
    <w:rsid w:val="00CA1DC7"/>
    <w:rsid w:val="00CA2181"/>
    <w:rsid w:val="00CA27BF"/>
    <w:rsid w:val="00CA2D32"/>
    <w:rsid w:val="00CA32EE"/>
    <w:rsid w:val="00CA43B7"/>
    <w:rsid w:val="00CA44F3"/>
    <w:rsid w:val="00CA5327"/>
    <w:rsid w:val="00CA5CC6"/>
    <w:rsid w:val="00CA643B"/>
    <w:rsid w:val="00CA6884"/>
    <w:rsid w:val="00CA6B89"/>
    <w:rsid w:val="00CA6F6C"/>
    <w:rsid w:val="00CA70F4"/>
    <w:rsid w:val="00CB0097"/>
    <w:rsid w:val="00CB0C80"/>
    <w:rsid w:val="00CB2011"/>
    <w:rsid w:val="00CB29B6"/>
    <w:rsid w:val="00CB2E5A"/>
    <w:rsid w:val="00CB31BB"/>
    <w:rsid w:val="00CB35EE"/>
    <w:rsid w:val="00CB3A49"/>
    <w:rsid w:val="00CB4815"/>
    <w:rsid w:val="00CB4ABB"/>
    <w:rsid w:val="00CB4CE1"/>
    <w:rsid w:val="00CB4F8A"/>
    <w:rsid w:val="00CB5191"/>
    <w:rsid w:val="00CB5589"/>
    <w:rsid w:val="00CB5625"/>
    <w:rsid w:val="00CB5654"/>
    <w:rsid w:val="00CB578A"/>
    <w:rsid w:val="00CB589D"/>
    <w:rsid w:val="00CB6439"/>
    <w:rsid w:val="00CB74E0"/>
    <w:rsid w:val="00CB75F0"/>
    <w:rsid w:val="00CB7CD7"/>
    <w:rsid w:val="00CC12D7"/>
    <w:rsid w:val="00CC1600"/>
    <w:rsid w:val="00CC1AD1"/>
    <w:rsid w:val="00CC1BA4"/>
    <w:rsid w:val="00CC25F4"/>
    <w:rsid w:val="00CC2995"/>
    <w:rsid w:val="00CC3068"/>
    <w:rsid w:val="00CC3E4D"/>
    <w:rsid w:val="00CC4E6A"/>
    <w:rsid w:val="00CC5156"/>
    <w:rsid w:val="00CC7045"/>
    <w:rsid w:val="00CC75F4"/>
    <w:rsid w:val="00CC768A"/>
    <w:rsid w:val="00CC785A"/>
    <w:rsid w:val="00CC7B38"/>
    <w:rsid w:val="00CC7F1E"/>
    <w:rsid w:val="00CC7F55"/>
    <w:rsid w:val="00CD04DB"/>
    <w:rsid w:val="00CD1266"/>
    <w:rsid w:val="00CD12DD"/>
    <w:rsid w:val="00CD27A2"/>
    <w:rsid w:val="00CD2DEC"/>
    <w:rsid w:val="00CD329F"/>
    <w:rsid w:val="00CD3336"/>
    <w:rsid w:val="00CD3403"/>
    <w:rsid w:val="00CD34FC"/>
    <w:rsid w:val="00CD39D9"/>
    <w:rsid w:val="00CD3C98"/>
    <w:rsid w:val="00CD3E97"/>
    <w:rsid w:val="00CD424D"/>
    <w:rsid w:val="00CD50EA"/>
    <w:rsid w:val="00CD5157"/>
    <w:rsid w:val="00CD5444"/>
    <w:rsid w:val="00CD590D"/>
    <w:rsid w:val="00CD5918"/>
    <w:rsid w:val="00CD59F8"/>
    <w:rsid w:val="00CD5B1A"/>
    <w:rsid w:val="00CD61FE"/>
    <w:rsid w:val="00CD690B"/>
    <w:rsid w:val="00CD7750"/>
    <w:rsid w:val="00CD7E49"/>
    <w:rsid w:val="00CE04D7"/>
    <w:rsid w:val="00CE0E18"/>
    <w:rsid w:val="00CE1159"/>
    <w:rsid w:val="00CE125F"/>
    <w:rsid w:val="00CE1A95"/>
    <w:rsid w:val="00CE1ED1"/>
    <w:rsid w:val="00CE22A4"/>
    <w:rsid w:val="00CE33F7"/>
    <w:rsid w:val="00CE391F"/>
    <w:rsid w:val="00CE3A71"/>
    <w:rsid w:val="00CE3AA6"/>
    <w:rsid w:val="00CE4191"/>
    <w:rsid w:val="00CE4BA6"/>
    <w:rsid w:val="00CE4D3D"/>
    <w:rsid w:val="00CE4E4E"/>
    <w:rsid w:val="00CE5043"/>
    <w:rsid w:val="00CE5087"/>
    <w:rsid w:val="00CE54B7"/>
    <w:rsid w:val="00CE5716"/>
    <w:rsid w:val="00CE5F72"/>
    <w:rsid w:val="00CE60E6"/>
    <w:rsid w:val="00CE66BB"/>
    <w:rsid w:val="00CE6766"/>
    <w:rsid w:val="00CE6D78"/>
    <w:rsid w:val="00CE7E50"/>
    <w:rsid w:val="00CE7EAC"/>
    <w:rsid w:val="00CF0101"/>
    <w:rsid w:val="00CF0AEC"/>
    <w:rsid w:val="00CF1538"/>
    <w:rsid w:val="00CF18E1"/>
    <w:rsid w:val="00CF1CF2"/>
    <w:rsid w:val="00CF1D7C"/>
    <w:rsid w:val="00CF275D"/>
    <w:rsid w:val="00CF2D13"/>
    <w:rsid w:val="00CF2D2D"/>
    <w:rsid w:val="00CF31E8"/>
    <w:rsid w:val="00CF33EF"/>
    <w:rsid w:val="00CF4363"/>
    <w:rsid w:val="00CF4A73"/>
    <w:rsid w:val="00CF50C3"/>
    <w:rsid w:val="00CF589E"/>
    <w:rsid w:val="00CF5FD4"/>
    <w:rsid w:val="00CF5FDE"/>
    <w:rsid w:val="00CF60F9"/>
    <w:rsid w:val="00CF64E7"/>
    <w:rsid w:val="00CF687D"/>
    <w:rsid w:val="00CF728F"/>
    <w:rsid w:val="00CF7327"/>
    <w:rsid w:val="00CF74F7"/>
    <w:rsid w:val="00CF75FF"/>
    <w:rsid w:val="00CF78F5"/>
    <w:rsid w:val="00CF7F97"/>
    <w:rsid w:val="00CF7FCA"/>
    <w:rsid w:val="00D0020E"/>
    <w:rsid w:val="00D003CE"/>
    <w:rsid w:val="00D007E2"/>
    <w:rsid w:val="00D00B71"/>
    <w:rsid w:val="00D00BC7"/>
    <w:rsid w:val="00D011FE"/>
    <w:rsid w:val="00D012D8"/>
    <w:rsid w:val="00D01695"/>
    <w:rsid w:val="00D01D10"/>
    <w:rsid w:val="00D02BB9"/>
    <w:rsid w:val="00D034CD"/>
    <w:rsid w:val="00D0356A"/>
    <w:rsid w:val="00D03FF6"/>
    <w:rsid w:val="00D04446"/>
    <w:rsid w:val="00D04CE9"/>
    <w:rsid w:val="00D04F30"/>
    <w:rsid w:val="00D0508C"/>
    <w:rsid w:val="00D05324"/>
    <w:rsid w:val="00D05BB6"/>
    <w:rsid w:val="00D06912"/>
    <w:rsid w:val="00D06AB6"/>
    <w:rsid w:val="00D0700F"/>
    <w:rsid w:val="00D07355"/>
    <w:rsid w:val="00D07A73"/>
    <w:rsid w:val="00D10D68"/>
    <w:rsid w:val="00D11177"/>
    <w:rsid w:val="00D112FB"/>
    <w:rsid w:val="00D11435"/>
    <w:rsid w:val="00D11751"/>
    <w:rsid w:val="00D1181C"/>
    <w:rsid w:val="00D12113"/>
    <w:rsid w:val="00D1225A"/>
    <w:rsid w:val="00D1227F"/>
    <w:rsid w:val="00D1296B"/>
    <w:rsid w:val="00D12BCC"/>
    <w:rsid w:val="00D13150"/>
    <w:rsid w:val="00D13329"/>
    <w:rsid w:val="00D139E7"/>
    <w:rsid w:val="00D13E5C"/>
    <w:rsid w:val="00D1430A"/>
    <w:rsid w:val="00D1599A"/>
    <w:rsid w:val="00D15B39"/>
    <w:rsid w:val="00D15ED2"/>
    <w:rsid w:val="00D1606F"/>
    <w:rsid w:val="00D16308"/>
    <w:rsid w:val="00D170DB"/>
    <w:rsid w:val="00D174D6"/>
    <w:rsid w:val="00D174DD"/>
    <w:rsid w:val="00D17615"/>
    <w:rsid w:val="00D17AB6"/>
    <w:rsid w:val="00D200E6"/>
    <w:rsid w:val="00D200FA"/>
    <w:rsid w:val="00D204D8"/>
    <w:rsid w:val="00D207E8"/>
    <w:rsid w:val="00D20AB3"/>
    <w:rsid w:val="00D20FD5"/>
    <w:rsid w:val="00D21286"/>
    <w:rsid w:val="00D2184E"/>
    <w:rsid w:val="00D22154"/>
    <w:rsid w:val="00D22797"/>
    <w:rsid w:val="00D23346"/>
    <w:rsid w:val="00D23473"/>
    <w:rsid w:val="00D238D8"/>
    <w:rsid w:val="00D23B2F"/>
    <w:rsid w:val="00D24082"/>
    <w:rsid w:val="00D24711"/>
    <w:rsid w:val="00D24F6D"/>
    <w:rsid w:val="00D2533F"/>
    <w:rsid w:val="00D25376"/>
    <w:rsid w:val="00D271C1"/>
    <w:rsid w:val="00D2731F"/>
    <w:rsid w:val="00D27F02"/>
    <w:rsid w:val="00D30479"/>
    <w:rsid w:val="00D30AB7"/>
    <w:rsid w:val="00D312E9"/>
    <w:rsid w:val="00D314A7"/>
    <w:rsid w:val="00D31ED1"/>
    <w:rsid w:val="00D32B38"/>
    <w:rsid w:val="00D32C57"/>
    <w:rsid w:val="00D33294"/>
    <w:rsid w:val="00D3332C"/>
    <w:rsid w:val="00D34420"/>
    <w:rsid w:val="00D34504"/>
    <w:rsid w:val="00D34DB9"/>
    <w:rsid w:val="00D37AF4"/>
    <w:rsid w:val="00D37FED"/>
    <w:rsid w:val="00D41903"/>
    <w:rsid w:val="00D41B32"/>
    <w:rsid w:val="00D41CD4"/>
    <w:rsid w:val="00D41F4E"/>
    <w:rsid w:val="00D423E6"/>
    <w:rsid w:val="00D426BA"/>
    <w:rsid w:val="00D42C6C"/>
    <w:rsid w:val="00D430E5"/>
    <w:rsid w:val="00D4339E"/>
    <w:rsid w:val="00D43F81"/>
    <w:rsid w:val="00D4410E"/>
    <w:rsid w:val="00D448E4"/>
    <w:rsid w:val="00D44E26"/>
    <w:rsid w:val="00D450A1"/>
    <w:rsid w:val="00D45413"/>
    <w:rsid w:val="00D46D81"/>
    <w:rsid w:val="00D472BD"/>
    <w:rsid w:val="00D47A58"/>
    <w:rsid w:val="00D47E4B"/>
    <w:rsid w:val="00D5045D"/>
    <w:rsid w:val="00D506EB"/>
    <w:rsid w:val="00D506FD"/>
    <w:rsid w:val="00D50E1B"/>
    <w:rsid w:val="00D511A4"/>
    <w:rsid w:val="00D519E8"/>
    <w:rsid w:val="00D51EB1"/>
    <w:rsid w:val="00D52502"/>
    <w:rsid w:val="00D525DD"/>
    <w:rsid w:val="00D5337D"/>
    <w:rsid w:val="00D536CE"/>
    <w:rsid w:val="00D53829"/>
    <w:rsid w:val="00D53FE1"/>
    <w:rsid w:val="00D54063"/>
    <w:rsid w:val="00D5478E"/>
    <w:rsid w:val="00D548EB"/>
    <w:rsid w:val="00D54E89"/>
    <w:rsid w:val="00D55F16"/>
    <w:rsid w:val="00D55F7A"/>
    <w:rsid w:val="00D5617A"/>
    <w:rsid w:val="00D56507"/>
    <w:rsid w:val="00D5650B"/>
    <w:rsid w:val="00D57446"/>
    <w:rsid w:val="00D60488"/>
    <w:rsid w:val="00D604E4"/>
    <w:rsid w:val="00D6074D"/>
    <w:rsid w:val="00D60B69"/>
    <w:rsid w:val="00D60D23"/>
    <w:rsid w:val="00D60E22"/>
    <w:rsid w:val="00D61921"/>
    <w:rsid w:val="00D62507"/>
    <w:rsid w:val="00D62C79"/>
    <w:rsid w:val="00D62F56"/>
    <w:rsid w:val="00D63520"/>
    <w:rsid w:val="00D6405C"/>
    <w:rsid w:val="00D64DAE"/>
    <w:rsid w:val="00D64E81"/>
    <w:rsid w:val="00D662AE"/>
    <w:rsid w:val="00D664A1"/>
    <w:rsid w:val="00D66D9D"/>
    <w:rsid w:val="00D67097"/>
    <w:rsid w:val="00D671D9"/>
    <w:rsid w:val="00D70160"/>
    <w:rsid w:val="00D701C9"/>
    <w:rsid w:val="00D70B4F"/>
    <w:rsid w:val="00D71E99"/>
    <w:rsid w:val="00D7298C"/>
    <w:rsid w:val="00D73746"/>
    <w:rsid w:val="00D73978"/>
    <w:rsid w:val="00D73B0B"/>
    <w:rsid w:val="00D742AC"/>
    <w:rsid w:val="00D742F1"/>
    <w:rsid w:val="00D742F4"/>
    <w:rsid w:val="00D7474B"/>
    <w:rsid w:val="00D74E80"/>
    <w:rsid w:val="00D75027"/>
    <w:rsid w:val="00D7514D"/>
    <w:rsid w:val="00D75647"/>
    <w:rsid w:val="00D7693A"/>
    <w:rsid w:val="00D76FBC"/>
    <w:rsid w:val="00D80786"/>
    <w:rsid w:val="00D80A08"/>
    <w:rsid w:val="00D80B61"/>
    <w:rsid w:val="00D80B6D"/>
    <w:rsid w:val="00D80D42"/>
    <w:rsid w:val="00D82356"/>
    <w:rsid w:val="00D82B10"/>
    <w:rsid w:val="00D82DCD"/>
    <w:rsid w:val="00D83A4F"/>
    <w:rsid w:val="00D846B8"/>
    <w:rsid w:val="00D84A83"/>
    <w:rsid w:val="00D85DCF"/>
    <w:rsid w:val="00D85F52"/>
    <w:rsid w:val="00D85FC4"/>
    <w:rsid w:val="00D86335"/>
    <w:rsid w:val="00D8680D"/>
    <w:rsid w:val="00D86A56"/>
    <w:rsid w:val="00D8713B"/>
    <w:rsid w:val="00D872DA"/>
    <w:rsid w:val="00D879C8"/>
    <w:rsid w:val="00D87B1A"/>
    <w:rsid w:val="00D87C44"/>
    <w:rsid w:val="00D9058F"/>
    <w:rsid w:val="00D906E9"/>
    <w:rsid w:val="00D9077A"/>
    <w:rsid w:val="00D908C8"/>
    <w:rsid w:val="00D90A48"/>
    <w:rsid w:val="00D9122B"/>
    <w:rsid w:val="00D91261"/>
    <w:rsid w:val="00D913E1"/>
    <w:rsid w:val="00D9182C"/>
    <w:rsid w:val="00D91E42"/>
    <w:rsid w:val="00D91EA3"/>
    <w:rsid w:val="00D930D7"/>
    <w:rsid w:val="00D939E3"/>
    <w:rsid w:val="00D94675"/>
    <w:rsid w:val="00D950FC"/>
    <w:rsid w:val="00D95D1B"/>
    <w:rsid w:val="00D95F69"/>
    <w:rsid w:val="00D9606A"/>
    <w:rsid w:val="00D9618A"/>
    <w:rsid w:val="00D968DC"/>
    <w:rsid w:val="00D96BC3"/>
    <w:rsid w:val="00D96D12"/>
    <w:rsid w:val="00D97450"/>
    <w:rsid w:val="00D975E2"/>
    <w:rsid w:val="00D97DBC"/>
    <w:rsid w:val="00D97E68"/>
    <w:rsid w:val="00D97FB4"/>
    <w:rsid w:val="00DA0748"/>
    <w:rsid w:val="00DA0775"/>
    <w:rsid w:val="00DA111B"/>
    <w:rsid w:val="00DA130F"/>
    <w:rsid w:val="00DA1496"/>
    <w:rsid w:val="00DA162A"/>
    <w:rsid w:val="00DA1637"/>
    <w:rsid w:val="00DA1892"/>
    <w:rsid w:val="00DA2091"/>
    <w:rsid w:val="00DA2253"/>
    <w:rsid w:val="00DA25F4"/>
    <w:rsid w:val="00DA2D20"/>
    <w:rsid w:val="00DA3183"/>
    <w:rsid w:val="00DA32A6"/>
    <w:rsid w:val="00DA35D1"/>
    <w:rsid w:val="00DA429A"/>
    <w:rsid w:val="00DA435E"/>
    <w:rsid w:val="00DA4684"/>
    <w:rsid w:val="00DA4AA6"/>
    <w:rsid w:val="00DA4D78"/>
    <w:rsid w:val="00DA5355"/>
    <w:rsid w:val="00DA5D12"/>
    <w:rsid w:val="00DA5D3C"/>
    <w:rsid w:val="00DA5DF7"/>
    <w:rsid w:val="00DA6213"/>
    <w:rsid w:val="00DA68C4"/>
    <w:rsid w:val="00DA6993"/>
    <w:rsid w:val="00DA6A1B"/>
    <w:rsid w:val="00DA6DA7"/>
    <w:rsid w:val="00DA7272"/>
    <w:rsid w:val="00DA7D92"/>
    <w:rsid w:val="00DA7DC1"/>
    <w:rsid w:val="00DA7FCC"/>
    <w:rsid w:val="00DB002E"/>
    <w:rsid w:val="00DB0579"/>
    <w:rsid w:val="00DB0903"/>
    <w:rsid w:val="00DB268E"/>
    <w:rsid w:val="00DB2805"/>
    <w:rsid w:val="00DB2ADB"/>
    <w:rsid w:val="00DB2C61"/>
    <w:rsid w:val="00DB34E1"/>
    <w:rsid w:val="00DB36DB"/>
    <w:rsid w:val="00DB3E99"/>
    <w:rsid w:val="00DB480D"/>
    <w:rsid w:val="00DB54D6"/>
    <w:rsid w:val="00DB5E71"/>
    <w:rsid w:val="00DB61D4"/>
    <w:rsid w:val="00DB62DB"/>
    <w:rsid w:val="00DB6481"/>
    <w:rsid w:val="00DB6F05"/>
    <w:rsid w:val="00DB7B38"/>
    <w:rsid w:val="00DB7B64"/>
    <w:rsid w:val="00DB7C4C"/>
    <w:rsid w:val="00DC0708"/>
    <w:rsid w:val="00DC0EC1"/>
    <w:rsid w:val="00DC0F53"/>
    <w:rsid w:val="00DC107B"/>
    <w:rsid w:val="00DC114F"/>
    <w:rsid w:val="00DC1C43"/>
    <w:rsid w:val="00DC2717"/>
    <w:rsid w:val="00DC2960"/>
    <w:rsid w:val="00DC303C"/>
    <w:rsid w:val="00DC351A"/>
    <w:rsid w:val="00DC3A90"/>
    <w:rsid w:val="00DC3C50"/>
    <w:rsid w:val="00DC4079"/>
    <w:rsid w:val="00DC4412"/>
    <w:rsid w:val="00DC5348"/>
    <w:rsid w:val="00DC55C4"/>
    <w:rsid w:val="00DC5A86"/>
    <w:rsid w:val="00DC61F5"/>
    <w:rsid w:val="00DC65C0"/>
    <w:rsid w:val="00DC65CF"/>
    <w:rsid w:val="00DC68E6"/>
    <w:rsid w:val="00DC6E2C"/>
    <w:rsid w:val="00DC6EEF"/>
    <w:rsid w:val="00DC7A5C"/>
    <w:rsid w:val="00DD08A2"/>
    <w:rsid w:val="00DD0A45"/>
    <w:rsid w:val="00DD0E62"/>
    <w:rsid w:val="00DD12C4"/>
    <w:rsid w:val="00DD233F"/>
    <w:rsid w:val="00DD27B1"/>
    <w:rsid w:val="00DD28BD"/>
    <w:rsid w:val="00DD2D6C"/>
    <w:rsid w:val="00DD2FEB"/>
    <w:rsid w:val="00DD3B26"/>
    <w:rsid w:val="00DD4375"/>
    <w:rsid w:val="00DD51A9"/>
    <w:rsid w:val="00DD5C96"/>
    <w:rsid w:val="00DD5ED4"/>
    <w:rsid w:val="00DD6AFF"/>
    <w:rsid w:val="00DD7062"/>
    <w:rsid w:val="00DD71C3"/>
    <w:rsid w:val="00DE019B"/>
    <w:rsid w:val="00DE02B8"/>
    <w:rsid w:val="00DE11D5"/>
    <w:rsid w:val="00DE14D9"/>
    <w:rsid w:val="00DE16E5"/>
    <w:rsid w:val="00DE2882"/>
    <w:rsid w:val="00DE3311"/>
    <w:rsid w:val="00DE43FE"/>
    <w:rsid w:val="00DE4CFC"/>
    <w:rsid w:val="00DE5AAB"/>
    <w:rsid w:val="00DE5E21"/>
    <w:rsid w:val="00DE5F2E"/>
    <w:rsid w:val="00DE6829"/>
    <w:rsid w:val="00DE74BA"/>
    <w:rsid w:val="00DE7676"/>
    <w:rsid w:val="00DF0B07"/>
    <w:rsid w:val="00DF1963"/>
    <w:rsid w:val="00DF208C"/>
    <w:rsid w:val="00DF23D5"/>
    <w:rsid w:val="00DF24D3"/>
    <w:rsid w:val="00DF3055"/>
    <w:rsid w:val="00DF31C0"/>
    <w:rsid w:val="00DF3474"/>
    <w:rsid w:val="00DF484A"/>
    <w:rsid w:val="00DF4F3E"/>
    <w:rsid w:val="00DF521D"/>
    <w:rsid w:val="00DF5BBB"/>
    <w:rsid w:val="00DF63FE"/>
    <w:rsid w:val="00DF6764"/>
    <w:rsid w:val="00DF6821"/>
    <w:rsid w:val="00DF6C35"/>
    <w:rsid w:val="00DF6E08"/>
    <w:rsid w:val="00DF7275"/>
    <w:rsid w:val="00DF758C"/>
    <w:rsid w:val="00DF7685"/>
    <w:rsid w:val="00DF7E2C"/>
    <w:rsid w:val="00E00499"/>
    <w:rsid w:val="00E007E1"/>
    <w:rsid w:val="00E007EB"/>
    <w:rsid w:val="00E00944"/>
    <w:rsid w:val="00E01021"/>
    <w:rsid w:val="00E01871"/>
    <w:rsid w:val="00E026F8"/>
    <w:rsid w:val="00E031A2"/>
    <w:rsid w:val="00E03419"/>
    <w:rsid w:val="00E04297"/>
    <w:rsid w:val="00E04EB1"/>
    <w:rsid w:val="00E05560"/>
    <w:rsid w:val="00E05C70"/>
    <w:rsid w:val="00E05DFF"/>
    <w:rsid w:val="00E064E8"/>
    <w:rsid w:val="00E06CF9"/>
    <w:rsid w:val="00E07F9F"/>
    <w:rsid w:val="00E10544"/>
    <w:rsid w:val="00E105AA"/>
    <w:rsid w:val="00E106A5"/>
    <w:rsid w:val="00E10EA8"/>
    <w:rsid w:val="00E111DF"/>
    <w:rsid w:val="00E115D8"/>
    <w:rsid w:val="00E11707"/>
    <w:rsid w:val="00E123D4"/>
    <w:rsid w:val="00E12589"/>
    <w:rsid w:val="00E127FC"/>
    <w:rsid w:val="00E135B8"/>
    <w:rsid w:val="00E139F4"/>
    <w:rsid w:val="00E13CF5"/>
    <w:rsid w:val="00E140E2"/>
    <w:rsid w:val="00E141C1"/>
    <w:rsid w:val="00E14ACB"/>
    <w:rsid w:val="00E15B5B"/>
    <w:rsid w:val="00E16064"/>
    <w:rsid w:val="00E16206"/>
    <w:rsid w:val="00E1645C"/>
    <w:rsid w:val="00E16E29"/>
    <w:rsid w:val="00E16E79"/>
    <w:rsid w:val="00E17015"/>
    <w:rsid w:val="00E1758A"/>
    <w:rsid w:val="00E17C6C"/>
    <w:rsid w:val="00E2055E"/>
    <w:rsid w:val="00E20C95"/>
    <w:rsid w:val="00E2131C"/>
    <w:rsid w:val="00E215F9"/>
    <w:rsid w:val="00E224CE"/>
    <w:rsid w:val="00E22D37"/>
    <w:rsid w:val="00E237B1"/>
    <w:rsid w:val="00E239E2"/>
    <w:rsid w:val="00E23C02"/>
    <w:rsid w:val="00E24D62"/>
    <w:rsid w:val="00E2514B"/>
    <w:rsid w:val="00E252A6"/>
    <w:rsid w:val="00E25A9E"/>
    <w:rsid w:val="00E26806"/>
    <w:rsid w:val="00E268B5"/>
    <w:rsid w:val="00E268BF"/>
    <w:rsid w:val="00E276BE"/>
    <w:rsid w:val="00E27BEB"/>
    <w:rsid w:val="00E27D05"/>
    <w:rsid w:val="00E300E8"/>
    <w:rsid w:val="00E30235"/>
    <w:rsid w:val="00E3096D"/>
    <w:rsid w:val="00E31475"/>
    <w:rsid w:val="00E31780"/>
    <w:rsid w:val="00E31852"/>
    <w:rsid w:val="00E31C65"/>
    <w:rsid w:val="00E3276D"/>
    <w:rsid w:val="00E33517"/>
    <w:rsid w:val="00E33B60"/>
    <w:rsid w:val="00E33D55"/>
    <w:rsid w:val="00E34384"/>
    <w:rsid w:val="00E3471D"/>
    <w:rsid w:val="00E34DE5"/>
    <w:rsid w:val="00E34FA9"/>
    <w:rsid w:val="00E35223"/>
    <w:rsid w:val="00E353D3"/>
    <w:rsid w:val="00E3553C"/>
    <w:rsid w:val="00E361B4"/>
    <w:rsid w:val="00E362AC"/>
    <w:rsid w:val="00E36CD1"/>
    <w:rsid w:val="00E36EDC"/>
    <w:rsid w:val="00E37D05"/>
    <w:rsid w:val="00E403A5"/>
    <w:rsid w:val="00E40514"/>
    <w:rsid w:val="00E40FAC"/>
    <w:rsid w:val="00E410B7"/>
    <w:rsid w:val="00E410E4"/>
    <w:rsid w:val="00E41156"/>
    <w:rsid w:val="00E41250"/>
    <w:rsid w:val="00E415AE"/>
    <w:rsid w:val="00E41B77"/>
    <w:rsid w:val="00E41FCE"/>
    <w:rsid w:val="00E42A33"/>
    <w:rsid w:val="00E44C7B"/>
    <w:rsid w:val="00E45054"/>
    <w:rsid w:val="00E456C1"/>
    <w:rsid w:val="00E45E3B"/>
    <w:rsid w:val="00E462B1"/>
    <w:rsid w:val="00E469C1"/>
    <w:rsid w:val="00E47F56"/>
    <w:rsid w:val="00E50775"/>
    <w:rsid w:val="00E510D6"/>
    <w:rsid w:val="00E511F7"/>
    <w:rsid w:val="00E5217A"/>
    <w:rsid w:val="00E53117"/>
    <w:rsid w:val="00E53395"/>
    <w:rsid w:val="00E5367F"/>
    <w:rsid w:val="00E53C49"/>
    <w:rsid w:val="00E54602"/>
    <w:rsid w:val="00E548A7"/>
    <w:rsid w:val="00E54B6C"/>
    <w:rsid w:val="00E54C04"/>
    <w:rsid w:val="00E54DE6"/>
    <w:rsid w:val="00E54E49"/>
    <w:rsid w:val="00E54F5E"/>
    <w:rsid w:val="00E55408"/>
    <w:rsid w:val="00E558F6"/>
    <w:rsid w:val="00E560AE"/>
    <w:rsid w:val="00E5625F"/>
    <w:rsid w:val="00E568EC"/>
    <w:rsid w:val="00E572E9"/>
    <w:rsid w:val="00E57845"/>
    <w:rsid w:val="00E57C32"/>
    <w:rsid w:val="00E60257"/>
    <w:rsid w:val="00E60826"/>
    <w:rsid w:val="00E6089F"/>
    <w:rsid w:val="00E61D04"/>
    <w:rsid w:val="00E61D1B"/>
    <w:rsid w:val="00E626F4"/>
    <w:rsid w:val="00E62BEF"/>
    <w:rsid w:val="00E632A3"/>
    <w:rsid w:val="00E63799"/>
    <w:rsid w:val="00E63965"/>
    <w:rsid w:val="00E63D47"/>
    <w:rsid w:val="00E640C6"/>
    <w:rsid w:val="00E64244"/>
    <w:rsid w:val="00E65571"/>
    <w:rsid w:val="00E65750"/>
    <w:rsid w:val="00E65CA7"/>
    <w:rsid w:val="00E65D2C"/>
    <w:rsid w:val="00E663FD"/>
    <w:rsid w:val="00E6645B"/>
    <w:rsid w:val="00E6658A"/>
    <w:rsid w:val="00E66819"/>
    <w:rsid w:val="00E6747A"/>
    <w:rsid w:val="00E678A3"/>
    <w:rsid w:val="00E67EC1"/>
    <w:rsid w:val="00E7004B"/>
    <w:rsid w:val="00E705DA"/>
    <w:rsid w:val="00E719AD"/>
    <w:rsid w:val="00E73281"/>
    <w:rsid w:val="00E736C7"/>
    <w:rsid w:val="00E7428A"/>
    <w:rsid w:val="00E744A4"/>
    <w:rsid w:val="00E74532"/>
    <w:rsid w:val="00E746E1"/>
    <w:rsid w:val="00E7471C"/>
    <w:rsid w:val="00E7494F"/>
    <w:rsid w:val="00E74BF5"/>
    <w:rsid w:val="00E74CE4"/>
    <w:rsid w:val="00E75891"/>
    <w:rsid w:val="00E75B3A"/>
    <w:rsid w:val="00E760DC"/>
    <w:rsid w:val="00E7610B"/>
    <w:rsid w:val="00E76719"/>
    <w:rsid w:val="00E769B1"/>
    <w:rsid w:val="00E76F66"/>
    <w:rsid w:val="00E770B7"/>
    <w:rsid w:val="00E772EB"/>
    <w:rsid w:val="00E8025F"/>
    <w:rsid w:val="00E80433"/>
    <w:rsid w:val="00E811DD"/>
    <w:rsid w:val="00E815C5"/>
    <w:rsid w:val="00E82112"/>
    <w:rsid w:val="00E822C6"/>
    <w:rsid w:val="00E824C6"/>
    <w:rsid w:val="00E82786"/>
    <w:rsid w:val="00E83358"/>
    <w:rsid w:val="00E83645"/>
    <w:rsid w:val="00E83883"/>
    <w:rsid w:val="00E8491B"/>
    <w:rsid w:val="00E84AFC"/>
    <w:rsid w:val="00E84FF9"/>
    <w:rsid w:val="00E854EF"/>
    <w:rsid w:val="00E85718"/>
    <w:rsid w:val="00E85CDC"/>
    <w:rsid w:val="00E85D67"/>
    <w:rsid w:val="00E85DA7"/>
    <w:rsid w:val="00E860E8"/>
    <w:rsid w:val="00E874E7"/>
    <w:rsid w:val="00E879AA"/>
    <w:rsid w:val="00E87CCD"/>
    <w:rsid w:val="00E87E23"/>
    <w:rsid w:val="00E90082"/>
    <w:rsid w:val="00E9053B"/>
    <w:rsid w:val="00E9059F"/>
    <w:rsid w:val="00E90638"/>
    <w:rsid w:val="00E908A8"/>
    <w:rsid w:val="00E91345"/>
    <w:rsid w:val="00E913A5"/>
    <w:rsid w:val="00E91530"/>
    <w:rsid w:val="00E9178A"/>
    <w:rsid w:val="00E91979"/>
    <w:rsid w:val="00E92C86"/>
    <w:rsid w:val="00E92EFA"/>
    <w:rsid w:val="00E93317"/>
    <w:rsid w:val="00E93B9E"/>
    <w:rsid w:val="00E94878"/>
    <w:rsid w:val="00E94D57"/>
    <w:rsid w:val="00E94D7B"/>
    <w:rsid w:val="00E951EF"/>
    <w:rsid w:val="00E95214"/>
    <w:rsid w:val="00E9531F"/>
    <w:rsid w:val="00E95DF3"/>
    <w:rsid w:val="00E95E01"/>
    <w:rsid w:val="00E95FE3"/>
    <w:rsid w:val="00E962F3"/>
    <w:rsid w:val="00E96957"/>
    <w:rsid w:val="00E96CF0"/>
    <w:rsid w:val="00E972A6"/>
    <w:rsid w:val="00E97A6D"/>
    <w:rsid w:val="00E97EF2"/>
    <w:rsid w:val="00EA012C"/>
    <w:rsid w:val="00EA0BB1"/>
    <w:rsid w:val="00EA0BC9"/>
    <w:rsid w:val="00EA129D"/>
    <w:rsid w:val="00EA186C"/>
    <w:rsid w:val="00EA1971"/>
    <w:rsid w:val="00EA28F7"/>
    <w:rsid w:val="00EA436E"/>
    <w:rsid w:val="00EA4593"/>
    <w:rsid w:val="00EA4A2E"/>
    <w:rsid w:val="00EA4FA0"/>
    <w:rsid w:val="00EA5272"/>
    <w:rsid w:val="00EA5552"/>
    <w:rsid w:val="00EA582E"/>
    <w:rsid w:val="00EA5FC0"/>
    <w:rsid w:val="00EA6148"/>
    <w:rsid w:val="00EA633F"/>
    <w:rsid w:val="00EA63C1"/>
    <w:rsid w:val="00EA6676"/>
    <w:rsid w:val="00EA6A1F"/>
    <w:rsid w:val="00EA6EB4"/>
    <w:rsid w:val="00EA71A9"/>
    <w:rsid w:val="00EA730D"/>
    <w:rsid w:val="00EA7329"/>
    <w:rsid w:val="00EA75CF"/>
    <w:rsid w:val="00EA78A2"/>
    <w:rsid w:val="00EA78C3"/>
    <w:rsid w:val="00EB06A7"/>
    <w:rsid w:val="00EB0F16"/>
    <w:rsid w:val="00EB1462"/>
    <w:rsid w:val="00EB1AC4"/>
    <w:rsid w:val="00EB22EA"/>
    <w:rsid w:val="00EB2602"/>
    <w:rsid w:val="00EB2E83"/>
    <w:rsid w:val="00EB389E"/>
    <w:rsid w:val="00EB413C"/>
    <w:rsid w:val="00EB42FD"/>
    <w:rsid w:val="00EB5487"/>
    <w:rsid w:val="00EB56E5"/>
    <w:rsid w:val="00EB5EB7"/>
    <w:rsid w:val="00EB5F51"/>
    <w:rsid w:val="00EB6190"/>
    <w:rsid w:val="00EB6483"/>
    <w:rsid w:val="00EB6BF6"/>
    <w:rsid w:val="00EB6FE2"/>
    <w:rsid w:val="00EB7597"/>
    <w:rsid w:val="00EB7C59"/>
    <w:rsid w:val="00EC040C"/>
    <w:rsid w:val="00EC140D"/>
    <w:rsid w:val="00EC1882"/>
    <w:rsid w:val="00EC1C98"/>
    <w:rsid w:val="00EC1E97"/>
    <w:rsid w:val="00EC2189"/>
    <w:rsid w:val="00EC23F9"/>
    <w:rsid w:val="00EC2943"/>
    <w:rsid w:val="00EC2F67"/>
    <w:rsid w:val="00EC3A24"/>
    <w:rsid w:val="00EC3B1A"/>
    <w:rsid w:val="00EC3EE2"/>
    <w:rsid w:val="00EC4669"/>
    <w:rsid w:val="00EC4889"/>
    <w:rsid w:val="00EC4FF7"/>
    <w:rsid w:val="00EC52F8"/>
    <w:rsid w:val="00EC54A1"/>
    <w:rsid w:val="00EC615F"/>
    <w:rsid w:val="00EC66EA"/>
    <w:rsid w:val="00EC70ED"/>
    <w:rsid w:val="00EC74A8"/>
    <w:rsid w:val="00EC7634"/>
    <w:rsid w:val="00EC7FD1"/>
    <w:rsid w:val="00EC7FE5"/>
    <w:rsid w:val="00ED0580"/>
    <w:rsid w:val="00ED0712"/>
    <w:rsid w:val="00ED094B"/>
    <w:rsid w:val="00ED1583"/>
    <w:rsid w:val="00ED15CF"/>
    <w:rsid w:val="00ED1C55"/>
    <w:rsid w:val="00ED259A"/>
    <w:rsid w:val="00ED35D3"/>
    <w:rsid w:val="00ED366C"/>
    <w:rsid w:val="00ED39B2"/>
    <w:rsid w:val="00ED3EEA"/>
    <w:rsid w:val="00ED4008"/>
    <w:rsid w:val="00ED407F"/>
    <w:rsid w:val="00ED4DB3"/>
    <w:rsid w:val="00ED5758"/>
    <w:rsid w:val="00ED58E1"/>
    <w:rsid w:val="00ED5904"/>
    <w:rsid w:val="00ED593D"/>
    <w:rsid w:val="00ED5A95"/>
    <w:rsid w:val="00ED5EBB"/>
    <w:rsid w:val="00ED6570"/>
    <w:rsid w:val="00ED6821"/>
    <w:rsid w:val="00ED6E4E"/>
    <w:rsid w:val="00ED7F21"/>
    <w:rsid w:val="00ED7F80"/>
    <w:rsid w:val="00ED7FD0"/>
    <w:rsid w:val="00EE021F"/>
    <w:rsid w:val="00EE0571"/>
    <w:rsid w:val="00EE07DE"/>
    <w:rsid w:val="00EE0F2C"/>
    <w:rsid w:val="00EE105C"/>
    <w:rsid w:val="00EE1496"/>
    <w:rsid w:val="00EE1649"/>
    <w:rsid w:val="00EE1926"/>
    <w:rsid w:val="00EE1A1F"/>
    <w:rsid w:val="00EE2837"/>
    <w:rsid w:val="00EE2924"/>
    <w:rsid w:val="00EE2BF8"/>
    <w:rsid w:val="00EE2C46"/>
    <w:rsid w:val="00EE3002"/>
    <w:rsid w:val="00EE319A"/>
    <w:rsid w:val="00EE3294"/>
    <w:rsid w:val="00EE340D"/>
    <w:rsid w:val="00EE3544"/>
    <w:rsid w:val="00EE3714"/>
    <w:rsid w:val="00EE390B"/>
    <w:rsid w:val="00EE3972"/>
    <w:rsid w:val="00EE3B05"/>
    <w:rsid w:val="00EE3B2C"/>
    <w:rsid w:val="00EE4796"/>
    <w:rsid w:val="00EE490A"/>
    <w:rsid w:val="00EE4B83"/>
    <w:rsid w:val="00EE4BC2"/>
    <w:rsid w:val="00EE531C"/>
    <w:rsid w:val="00EE566D"/>
    <w:rsid w:val="00EE5699"/>
    <w:rsid w:val="00EE5990"/>
    <w:rsid w:val="00EE5F07"/>
    <w:rsid w:val="00EE61D5"/>
    <w:rsid w:val="00EE620D"/>
    <w:rsid w:val="00EE625F"/>
    <w:rsid w:val="00EE7091"/>
    <w:rsid w:val="00EE7BA6"/>
    <w:rsid w:val="00EE7DC9"/>
    <w:rsid w:val="00EF0389"/>
    <w:rsid w:val="00EF0595"/>
    <w:rsid w:val="00EF0B3B"/>
    <w:rsid w:val="00EF0B5A"/>
    <w:rsid w:val="00EF1057"/>
    <w:rsid w:val="00EF1105"/>
    <w:rsid w:val="00EF1237"/>
    <w:rsid w:val="00EF12A4"/>
    <w:rsid w:val="00EF13CE"/>
    <w:rsid w:val="00EF1A96"/>
    <w:rsid w:val="00EF1C5F"/>
    <w:rsid w:val="00EF1E3B"/>
    <w:rsid w:val="00EF2117"/>
    <w:rsid w:val="00EF25ED"/>
    <w:rsid w:val="00EF2616"/>
    <w:rsid w:val="00EF28B9"/>
    <w:rsid w:val="00EF2927"/>
    <w:rsid w:val="00EF2ADA"/>
    <w:rsid w:val="00EF307F"/>
    <w:rsid w:val="00EF3918"/>
    <w:rsid w:val="00EF3A35"/>
    <w:rsid w:val="00EF4586"/>
    <w:rsid w:val="00EF4B3F"/>
    <w:rsid w:val="00EF4C91"/>
    <w:rsid w:val="00EF552F"/>
    <w:rsid w:val="00EF61DA"/>
    <w:rsid w:val="00EF6422"/>
    <w:rsid w:val="00EF64A1"/>
    <w:rsid w:val="00EF663B"/>
    <w:rsid w:val="00EF6A49"/>
    <w:rsid w:val="00EF6DC7"/>
    <w:rsid w:val="00EF6ED8"/>
    <w:rsid w:val="00EF6FB6"/>
    <w:rsid w:val="00EF7441"/>
    <w:rsid w:val="00EF7A23"/>
    <w:rsid w:val="00F00982"/>
    <w:rsid w:val="00F00A25"/>
    <w:rsid w:val="00F00B8E"/>
    <w:rsid w:val="00F012A3"/>
    <w:rsid w:val="00F02648"/>
    <w:rsid w:val="00F02FB3"/>
    <w:rsid w:val="00F03599"/>
    <w:rsid w:val="00F03C48"/>
    <w:rsid w:val="00F03E6E"/>
    <w:rsid w:val="00F049DC"/>
    <w:rsid w:val="00F04D0F"/>
    <w:rsid w:val="00F04E5F"/>
    <w:rsid w:val="00F0505E"/>
    <w:rsid w:val="00F05181"/>
    <w:rsid w:val="00F05208"/>
    <w:rsid w:val="00F056BF"/>
    <w:rsid w:val="00F056E5"/>
    <w:rsid w:val="00F0589E"/>
    <w:rsid w:val="00F05F5E"/>
    <w:rsid w:val="00F06878"/>
    <w:rsid w:val="00F06ABF"/>
    <w:rsid w:val="00F06E4A"/>
    <w:rsid w:val="00F06EC0"/>
    <w:rsid w:val="00F07031"/>
    <w:rsid w:val="00F073B7"/>
    <w:rsid w:val="00F07DAB"/>
    <w:rsid w:val="00F10186"/>
    <w:rsid w:val="00F1032D"/>
    <w:rsid w:val="00F10466"/>
    <w:rsid w:val="00F10D8E"/>
    <w:rsid w:val="00F116A9"/>
    <w:rsid w:val="00F11799"/>
    <w:rsid w:val="00F124F3"/>
    <w:rsid w:val="00F137B5"/>
    <w:rsid w:val="00F1393D"/>
    <w:rsid w:val="00F1427B"/>
    <w:rsid w:val="00F14438"/>
    <w:rsid w:val="00F14D48"/>
    <w:rsid w:val="00F15103"/>
    <w:rsid w:val="00F15237"/>
    <w:rsid w:val="00F155C2"/>
    <w:rsid w:val="00F15D3B"/>
    <w:rsid w:val="00F162A7"/>
    <w:rsid w:val="00F167D2"/>
    <w:rsid w:val="00F169CA"/>
    <w:rsid w:val="00F16AC7"/>
    <w:rsid w:val="00F16B89"/>
    <w:rsid w:val="00F16C5C"/>
    <w:rsid w:val="00F17671"/>
    <w:rsid w:val="00F17BC1"/>
    <w:rsid w:val="00F17FE1"/>
    <w:rsid w:val="00F20201"/>
    <w:rsid w:val="00F204A4"/>
    <w:rsid w:val="00F21D58"/>
    <w:rsid w:val="00F21F66"/>
    <w:rsid w:val="00F22738"/>
    <w:rsid w:val="00F22978"/>
    <w:rsid w:val="00F23087"/>
    <w:rsid w:val="00F23BD4"/>
    <w:rsid w:val="00F23D3B"/>
    <w:rsid w:val="00F2422A"/>
    <w:rsid w:val="00F244B1"/>
    <w:rsid w:val="00F24FBB"/>
    <w:rsid w:val="00F250E9"/>
    <w:rsid w:val="00F25725"/>
    <w:rsid w:val="00F25791"/>
    <w:rsid w:val="00F25B01"/>
    <w:rsid w:val="00F2665D"/>
    <w:rsid w:val="00F2713B"/>
    <w:rsid w:val="00F2776A"/>
    <w:rsid w:val="00F27868"/>
    <w:rsid w:val="00F27D13"/>
    <w:rsid w:val="00F27DC2"/>
    <w:rsid w:val="00F27DCE"/>
    <w:rsid w:val="00F30557"/>
    <w:rsid w:val="00F3087A"/>
    <w:rsid w:val="00F30A05"/>
    <w:rsid w:val="00F30B15"/>
    <w:rsid w:val="00F30E42"/>
    <w:rsid w:val="00F314FF"/>
    <w:rsid w:val="00F315EC"/>
    <w:rsid w:val="00F3167E"/>
    <w:rsid w:val="00F31FA6"/>
    <w:rsid w:val="00F31FD5"/>
    <w:rsid w:val="00F32593"/>
    <w:rsid w:val="00F32B77"/>
    <w:rsid w:val="00F330BF"/>
    <w:rsid w:val="00F33372"/>
    <w:rsid w:val="00F33589"/>
    <w:rsid w:val="00F34C41"/>
    <w:rsid w:val="00F34E57"/>
    <w:rsid w:val="00F3513A"/>
    <w:rsid w:val="00F354EB"/>
    <w:rsid w:val="00F35CA4"/>
    <w:rsid w:val="00F3667F"/>
    <w:rsid w:val="00F36CF6"/>
    <w:rsid w:val="00F37047"/>
    <w:rsid w:val="00F37182"/>
    <w:rsid w:val="00F37339"/>
    <w:rsid w:val="00F40419"/>
    <w:rsid w:val="00F40C08"/>
    <w:rsid w:val="00F40E90"/>
    <w:rsid w:val="00F40E9C"/>
    <w:rsid w:val="00F41408"/>
    <w:rsid w:val="00F414A0"/>
    <w:rsid w:val="00F415C9"/>
    <w:rsid w:val="00F417E8"/>
    <w:rsid w:val="00F42C5A"/>
    <w:rsid w:val="00F42F55"/>
    <w:rsid w:val="00F4344E"/>
    <w:rsid w:val="00F4356D"/>
    <w:rsid w:val="00F43B0F"/>
    <w:rsid w:val="00F43D03"/>
    <w:rsid w:val="00F43EC3"/>
    <w:rsid w:val="00F44145"/>
    <w:rsid w:val="00F44312"/>
    <w:rsid w:val="00F44680"/>
    <w:rsid w:val="00F45F37"/>
    <w:rsid w:val="00F46727"/>
    <w:rsid w:val="00F4695C"/>
    <w:rsid w:val="00F46C99"/>
    <w:rsid w:val="00F470A8"/>
    <w:rsid w:val="00F4720D"/>
    <w:rsid w:val="00F4785A"/>
    <w:rsid w:val="00F47AD2"/>
    <w:rsid w:val="00F5048E"/>
    <w:rsid w:val="00F505E4"/>
    <w:rsid w:val="00F51888"/>
    <w:rsid w:val="00F51A33"/>
    <w:rsid w:val="00F51BDA"/>
    <w:rsid w:val="00F51FC3"/>
    <w:rsid w:val="00F52B31"/>
    <w:rsid w:val="00F530CC"/>
    <w:rsid w:val="00F5373C"/>
    <w:rsid w:val="00F551FD"/>
    <w:rsid w:val="00F5534D"/>
    <w:rsid w:val="00F55E6F"/>
    <w:rsid w:val="00F56487"/>
    <w:rsid w:val="00F56A7C"/>
    <w:rsid w:val="00F576E6"/>
    <w:rsid w:val="00F5778D"/>
    <w:rsid w:val="00F60A47"/>
    <w:rsid w:val="00F60A88"/>
    <w:rsid w:val="00F616B5"/>
    <w:rsid w:val="00F61996"/>
    <w:rsid w:val="00F61D3C"/>
    <w:rsid w:val="00F620D4"/>
    <w:rsid w:val="00F6231A"/>
    <w:rsid w:val="00F631D3"/>
    <w:rsid w:val="00F635C6"/>
    <w:rsid w:val="00F638BC"/>
    <w:rsid w:val="00F6412D"/>
    <w:rsid w:val="00F641D3"/>
    <w:rsid w:val="00F641F8"/>
    <w:rsid w:val="00F645F4"/>
    <w:rsid w:val="00F64DF5"/>
    <w:rsid w:val="00F64DFF"/>
    <w:rsid w:val="00F6532F"/>
    <w:rsid w:val="00F653DD"/>
    <w:rsid w:val="00F664F7"/>
    <w:rsid w:val="00F66641"/>
    <w:rsid w:val="00F678A9"/>
    <w:rsid w:val="00F67A4A"/>
    <w:rsid w:val="00F67AC2"/>
    <w:rsid w:val="00F67CD6"/>
    <w:rsid w:val="00F67CE3"/>
    <w:rsid w:val="00F7005F"/>
    <w:rsid w:val="00F708E4"/>
    <w:rsid w:val="00F7112D"/>
    <w:rsid w:val="00F71243"/>
    <w:rsid w:val="00F71BB6"/>
    <w:rsid w:val="00F71BB8"/>
    <w:rsid w:val="00F720C6"/>
    <w:rsid w:val="00F7268E"/>
    <w:rsid w:val="00F726D3"/>
    <w:rsid w:val="00F735CB"/>
    <w:rsid w:val="00F73768"/>
    <w:rsid w:val="00F73CDE"/>
    <w:rsid w:val="00F73DC9"/>
    <w:rsid w:val="00F74231"/>
    <w:rsid w:val="00F7431F"/>
    <w:rsid w:val="00F7462D"/>
    <w:rsid w:val="00F74645"/>
    <w:rsid w:val="00F7502A"/>
    <w:rsid w:val="00F75585"/>
    <w:rsid w:val="00F7566B"/>
    <w:rsid w:val="00F756C5"/>
    <w:rsid w:val="00F75B2C"/>
    <w:rsid w:val="00F7636A"/>
    <w:rsid w:val="00F76832"/>
    <w:rsid w:val="00F76999"/>
    <w:rsid w:val="00F76AAD"/>
    <w:rsid w:val="00F76C3E"/>
    <w:rsid w:val="00F77312"/>
    <w:rsid w:val="00F77411"/>
    <w:rsid w:val="00F7748F"/>
    <w:rsid w:val="00F77650"/>
    <w:rsid w:val="00F77964"/>
    <w:rsid w:val="00F77B90"/>
    <w:rsid w:val="00F80EFA"/>
    <w:rsid w:val="00F80F30"/>
    <w:rsid w:val="00F810EE"/>
    <w:rsid w:val="00F818F4"/>
    <w:rsid w:val="00F8200C"/>
    <w:rsid w:val="00F8223B"/>
    <w:rsid w:val="00F824D6"/>
    <w:rsid w:val="00F8253D"/>
    <w:rsid w:val="00F82D2B"/>
    <w:rsid w:val="00F83D2F"/>
    <w:rsid w:val="00F8423D"/>
    <w:rsid w:val="00F84358"/>
    <w:rsid w:val="00F84556"/>
    <w:rsid w:val="00F848F6"/>
    <w:rsid w:val="00F84E41"/>
    <w:rsid w:val="00F85838"/>
    <w:rsid w:val="00F85A6B"/>
    <w:rsid w:val="00F8663F"/>
    <w:rsid w:val="00F87081"/>
    <w:rsid w:val="00F871F3"/>
    <w:rsid w:val="00F8734F"/>
    <w:rsid w:val="00F8782B"/>
    <w:rsid w:val="00F878CB"/>
    <w:rsid w:val="00F90CD4"/>
    <w:rsid w:val="00F90DA7"/>
    <w:rsid w:val="00F91098"/>
    <w:rsid w:val="00F91286"/>
    <w:rsid w:val="00F917AD"/>
    <w:rsid w:val="00F91AC6"/>
    <w:rsid w:val="00F91E92"/>
    <w:rsid w:val="00F92D85"/>
    <w:rsid w:val="00F92EED"/>
    <w:rsid w:val="00F93197"/>
    <w:rsid w:val="00F93259"/>
    <w:rsid w:val="00F933DB"/>
    <w:rsid w:val="00F93CE1"/>
    <w:rsid w:val="00F94290"/>
    <w:rsid w:val="00F94756"/>
    <w:rsid w:val="00F9492C"/>
    <w:rsid w:val="00F94B13"/>
    <w:rsid w:val="00F94E30"/>
    <w:rsid w:val="00F953F1"/>
    <w:rsid w:val="00F9578F"/>
    <w:rsid w:val="00F95CCE"/>
    <w:rsid w:val="00F95F5C"/>
    <w:rsid w:val="00F969F1"/>
    <w:rsid w:val="00F970F4"/>
    <w:rsid w:val="00F97840"/>
    <w:rsid w:val="00F97BC4"/>
    <w:rsid w:val="00F97EC4"/>
    <w:rsid w:val="00FA0646"/>
    <w:rsid w:val="00FA0E99"/>
    <w:rsid w:val="00FA1C65"/>
    <w:rsid w:val="00FA1C78"/>
    <w:rsid w:val="00FA1E7F"/>
    <w:rsid w:val="00FA1FCD"/>
    <w:rsid w:val="00FA2146"/>
    <w:rsid w:val="00FA24E0"/>
    <w:rsid w:val="00FA2904"/>
    <w:rsid w:val="00FA2A51"/>
    <w:rsid w:val="00FA2E72"/>
    <w:rsid w:val="00FA2E74"/>
    <w:rsid w:val="00FA339B"/>
    <w:rsid w:val="00FA49FB"/>
    <w:rsid w:val="00FA4B3B"/>
    <w:rsid w:val="00FA4B9E"/>
    <w:rsid w:val="00FA4D20"/>
    <w:rsid w:val="00FA4E13"/>
    <w:rsid w:val="00FA5057"/>
    <w:rsid w:val="00FA564F"/>
    <w:rsid w:val="00FA592E"/>
    <w:rsid w:val="00FA61E8"/>
    <w:rsid w:val="00FA65C7"/>
    <w:rsid w:val="00FA662C"/>
    <w:rsid w:val="00FA6BE2"/>
    <w:rsid w:val="00FA6D3F"/>
    <w:rsid w:val="00FB0293"/>
    <w:rsid w:val="00FB0AA8"/>
    <w:rsid w:val="00FB0D11"/>
    <w:rsid w:val="00FB1635"/>
    <w:rsid w:val="00FB17F4"/>
    <w:rsid w:val="00FB3024"/>
    <w:rsid w:val="00FB3C34"/>
    <w:rsid w:val="00FB3FEB"/>
    <w:rsid w:val="00FB40CE"/>
    <w:rsid w:val="00FB46F5"/>
    <w:rsid w:val="00FB519C"/>
    <w:rsid w:val="00FB5485"/>
    <w:rsid w:val="00FB638D"/>
    <w:rsid w:val="00FB7410"/>
    <w:rsid w:val="00FB7414"/>
    <w:rsid w:val="00FB75BE"/>
    <w:rsid w:val="00FB78D2"/>
    <w:rsid w:val="00FB79A5"/>
    <w:rsid w:val="00FB7D20"/>
    <w:rsid w:val="00FC00BD"/>
    <w:rsid w:val="00FC0E14"/>
    <w:rsid w:val="00FC0E91"/>
    <w:rsid w:val="00FC0F5D"/>
    <w:rsid w:val="00FC18EF"/>
    <w:rsid w:val="00FC1A4D"/>
    <w:rsid w:val="00FC1A67"/>
    <w:rsid w:val="00FC1D0C"/>
    <w:rsid w:val="00FC1E15"/>
    <w:rsid w:val="00FC1E6C"/>
    <w:rsid w:val="00FC23AF"/>
    <w:rsid w:val="00FC2560"/>
    <w:rsid w:val="00FC28D7"/>
    <w:rsid w:val="00FC2977"/>
    <w:rsid w:val="00FC30ED"/>
    <w:rsid w:val="00FC3134"/>
    <w:rsid w:val="00FC38EC"/>
    <w:rsid w:val="00FC3E9B"/>
    <w:rsid w:val="00FC43CB"/>
    <w:rsid w:val="00FC45EB"/>
    <w:rsid w:val="00FC4772"/>
    <w:rsid w:val="00FC5345"/>
    <w:rsid w:val="00FC546B"/>
    <w:rsid w:val="00FC5AE7"/>
    <w:rsid w:val="00FC5C60"/>
    <w:rsid w:val="00FC5C9C"/>
    <w:rsid w:val="00FC60A6"/>
    <w:rsid w:val="00FC6390"/>
    <w:rsid w:val="00FC646A"/>
    <w:rsid w:val="00FC7567"/>
    <w:rsid w:val="00FC75F9"/>
    <w:rsid w:val="00FD0252"/>
    <w:rsid w:val="00FD048C"/>
    <w:rsid w:val="00FD05AC"/>
    <w:rsid w:val="00FD0636"/>
    <w:rsid w:val="00FD08F7"/>
    <w:rsid w:val="00FD0A7F"/>
    <w:rsid w:val="00FD0BBE"/>
    <w:rsid w:val="00FD0BFC"/>
    <w:rsid w:val="00FD21DB"/>
    <w:rsid w:val="00FD2F7D"/>
    <w:rsid w:val="00FD3307"/>
    <w:rsid w:val="00FD38D1"/>
    <w:rsid w:val="00FD3F56"/>
    <w:rsid w:val="00FD4A9A"/>
    <w:rsid w:val="00FD4B63"/>
    <w:rsid w:val="00FD53BB"/>
    <w:rsid w:val="00FD5413"/>
    <w:rsid w:val="00FD5819"/>
    <w:rsid w:val="00FD5D77"/>
    <w:rsid w:val="00FD5F95"/>
    <w:rsid w:val="00FD6A97"/>
    <w:rsid w:val="00FD6AF2"/>
    <w:rsid w:val="00FD70E4"/>
    <w:rsid w:val="00FD7198"/>
    <w:rsid w:val="00FD77F1"/>
    <w:rsid w:val="00FD7AB8"/>
    <w:rsid w:val="00FE0A69"/>
    <w:rsid w:val="00FE0BB6"/>
    <w:rsid w:val="00FE0F23"/>
    <w:rsid w:val="00FE1B27"/>
    <w:rsid w:val="00FE1EC4"/>
    <w:rsid w:val="00FE2170"/>
    <w:rsid w:val="00FE2521"/>
    <w:rsid w:val="00FE26B7"/>
    <w:rsid w:val="00FE280A"/>
    <w:rsid w:val="00FE29DA"/>
    <w:rsid w:val="00FE2D58"/>
    <w:rsid w:val="00FE3103"/>
    <w:rsid w:val="00FE34D2"/>
    <w:rsid w:val="00FE3A81"/>
    <w:rsid w:val="00FE3BD1"/>
    <w:rsid w:val="00FE40DE"/>
    <w:rsid w:val="00FE4233"/>
    <w:rsid w:val="00FE438D"/>
    <w:rsid w:val="00FE43A5"/>
    <w:rsid w:val="00FE5228"/>
    <w:rsid w:val="00FE607B"/>
    <w:rsid w:val="00FE7504"/>
    <w:rsid w:val="00FE785B"/>
    <w:rsid w:val="00FF05B1"/>
    <w:rsid w:val="00FF0775"/>
    <w:rsid w:val="00FF0A0A"/>
    <w:rsid w:val="00FF0E29"/>
    <w:rsid w:val="00FF11A1"/>
    <w:rsid w:val="00FF185D"/>
    <w:rsid w:val="00FF256C"/>
    <w:rsid w:val="00FF33C1"/>
    <w:rsid w:val="00FF34F9"/>
    <w:rsid w:val="00FF3751"/>
    <w:rsid w:val="00FF3BF8"/>
    <w:rsid w:val="00FF3C53"/>
    <w:rsid w:val="00FF3CC5"/>
    <w:rsid w:val="00FF40BF"/>
    <w:rsid w:val="00FF4108"/>
    <w:rsid w:val="00FF4227"/>
    <w:rsid w:val="00FF4EA6"/>
    <w:rsid w:val="00FF51BF"/>
    <w:rsid w:val="00FF5850"/>
    <w:rsid w:val="00FF58F4"/>
    <w:rsid w:val="00FF5BD1"/>
    <w:rsid w:val="00FF63F7"/>
    <w:rsid w:val="00FF680A"/>
    <w:rsid w:val="00FF68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BCBE63E-FCEE-4E9F-9C78-A20D1E080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w:hAnsi="Arial" w:cs="Times New Roman"/>
        <w:sz w:val="18"/>
        <w:szCs w:val="18"/>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10B"/>
    <w:pPr>
      <w:suppressAutoHyphens/>
      <w:spacing w:before="200" w:line="276" w:lineRule="auto"/>
      <w:jc w:val="both"/>
    </w:pPr>
  </w:style>
  <w:style w:type="paragraph" w:styleId="Heading1">
    <w:name w:val="heading 1"/>
    <w:basedOn w:val="Normal"/>
    <w:next w:val="Normal"/>
    <w:link w:val="Heading1Char"/>
    <w:qFormat/>
    <w:rsid w:val="0070346E"/>
    <w:pPr>
      <w:keepNext/>
      <w:numPr>
        <w:ilvl w:val="1"/>
        <w:numId w:val="13"/>
      </w:numPr>
      <w:suppressAutoHyphens w:val="0"/>
      <w:spacing w:before="320" w:after="40"/>
      <w:jc w:val="left"/>
      <w:outlineLvl w:val="0"/>
    </w:pPr>
    <w:rPr>
      <w:rFonts w:asciiTheme="minorHAnsi" w:hAnsiTheme="minorHAnsi" w:cs="Arial"/>
      <w:b/>
      <w:sz w:val="32"/>
      <w:szCs w:val="32"/>
      <w:lang w:eastAsia="en-US"/>
    </w:rPr>
  </w:style>
  <w:style w:type="paragraph" w:styleId="Heading2">
    <w:name w:val="heading 2"/>
    <w:basedOn w:val="Heading1"/>
    <w:next w:val="Normal"/>
    <w:link w:val="Heading2Char"/>
    <w:qFormat/>
    <w:rsid w:val="00B22C44"/>
    <w:pPr>
      <w:numPr>
        <w:numId w:val="9"/>
      </w:numPr>
      <w:outlineLvl w:val="1"/>
    </w:pPr>
  </w:style>
  <w:style w:type="paragraph" w:styleId="Heading3">
    <w:name w:val="heading 3"/>
    <w:basedOn w:val="Heading2"/>
    <w:next w:val="Normal"/>
    <w:link w:val="Heading3Char"/>
    <w:qFormat/>
    <w:rsid w:val="0045269F"/>
    <w:pPr>
      <w:numPr>
        <w:ilvl w:val="2"/>
        <w:numId w:val="10"/>
      </w:numPr>
      <w:spacing w:before="280"/>
      <w:outlineLvl w:val="2"/>
    </w:pPr>
    <w:rPr>
      <w:sz w:val="22"/>
      <w:szCs w:val="22"/>
    </w:rPr>
  </w:style>
  <w:style w:type="paragraph" w:styleId="Heading4">
    <w:name w:val="heading 4"/>
    <w:basedOn w:val="Normal"/>
    <w:next w:val="Normal"/>
    <w:link w:val="Heading4Char"/>
    <w:uiPriority w:val="9"/>
    <w:qFormat/>
    <w:rsid w:val="0045269F"/>
    <w:pPr>
      <w:keepNext/>
      <w:spacing w:before="240" w:after="40"/>
      <w:outlineLvl w:val="3"/>
    </w:pPr>
    <w:rPr>
      <w:rFonts w:ascii="VIC" w:hAnsi="VIC"/>
      <w:color w:val="005EA1" w:themeColor="accent1"/>
      <w:lang w:eastAsia="en-US"/>
    </w:rPr>
  </w:style>
  <w:style w:type="paragraph" w:styleId="Heading5">
    <w:name w:val="heading 5"/>
    <w:basedOn w:val="Heading4"/>
    <w:next w:val="Normal"/>
    <w:link w:val="Heading5Char"/>
    <w:uiPriority w:val="9"/>
    <w:semiHidden/>
    <w:qFormat/>
    <w:rsid w:val="00F878B0"/>
    <w:pPr>
      <w:outlineLvl w:val="4"/>
    </w:pPr>
    <w:rPr>
      <w:rFonts w:eastAsia="Times New Roman"/>
      <w:u w:color="808080"/>
    </w:rPr>
  </w:style>
  <w:style w:type="paragraph" w:styleId="Heading6">
    <w:name w:val="heading 6"/>
    <w:basedOn w:val="NormalLeftAlign"/>
    <w:next w:val="Normal"/>
    <w:link w:val="Heading6Char"/>
    <w:uiPriority w:val="9"/>
    <w:semiHidden/>
    <w:unhideWhenUsed/>
    <w:qFormat/>
    <w:rsid w:val="008F228F"/>
    <w:pPr>
      <w:keepNext/>
      <w:tabs>
        <w:tab w:val="left" w:pos="357"/>
      </w:tabs>
      <w:spacing w:before="240"/>
      <w:outlineLvl w:val="5"/>
    </w:pPr>
    <w:rPr>
      <w:rFonts w:eastAsia="Times New Roman"/>
    </w:rPr>
  </w:style>
  <w:style w:type="paragraph" w:styleId="Heading7">
    <w:name w:val="heading 7"/>
    <w:basedOn w:val="NormalLeftAlign"/>
    <w:next w:val="Normal"/>
    <w:link w:val="Heading7Char"/>
    <w:uiPriority w:val="9"/>
    <w:semiHidden/>
    <w:unhideWhenUsed/>
    <w:qFormat/>
    <w:rsid w:val="00EE6E35"/>
    <w:pPr>
      <w:keepNext/>
      <w:spacing w:before="200"/>
      <w:outlineLvl w:val="6"/>
    </w:pPr>
  </w:style>
  <w:style w:type="paragraph" w:styleId="Heading8">
    <w:name w:val="heading 8"/>
    <w:basedOn w:val="Normal"/>
    <w:next w:val="Normal"/>
    <w:link w:val="Heading8Char"/>
    <w:uiPriority w:val="9"/>
    <w:semiHidden/>
    <w:qFormat/>
    <w:rsid w:val="00D03EDA"/>
    <w:pPr>
      <w:spacing w:after="40"/>
      <w:outlineLvl w:val="7"/>
    </w:pPr>
  </w:style>
  <w:style w:type="paragraph" w:styleId="Heading9">
    <w:name w:val="heading 9"/>
    <w:basedOn w:val="Heading8"/>
    <w:next w:val="Normal"/>
    <w:link w:val="Heading9Char"/>
    <w:uiPriority w:val="9"/>
    <w:semiHidden/>
    <w:unhideWhenUsed/>
    <w:qFormat/>
    <w:rsid w:val="00756D2C"/>
    <w:pPr>
      <w:keepNext/>
      <w:keepLines/>
      <w:outlineLvl w:val="8"/>
    </w:pPr>
    <w:rPr>
      <w:rFonts w:eastAsiaTheme="majorEastAsia" w:cstheme="majorBidi"/>
      <w:i/>
      <w:iCs/>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ListBigIndent">
    <w:name w:val="Indent List Big Indent"/>
    <w:basedOn w:val="NormalLeftAlign"/>
    <w:semiHidden/>
    <w:rsid w:val="006A4B4A"/>
    <w:pPr>
      <w:tabs>
        <w:tab w:val="left" w:pos="1134"/>
        <w:tab w:val="left" w:pos="1985"/>
      </w:tabs>
      <w:spacing w:before="0"/>
      <w:ind w:left="1134"/>
    </w:pPr>
  </w:style>
  <w:style w:type="table" w:styleId="TableGrid">
    <w:name w:val="Table Grid"/>
    <w:basedOn w:val="TableNormal"/>
    <w:rsid w:val="005D6B50"/>
    <w:pPr>
      <w:tabs>
        <w:tab w:val="left" w:pos="425"/>
        <w:tab w:val="left" w:pos="709"/>
        <w:tab w:val="left" w:pos="992"/>
      </w:tabs>
      <w:suppressAutoHyphens/>
    </w:pPr>
    <w:rPr>
      <w:sz w:val="20"/>
    </w:rPr>
    <w:tblPr>
      <w:tblBorders>
        <w:bottom w:val="single" w:sz="4" w:space="0" w:color="808080"/>
        <w:insideH w:val="single" w:sz="4" w:space="0" w:color="808080"/>
      </w:tblBorders>
    </w:tblPr>
  </w:style>
  <w:style w:type="character" w:customStyle="1" w:styleId="TableheadingsChar">
    <w:name w:val="Table / headings Char"/>
    <w:basedOn w:val="DefaultParagraphFont"/>
    <w:link w:val="Tableheadings"/>
    <w:rsid w:val="00F16B89"/>
    <w:rPr>
      <w:rFonts w:ascii="VIC SemiBold" w:hAnsi="VIC SemiBold"/>
      <w:b/>
      <w:caps/>
      <w:color w:val="FFFFFF" w:themeColor="background1"/>
      <w:sz w:val="16"/>
    </w:rPr>
  </w:style>
  <w:style w:type="character" w:customStyle="1" w:styleId="TabletextChar">
    <w:name w:val="Table / text Char"/>
    <w:basedOn w:val="TableheadingsChar"/>
    <w:link w:val="Tabletext"/>
    <w:rsid w:val="001B43BF"/>
    <w:rPr>
      <w:rFonts w:ascii="VIC SemiBold" w:hAnsi="VIC SemiBold"/>
      <w:b w:val="0"/>
      <w:caps w:val="0"/>
      <w:color w:val="262626" w:themeColor="text1" w:themeTint="D9"/>
      <w:sz w:val="16"/>
    </w:rPr>
  </w:style>
  <w:style w:type="paragraph" w:customStyle="1" w:styleId="Marginbox">
    <w:name w:val="Margin box"/>
    <w:basedOn w:val="NormalLeftAlign"/>
    <w:next w:val="Normal"/>
    <w:semiHidden/>
    <w:rsid w:val="002F2B1E"/>
    <w:pPr>
      <w:spacing w:before="0"/>
      <w:ind w:right="113"/>
      <w:jc w:val="right"/>
    </w:pPr>
    <w:rPr>
      <w:i/>
      <w:sz w:val="24"/>
    </w:rPr>
  </w:style>
  <w:style w:type="paragraph" w:customStyle="1" w:styleId="NormalLeftAlign">
    <w:name w:val="Normal Left Align"/>
    <w:semiHidden/>
    <w:rsid w:val="00960299"/>
    <w:pPr>
      <w:suppressAutoHyphens/>
      <w:spacing w:before="160"/>
    </w:pPr>
    <w:rPr>
      <w:sz w:val="21"/>
      <w:lang w:eastAsia="en-US"/>
    </w:rPr>
  </w:style>
  <w:style w:type="paragraph" w:customStyle="1" w:styleId="Tableheadings">
    <w:name w:val="Table / headings"/>
    <w:basedOn w:val="Normal"/>
    <w:link w:val="TableheadingsChar"/>
    <w:rsid w:val="00F16B89"/>
    <w:pPr>
      <w:keepNext/>
      <w:spacing w:before="120" w:after="80"/>
      <w:jc w:val="left"/>
    </w:pPr>
    <w:rPr>
      <w:rFonts w:ascii="VIC SemiBold" w:hAnsi="VIC SemiBold"/>
      <w:b/>
      <w:caps/>
      <w:color w:val="FFFFFF" w:themeColor="background1"/>
      <w:sz w:val="16"/>
    </w:rPr>
  </w:style>
  <w:style w:type="paragraph" w:customStyle="1" w:styleId="List3dash">
    <w:name w:val="List 3 / dash"/>
    <w:basedOn w:val="Normal"/>
    <w:qFormat/>
    <w:rsid w:val="00B7210B"/>
    <w:pPr>
      <w:keepLines/>
      <w:numPr>
        <w:numId w:val="5"/>
      </w:numPr>
      <w:spacing w:before="40"/>
      <w:ind w:left="568" w:hanging="284"/>
      <w:jc w:val="left"/>
    </w:pPr>
    <w:rPr>
      <w:rFonts w:eastAsia="Arial Unicode MS" w:cs="Arial"/>
      <w:lang w:eastAsia="en-US"/>
    </w:rPr>
  </w:style>
  <w:style w:type="character" w:customStyle="1" w:styleId="TablenoobjChar">
    <w:name w:val="Table / no. obj Char"/>
    <w:basedOn w:val="TabletextChar"/>
    <w:link w:val="Tablenoobj"/>
    <w:rsid w:val="00D23473"/>
    <w:rPr>
      <w:rFonts w:ascii="VIC SemiBold" w:hAnsi="VIC SemiBold"/>
      <w:b w:val="0"/>
      <w:caps w:val="0"/>
      <w:color w:val="003C74" w:themeColor="text2"/>
      <w:sz w:val="28"/>
    </w:rPr>
  </w:style>
  <w:style w:type="paragraph" w:customStyle="1" w:styleId="Tabletext">
    <w:name w:val="Table / text"/>
    <w:basedOn w:val="Normal"/>
    <w:link w:val="TabletextChar"/>
    <w:qFormat/>
    <w:rsid w:val="001B43BF"/>
    <w:pPr>
      <w:spacing w:before="40" w:after="40"/>
      <w:jc w:val="left"/>
    </w:pPr>
    <w:rPr>
      <w:color w:val="262626" w:themeColor="text1" w:themeTint="D9"/>
      <w:sz w:val="16"/>
    </w:rPr>
  </w:style>
  <w:style w:type="paragraph" w:styleId="BodyTextIndent">
    <w:name w:val="Body Text Indent"/>
    <w:aliases w:val="Quote1"/>
    <w:basedOn w:val="Normal"/>
    <w:link w:val="BodyTextIndentChar"/>
    <w:semiHidden/>
    <w:rsid w:val="00181D1D"/>
    <w:pPr>
      <w:tabs>
        <w:tab w:val="left" w:pos="426"/>
      </w:tabs>
      <w:ind w:left="426"/>
    </w:pPr>
    <w:rPr>
      <w:i/>
    </w:rPr>
  </w:style>
  <w:style w:type="paragraph" w:customStyle="1" w:styleId="List2indent">
    <w:name w:val="List 2 / indent"/>
    <w:basedOn w:val="Normal"/>
    <w:qFormat/>
    <w:rsid w:val="00B7210B"/>
    <w:pPr>
      <w:keepLines/>
      <w:spacing w:before="120"/>
      <w:ind w:left="284"/>
      <w:jc w:val="left"/>
    </w:pPr>
    <w:rPr>
      <w:rFonts w:eastAsia="Arial Unicode MS" w:cs="Arial"/>
    </w:rPr>
  </w:style>
  <w:style w:type="paragraph" w:styleId="BodyText">
    <w:name w:val="Body Text"/>
    <w:basedOn w:val="Normal"/>
    <w:link w:val="BodyTextChar"/>
    <w:uiPriority w:val="99"/>
    <w:semiHidden/>
    <w:rsid w:val="00F93BB6"/>
    <w:rPr>
      <w:color w:val="000000"/>
    </w:rPr>
  </w:style>
  <w:style w:type="numbering" w:customStyle="1" w:styleId="NumberedList">
    <w:name w:val="Numbered List"/>
    <w:basedOn w:val="NoList"/>
    <w:rsid w:val="00FE70B6"/>
    <w:pPr>
      <w:numPr>
        <w:numId w:val="1"/>
      </w:numPr>
    </w:pPr>
  </w:style>
  <w:style w:type="paragraph" w:customStyle="1" w:styleId="Heading1nonumbers">
    <w:name w:val="Heading 1 no numbers"/>
    <w:basedOn w:val="Heading1"/>
    <w:next w:val="Normal"/>
    <w:qFormat/>
    <w:rsid w:val="005A728A"/>
    <w:pPr>
      <w:numPr>
        <w:numId w:val="0"/>
      </w:numPr>
    </w:pPr>
  </w:style>
  <w:style w:type="numbering" w:customStyle="1" w:styleId="Numbers">
    <w:name w:val="Numbers"/>
    <w:basedOn w:val="NoList"/>
    <w:rsid w:val="00FE70B6"/>
    <w:pPr>
      <w:numPr>
        <w:numId w:val="2"/>
      </w:numPr>
    </w:pPr>
  </w:style>
  <w:style w:type="paragraph" w:styleId="Footer">
    <w:name w:val="footer"/>
    <w:basedOn w:val="Normal"/>
    <w:link w:val="FooterChar"/>
    <w:unhideWhenUsed/>
    <w:qFormat/>
    <w:rsid w:val="000A60B0"/>
    <w:pPr>
      <w:tabs>
        <w:tab w:val="center" w:pos="4513"/>
        <w:tab w:val="right" w:pos="9026"/>
      </w:tabs>
      <w:spacing w:before="0"/>
    </w:pPr>
  </w:style>
  <w:style w:type="character" w:customStyle="1" w:styleId="Heading1Char">
    <w:name w:val="Heading 1 Char"/>
    <w:basedOn w:val="DefaultParagraphFont"/>
    <w:link w:val="Heading1"/>
    <w:rsid w:val="0070346E"/>
    <w:rPr>
      <w:rFonts w:asciiTheme="minorHAnsi" w:hAnsiTheme="minorHAnsi" w:cs="Arial"/>
      <w:b/>
      <w:sz w:val="32"/>
      <w:szCs w:val="32"/>
      <w:lang w:eastAsia="en-US"/>
    </w:rPr>
  </w:style>
  <w:style w:type="character" w:customStyle="1" w:styleId="Heading2Char">
    <w:name w:val="Heading 2 Char"/>
    <w:basedOn w:val="DefaultParagraphFont"/>
    <w:link w:val="Heading2"/>
    <w:rsid w:val="00B22C44"/>
    <w:rPr>
      <w:rFonts w:asciiTheme="minorHAnsi" w:hAnsiTheme="minorHAnsi" w:cs="Arial"/>
      <w:b/>
      <w:sz w:val="32"/>
      <w:szCs w:val="32"/>
      <w:lang w:eastAsia="en-US"/>
    </w:rPr>
  </w:style>
  <w:style w:type="character" w:customStyle="1" w:styleId="Heading3Char">
    <w:name w:val="Heading 3 Char"/>
    <w:basedOn w:val="DefaultParagraphFont"/>
    <w:link w:val="Heading3"/>
    <w:rsid w:val="0045269F"/>
    <w:rPr>
      <w:rFonts w:asciiTheme="minorHAnsi" w:hAnsiTheme="minorHAnsi" w:cs="Arial"/>
      <w:b/>
      <w:sz w:val="22"/>
      <w:szCs w:val="22"/>
      <w:lang w:eastAsia="en-US"/>
    </w:rPr>
  </w:style>
  <w:style w:type="character" w:customStyle="1" w:styleId="Heading4Char">
    <w:name w:val="Heading 4 Char"/>
    <w:basedOn w:val="DefaultParagraphFont"/>
    <w:link w:val="Heading4"/>
    <w:uiPriority w:val="9"/>
    <w:rsid w:val="0045269F"/>
    <w:rPr>
      <w:rFonts w:ascii="VIC" w:hAnsi="VIC"/>
      <w:color w:val="005EA1" w:themeColor="accent1"/>
      <w:lang w:eastAsia="en-US"/>
    </w:rPr>
  </w:style>
  <w:style w:type="character" w:customStyle="1" w:styleId="Heading5Char">
    <w:name w:val="Heading 5 Char"/>
    <w:basedOn w:val="DefaultParagraphFont"/>
    <w:link w:val="Heading5"/>
    <w:uiPriority w:val="9"/>
    <w:semiHidden/>
    <w:rsid w:val="000361CF"/>
    <w:rPr>
      <w:rFonts w:ascii="Swis721 BlkCn BT" w:eastAsia="Times New Roman" w:hAnsi="Swis721 BlkCn BT"/>
      <w:u w:color="808080"/>
      <w:lang w:eastAsia="en-US"/>
    </w:rPr>
  </w:style>
  <w:style w:type="paragraph" w:customStyle="1" w:styleId="Tablelists">
    <w:name w:val="Table / lists"/>
    <w:basedOn w:val="Tabletext"/>
    <w:qFormat/>
    <w:rsid w:val="00B7210B"/>
    <w:pPr>
      <w:numPr>
        <w:numId w:val="3"/>
      </w:numPr>
      <w:ind w:left="284" w:hanging="284"/>
    </w:pPr>
    <w:rPr>
      <w:rFonts w:cs="Tahoma"/>
      <w:szCs w:val="16"/>
    </w:rPr>
  </w:style>
  <w:style w:type="paragraph" w:customStyle="1" w:styleId="List1bullet">
    <w:name w:val="List 1 / bullet"/>
    <w:basedOn w:val="Normal"/>
    <w:qFormat/>
    <w:rsid w:val="0045269F"/>
    <w:pPr>
      <w:keepLines/>
      <w:numPr>
        <w:numId w:val="4"/>
      </w:numPr>
      <w:spacing w:before="120"/>
      <w:jc w:val="left"/>
    </w:pPr>
    <w:rPr>
      <w:rFonts w:eastAsia="Arial Unicode MS" w:cs="Arial"/>
    </w:rPr>
  </w:style>
  <w:style w:type="paragraph" w:customStyle="1" w:styleId="Tablenoobj">
    <w:name w:val="Table / no. obj"/>
    <w:basedOn w:val="Tabletext"/>
    <w:link w:val="TablenoobjChar"/>
    <w:qFormat/>
    <w:rsid w:val="00D23473"/>
    <w:pPr>
      <w:numPr>
        <w:numId w:val="6"/>
      </w:numPr>
      <w:tabs>
        <w:tab w:val="left" w:pos="425"/>
        <w:tab w:val="left" w:pos="709"/>
        <w:tab w:val="left" w:pos="992"/>
      </w:tabs>
      <w:jc w:val="center"/>
    </w:pPr>
    <w:rPr>
      <w:rFonts w:ascii="VIC SemiBold" w:hAnsi="VIC SemiBold"/>
      <w:color w:val="003C74" w:themeColor="text2"/>
      <w:sz w:val="28"/>
    </w:rPr>
  </w:style>
  <w:style w:type="character" w:customStyle="1" w:styleId="FooterChar">
    <w:name w:val="Footer Char"/>
    <w:basedOn w:val="DefaultParagraphFont"/>
    <w:link w:val="Footer"/>
    <w:rsid w:val="000A60B0"/>
  </w:style>
  <w:style w:type="table" w:customStyle="1" w:styleId="Lined">
    <w:name w:val="Lined"/>
    <w:basedOn w:val="TableNormal"/>
    <w:uiPriority w:val="99"/>
    <w:qFormat/>
    <w:rsid w:val="00E04BEC"/>
    <w:tblPr>
      <w:tblBorders>
        <w:top w:val="single" w:sz="12" w:space="0" w:color="auto"/>
        <w:bottom w:val="single" w:sz="12" w:space="0" w:color="auto"/>
        <w:insideH w:val="single" w:sz="4" w:space="0" w:color="auto"/>
      </w:tblBorders>
      <w:tblCellMar>
        <w:top w:w="57" w:type="dxa"/>
        <w:left w:w="57" w:type="dxa"/>
        <w:bottom w:w="57" w:type="dxa"/>
        <w:right w:w="57" w:type="dxa"/>
      </w:tblCellMar>
    </w:tblPr>
    <w:trPr>
      <w:cantSplit/>
    </w:trPr>
    <w:tblStylePr w:type="firstRow">
      <w:tblPr/>
      <w:tcPr>
        <w:tcBorders>
          <w:top w:val="single" w:sz="12" w:space="0" w:color="auto"/>
          <w:left w:val="nil"/>
          <w:bottom w:val="single" w:sz="4" w:space="0" w:color="auto"/>
          <w:right w:val="nil"/>
          <w:insideH w:val="nil"/>
          <w:insideV w:val="nil"/>
          <w:tl2br w:val="nil"/>
          <w:tr2bl w:val="nil"/>
        </w:tcBorders>
      </w:tcPr>
    </w:tblStylePr>
    <w:tblStylePr w:type="lastRow">
      <w:rPr>
        <w:rFonts w:ascii="Arial" w:hAnsi="Arial"/>
      </w:rPr>
      <w:tblPr/>
      <w:tcPr>
        <w:tcBorders>
          <w:top w:val="single" w:sz="4" w:space="0" w:color="auto"/>
          <w:left w:val="nil"/>
          <w:bottom w:val="single" w:sz="12" w:space="0" w:color="auto"/>
          <w:right w:val="nil"/>
          <w:insideH w:val="nil"/>
          <w:insideV w:val="nil"/>
          <w:tl2br w:val="nil"/>
          <w:tr2bl w:val="nil"/>
        </w:tcBorders>
      </w:tcPr>
    </w:tblStylePr>
  </w:style>
  <w:style w:type="table" w:styleId="Table3Deffects3">
    <w:name w:val="Table 3D effects 3"/>
    <w:basedOn w:val="TableNormal"/>
    <w:rsid w:val="00F76502"/>
    <w:pPr>
      <w:tabs>
        <w:tab w:val="left" w:pos="425"/>
        <w:tab w:val="left" w:pos="709"/>
        <w:tab w:val="left" w:pos="992"/>
      </w:tabs>
      <w:suppressAutoHyphens/>
      <w:spacing w:before="1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Base">
    <w:name w:val="Table Base"/>
    <w:basedOn w:val="TableNormal"/>
    <w:uiPriority w:val="99"/>
    <w:qFormat/>
    <w:rsid w:val="001723E4"/>
    <w:tblPr/>
  </w:style>
  <w:style w:type="table" w:customStyle="1" w:styleId="MPA">
    <w:name w:val="MPA"/>
    <w:basedOn w:val="TableNormal"/>
    <w:uiPriority w:val="99"/>
    <w:rsid w:val="00065392"/>
    <w:rPr>
      <w:sz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b w:val="0"/>
        <w:color w:val="FFFFFF" w:themeColor="background1"/>
      </w:rPr>
      <w:tblPr/>
      <w:tcPr>
        <w:tcBorders>
          <w:top w:val="nil"/>
          <w:left w:val="nil"/>
          <w:bottom w:val="nil"/>
          <w:right w:val="nil"/>
          <w:insideH w:val="nil"/>
          <w:insideV w:val="nil"/>
          <w:tl2br w:val="nil"/>
          <w:tr2bl w:val="nil"/>
        </w:tcBorders>
        <w:shd w:val="solid" w:color="7030A0" w:fill="7030A0"/>
      </w:tcPr>
    </w:tblStylePr>
  </w:style>
  <w:style w:type="paragraph" w:styleId="BalloonText">
    <w:name w:val="Balloon Text"/>
    <w:basedOn w:val="Normal"/>
    <w:link w:val="BalloonTextChar"/>
    <w:uiPriority w:val="99"/>
    <w:semiHidden/>
    <w:unhideWhenUsed/>
    <w:rsid w:val="00587F30"/>
    <w:pPr>
      <w:spacing w:before="0"/>
    </w:pPr>
    <w:rPr>
      <w:rFonts w:cs="Tahoma"/>
      <w:sz w:val="16"/>
      <w:szCs w:val="16"/>
    </w:rPr>
  </w:style>
  <w:style w:type="character" w:customStyle="1" w:styleId="BalloonTextChar">
    <w:name w:val="Balloon Text Char"/>
    <w:basedOn w:val="DefaultParagraphFont"/>
    <w:link w:val="BalloonText"/>
    <w:uiPriority w:val="99"/>
    <w:semiHidden/>
    <w:rsid w:val="00587F30"/>
    <w:rPr>
      <w:rFonts w:cs="Tahoma"/>
      <w:sz w:val="16"/>
      <w:szCs w:val="16"/>
      <w:lang w:eastAsia="en-US"/>
    </w:rPr>
  </w:style>
  <w:style w:type="paragraph" w:customStyle="1" w:styleId="Tablenoreq">
    <w:name w:val="Table / no. req"/>
    <w:basedOn w:val="Tablenoobj"/>
    <w:qFormat/>
    <w:rsid w:val="008C5740"/>
    <w:pPr>
      <w:numPr>
        <w:numId w:val="7"/>
      </w:numPr>
    </w:pPr>
    <w:rPr>
      <w:color w:val="95C11F" w:themeColor="accent3"/>
    </w:rPr>
  </w:style>
  <w:style w:type="paragraph" w:customStyle="1" w:styleId="Tablenoguid">
    <w:name w:val="Table / no. guid"/>
    <w:basedOn w:val="Tablenoobj"/>
    <w:qFormat/>
    <w:rsid w:val="008C5740"/>
    <w:pPr>
      <w:numPr>
        <w:numId w:val="8"/>
      </w:numPr>
    </w:pPr>
    <w:rPr>
      <w:color w:val="008BD2" w:themeColor="accent2"/>
    </w:rPr>
  </w:style>
  <w:style w:type="table" w:styleId="TableClassic1">
    <w:name w:val="Table Classic 1"/>
    <w:basedOn w:val="TableNormal"/>
    <w:rsid w:val="00411E4E"/>
    <w:pPr>
      <w:suppressAutoHyphens/>
      <w:spacing w:before="16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411E4E"/>
    <w:pPr>
      <w:suppressAutoHyphens/>
      <w:spacing w:before="16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GreyBar">
    <w:name w:val="Grey Bar"/>
    <w:basedOn w:val="Lined"/>
    <w:uiPriority w:val="99"/>
    <w:qFormat/>
    <w:rsid w:val="00B5012F"/>
    <w:tblPr>
      <w:tblBorders>
        <w:top w:val="none" w:sz="0" w:space="0" w:color="auto"/>
        <w:bottom w:val="single" w:sz="8" w:space="0" w:color="A6A6A6" w:themeColor="background1" w:themeShade="A6"/>
        <w:insideH w:val="single" w:sz="8" w:space="0" w:color="A6A6A6" w:themeColor="background1" w:themeShade="A6"/>
      </w:tblBorders>
    </w:tblPr>
    <w:tblStylePr w:type="firstRow">
      <w:rPr>
        <w:color w:val="FFFFFF" w:themeColor="background1"/>
      </w:rPr>
      <w:tblPr/>
      <w:tcPr>
        <w:tcBorders>
          <w:top w:val="nil"/>
          <w:left w:val="nil"/>
          <w:bottom w:val="nil"/>
          <w:right w:val="nil"/>
          <w:insideH w:val="nil"/>
          <w:insideV w:val="nil"/>
          <w:tl2br w:val="nil"/>
          <w:tr2bl w:val="nil"/>
        </w:tcBorders>
        <w:shd w:val="clear" w:color="auto" w:fill="A6A6A6" w:themeFill="background1" w:themeFillShade="A6"/>
      </w:tcPr>
    </w:tblStylePr>
    <w:tblStylePr w:type="lastRow">
      <w:rPr>
        <w:rFonts w:ascii="Arial" w:hAnsi="Arial"/>
      </w:rPr>
      <w:tblPr/>
      <w:tcPr>
        <w:tcBorders>
          <w:top w:val="single" w:sz="8" w:space="0" w:color="A6A6A6" w:themeColor="background1" w:themeShade="A6"/>
          <w:left w:val="nil"/>
          <w:bottom w:val="single" w:sz="8" w:space="0" w:color="A6A6A6" w:themeColor="background1" w:themeShade="A6"/>
          <w:right w:val="nil"/>
          <w:insideH w:val="nil"/>
          <w:insideV w:val="nil"/>
          <w:tl2br w:val="nil"/>
          <w:tr2bl w:val="nil"/>
        </w:tcBorders>
      </w:tcPr>
    </w:tblStylePr>
    <w:tblStylePr w:type="band1Horz">
      <w:tblPr/>
      <w:tcPr>
        <w:tcBorders>
          <w:top w:val="nil"/>
          <w:bottom w:val="nil"/>
          <w:insideH w:val="single" w:sz="4" w:space="0" w:color="auto"/>
        </w:tcBorders>
      </w:tcPr>
    </w:tblStylePr>
  </w:style>
  <w:style w:type="table" w:styleId="MediumGrid2-Accent6">
    <w:name w:val="Medium Grid 2 Accent 6"/>
    <w:basedOn w:val="TableNormal"/>
    <w:uiPriority w:val="68"/>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insideH w:val="single" w:sz="8" w:space="0" w:color="63B9E9" w:themeColor="accent6"/>
        <w:insideV w:val="single" w:sz="8" w:space="0" w:color="63B9E9" w:themeColor="accent6"/>
      </w:tblBorders>
    </w:tblPr>
    <w:tcPr>
      <w:shd w:val="clear" w:color="auto" w:fill="D8EDF9" w:themeFill="accent6" w:themeFillTint="3F"/>
    </w:tcPr>
    <w:tblStylePr w:type="firstRow">
      <w:rPr>
        <w:b/>
        <w:bCs/>
        <w:color w:val="000000" w:themeColor="text1"/>
      </w:rPr>
      <w:tblPr/>
      <w:tcPr>
        <w:shd w:val="clear" w:color="auto" w:fill="EFF8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A" w:themeFill="accent6" w:themeFillTint="33"/>
      </w:tcPr>
    </w:tblStylePr>
    <w:tblStylePr w:type="band1Vert">
      <w:tblPr/>
      <w:tcPr>
        <w:shd w:val="clear" w:color="auto" w:fill="B1DBF4" w:themeFill="accent6" w:themeFillTint="7F"/>
      </w:tcPr>
    </w:tblStylePr>
    <w:tblStylePr w:type="band1Horz">
      <w:tblPr/>
      <w:tcPr>
        <w:tcBorders>
          <w:insideH w:val="single" w:sz="6" w:space="0" w:color="63B9E9" w:themeColor="accent6"/>
          <w:insideV w:val="single" w:sz="6" w:space="0" w:color="63B9E9" w:themeColor="accent6"/>
        </w:tcBorders>
        <w:shd w:val="clear" w:color="auto" w:fill="B1DBF4"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insideH w:val="single" w:sz="8" w:space="0" w:color="4CA22F" w:themeColor="accent5"/>
        <w:insideV w:val="single" w:sz="8" w:space="0" w:color="4CA22F" w:themeColor="accent5"/>
      </w:tblBorders>
    </w:tblPr>
    <w:tcPr>
      <w:shd w:val="clear" w:color="auto" w:fill="CFEEC5" w:themeFill="accent5" w:themeFillTint="3F"/>
    </w:tcPr>
    <w:tblStylePr w:type="firstRow">
      <w:rPr>
        <w:b/>
        <w:bCs/>
        <w:color w:val="000000" w:themeColor="text1"/>
      </w:rPr>
      <w:tblPr/>
      <w:tcPr>
        <w:shd w:val="clear" w:color="auto" w:fill="ECF8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D0" w:themeFill="accent5" w:themeFillTint="33"/>
      </w:tcPr>
    </w:tblStylePr>
    <w:tblStylePr w:type="band1Vert">
      <w:tblPr/>
      <w:tcPr>
        <w:shd w:val="clear" w:color="auto" w:fill="9FDD8A" w:themeFill="accent5" w:themeFillTint="7F"/>
      </w:tcPr>
    </w:tblStylePr>
    <w:tblStylePr w:type="band1Horz">
      <w:tblPr/>
      <w:tcPr>
        <w:tcBorders>
          <w:insideH w:val="single" w:sz="6" w:space="0" w:color="4CA22F" w:themeColor="accent5"/>
          <w:insideV w:val="single" w:sz="6" w:space="0" w:color="4CA22F" w:themeColor="accent5"/>
        </w:tcBorders>
        <w:shd w:val="clear" w:color="auto" w:fill="9FDD8A"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insideH w:val="single" w:sz="8" w:space="0" w:color="9CA0A3" w:themeColor="accent4"/>
        <w:insideV w:val="single" w:sz="8" w:space="0" w:color="9CA0A3" w:themeColor="accent4"/>
      </w:tblBorders>
    </w:tblPr>
    <w:tcPr>
      <w:shd w:val="clear" w:color="auto" w:fill="E6E7E8" w:themeFill="accent4" w:themeFillTint="3F"/>
    </w:tcPr>
    <w:tblStylePr w:type="firstRow">
      <w:rPr>
        <w:b/>
        <w:bCs/>
        <w:color w:val="000000" w:themeColor="text1"/>
      </w:rPr>
      <w:tblPr/>
      <w:tcPr>
        <w:shd w:val="clear" w:color="auto" w:fill="F5F5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BEC" w:themeFill="accent4" w:themeFillTint="33"/>
      </w:tcPr>
    </w:tblStylePr>
    <w:tblStylePr w:type="band1Vert">
      <w:tblPr/>
      <w:tcPr>
        <w:shd w:val="clear" w:color="auto" w:fill="CDCFD1" w:themeFill="accent4" w:themeFillTint="7F"/>
      </w:tcPr>
    </w:tblStylePr>
    <w:tblStylePr w:type="band1Horz">
      <w:tblPr/>
      <w:tcPr>
        <w:tcBorders>
          <w:insideH w:val="single" w:sz="6" w:space="0" w:color="9CA0A3" w:themeColor="accent4"/>
          <w:insideV w:val="single" w:sz="6" w:space="0" w:color="9CA0A3" w:themeColor="accent4"/>
        </w:tcBorders>
        <w:shd w:val="clear" w:color="auto" w:fill="CDCFD1"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insideH w:val="single" w:sz="8" w:space="0" w:color="95C11F" w:themeColor="accent3"/>
        <w:insideV w:val="single" w:sz="8" w:space="0" w:color="95C11F" w:themeColor="accent3"/>
      </w:tblBorders>
    </w:tblPr>
    <w:tcPr>
      <w:shd w:val="clear" w:color="auto" w:fill="E7F5C2" w:themeFill="accent3" w:themeFillTint="3F"/>
    </w:tcPr>
    <w:tblStylePr w:type="firstRow">
      <w:rPr>
        <w:b/>
        <w:bCs/>
        <w:color w:val="000000" w:themeColor="text1"/>
      </w:rPr>
      <w:tblPr/>
      <w:tcPr>
        <w:shd w:val="clear" w:color="auto" w:fill="F5FB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7CD" w:themeFill="accent3" w:themeFillTint="33"/>
      </w:tcPr>
    </w:tblStylePr>
    <w:tblStylePr w:type="band1Vert">
      <w:tblPr/>
      <w:tcPr>
        <w:shd w:val="clear" w:color="auto" w:fill="CEEB84" w:themeFill="accent3" w:themeFillTint="7F"/>
      </w:tcPr>
    </w:tblStylePr>
    <w:tblStylePr w:type="band1Horz">
      <w:tblPr/>
      <w:tcPr>
        <w:tcBorders>
          <w:insideH w:val="single" w:sz="6" w:space="0" w:color="95C11F" w:themeColor="accent3"/>
          <w:insideV w:val="single" w:sz="6" w:space="0" w:color="95C11F" w:themeColor="accent3"/>
        </w:tcBorders>
        <w:shd w:val="clear" w:color="auto" w:fill="CEEB84"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insideH w:val="single" w:sz="8" w:space="0" w:color="008BD2" w:themeColor="accent2"/>
        <w:insideV w:val="single" w:sz="8" w:space="0" w:color="008BD2" w:themeColor="accent2"/>
      </w:tblBorders>
    </w:tblPr>
    <w:tcPr>
      <w:shd w:val="clear" w:color="auto" w:fill="B4E5FF" w:themeFill="accent2" w:themeFillTint="3F"/>
    </w:tcPr>
    <w:tblStylePr w:type="firstRow">
      <w:rPr>
        <w:b/>
        <w:bCs/>
        <w:color w:val="000000" w:themeColor="text1"/>
      </w:rPr>
      <w:tblPr/>
      <w:tcPr>
        <w:shd w:val="clear" w:color="auto" w:fill="E1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AFF" w:themeFill="accent2" w:themeFillTint="33"/>
      </w:tcPr>
    </w:tblStylePr>
    <w:tblStylePr w:type="band1Vert">
      <w:tblPr/>
      <w:tcPr>
        <w:shd w:val="clear" w:color="auto" w:fill="69CBFF" w:themeFill="accent2" w:themeFillTint="7F"/>
      </w:tcPr>
    </w:tblStylePr>
    <w:tblStylePr w:type="band1Horz">
      <w:tblPr/>
      <w:tcPr>
        <w:tcBorders>
          <w:insideH w:val="single" w:sz="6" w:space="0" w:color="008BD2" w:themeColor="accent2"/>
          <w:insideV w:val="single" w:sz="6" w:space="0" w:color="008BD2" w:themeColor="accent2"/>
        </w:tcBorders>
        <w:shd w:val="clear" w:color="auto" w:fill="69CBFF"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insideH w:val="single" w:sz="8" w:space="0" w:color="005EA1" w:themeColor="accent1"/>
        <w:insideV w:val="single" w:sz="8" w:space="0" w:color="005EA1" w:themeColor="accent1"/>
      </w:tblBorders>
    </w:tblPr>
    <w:tcPr>
      <w:shd w:val="clear" w:color="auto" w:fill="A8DAFF" w:themeFill="accent1" w:themeFillTint="3F"/>
    </w:tcPr>
    <w:tblStylePr w:type="firstRow">
      <w:rPr>
        <w:b/>
        <w:bCs/>
        <w:color w:val="000000" w:themeColor="text1"/>
      </w:rPr>
      <w:tblPr/>
      <w:tcPr>
        <w:shd w:val="clear" w:color="auto" w:fill="DCF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E1FF" w:themeFill="accent1" w:themeFillTint="33"/>
      </w:tcPr>
    </w:tblStylePr>
    <w:tblStylePr w:type="band1Vert">
      <w:tblPr/>
      <w:tcPr>
        <w:shd w:val="clear" w:color="auto" w:fill="51B5FF" w:themeFill="accent1" w:themeFillTint="7F"/>
      </w:tcPr>
    </w:tblStylePr>
    <w:tblStylePr w:type="band1Horz">
      <w:tblPr/>
      <w:tcPr>
        <w:tcBorders>
          <w:insideH w:val="single" w:sz="6" w:space="0" w:color="005EA1" w:themeColor="accent1"/>
          <w:insideV w:val="single" w:sz="6" w:space="0" w:color="005EA1" w:themeColor="accent1"/>
        </w:tcBorders>
        <w:shd w:val="clear" w:color="auto" w:fill="51B5FF" w:themeFill="accent1" w:themeFillTint="7F"/>
      </w:tcPr>
    </w:tblStylePr>
    <w:tblStylePr w:type="nwCell">
      <w:tblPr/>
      <w:tcPr>
        <w:shd w:val="clear" w:color="auto" w:fill="FFFFFF" w:themeFill="background1"/>
      </w:tcPr>
    </w:tblStylePr>
  </w:style>
  <w:style w:type="table" w:customStyle="1" w:styleId="MediumGrid21">
    <w:name w:val="Medium Grid 21"/>
    <w:basedOn w:val="TableNormal"/>
    <w:uiPriority w:val="68"/>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List2-Accent6">
    <w:name w:val="Medium List 2 Accent 6"/>
    <w:basedOn w:val="TableNormal"/>
    <w:uiPriority w:val="66"/>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tblBorders>
    </w:tblPr>
    <w:tblStylePr w:type="firstRow">
      <w:rPr>
        <w:sz w:val="24"/>
        <w:szCs w:val="24"/>
      </w:rPr>
      <w:tblPr/>
      <w:tcPr>
        <w:tcBorders>
          <w:top w:val="nil"/>
          <w:left w:val="nil"/>
          <w:bottom w:val="single" w:sz="24" w:space="0" w:color="63B9E9" w:themeColor="accent6"/>
          <w:right w:val="nil"/>
          <w:insideH w:val="nil"/>
          <w:insideV w:val="nil"/>
        </w:tcBorders>
        <w:shd w:val="clear" w:color="auto" w:fill="FFFFFF" w:themeFill="background1"/>
      </w:tcPr>
    </w:tblStylePr>
    <w:tblStylePr w:type="lastRow">
      <w:tblPr/>
      <w:tcPr>
        <w:tcBorders>
          <w:top w:val="single" w:sz="8" w:space="0" w:color="63B9E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B9E9" w:themeColor="accent6"/>
          <w:insideH w:val="nil"/>
          <w:insideV w:val="nil"/>
        </w:tcBorders>
        <w:shd w:val="clear" w:color="auto" w:fill="FFFFFF" w:themeFill="background1"/>
      </w:tcPr>
    </w:tblStylePr>
    <w:tblStylePr w:type="lastCol">
      <w:tblPr/>
      <w:tcPr>
        <w:tcBorders>
          <w:top w:val="nil"/>
          <w:left w:val="single" w:sz="8" w:space="0" w:color="63B9E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DF9" w:themeFill="accent6" w:themeFillTint="3F"/>
      </w:tcPr>
    </w:tblStylePr>
    <w:tblStylePr w:type="band1Horz">
      <w:tblPr/>
      <w:tcPr>
        <w:tcBorders>
          <w:top w:val="nil"/>
          <w:bottom w:val="nil"/>
          <w:insideH w:val="nil"/>
          <w:insideV w:val="nil"/>
        </w:tcBorders>
        <w:shd w:val="clear" w:color="auto" w:fill="D8ED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tblBorders>
    </w:tblPr>
    <w:tblStylePr w:type="firstRow">
      <w:rPr>
        <w:sz w:val="24"/>
        <w:szCs w:val="24"/>
      </w:rPr>
      <w:tblPr/>
      <w:tcPr>
        <w:tcBorders>
          <w:top w:val="nil"/>
          <w:left w:val="nil"/>
          <w:bottom w:val="single" w:sz="24" w:space="0" w:color="4CA22F" w:themeColor="accent5"/>
          <w:right w:val="nil"/>
          <w:insideH w:val="nil"/>
          <w:insideV w:val="nil"/>
        </w:tcBorders>
        <w:shd w:val="clear" w:color="auto" w:fill="FFFFFF" w:themeFill="background1"/>
      </w:tcPr>
    </w:tblStylePr>
    <w:tblStylePr w:type="lastRow">
      <w:tblPr/>
      <w:tcPr>
        <w:tcBorders>
          <w:top w:val="single" w:sz="8" w:space="0" w:color="4CA22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A22F" w:themeColor="accent5"/>
          <w:insideH w:val="nil"/>
          <w:insideV w:val="nil"/>
        </w:tcBorders>
        <w:shd w:val="clear" w:color="auto" w:fill="FFFFFF" w:themeFill="background1"/>
      </w:tcPr>
    </w:tblStylePr>
    <w:tblStylePr w:type="lastCol">
      <w:tblPr/>
      <w:tcPr>
        <w:tcBorders>
          <w:top w:val="nil"/>
          <w:left w:val="single" w:sz="8" w:space="0" w:color="4CA22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C5" w:themeFill="accent5" w:themeFillTint="3F"/>
      </w:tcPr>
    </w:tblStylePr>
    <w:tblStylePr w:type="band1Horz">
      <w:tblPr/>
      <w:tcPr>
        <w:tcBorders>
          <w:top w:val="nil"/>
          <w:bottom w:val="nil"/>
          <w:insideH w:val="nil"/>
          <w:insideV w:val="nil"/>
        </w:tcBorders>
        <w:shd w:val="clear" w:color="auto" w:fill="CFEEC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tblBorders>
    </w:tblPr>
    <w:tblStylePr w:type="firstRow">
      <w:rPr>
        <w:sz w:val="24"/>
        <w:szCs w:val="24"/>
      </w:rPr>
      <w:tblPr/>
      <w:tcPr>
        <w:tcBorders>
          <w:top w:val="nil"/>
          <w:left w:val="nil"/>
          <w:bottom w:val="single" w:sz="24" w:space="0" w:color="9CA0A3" w:themeColor="accent4"/>
          <w:right w:val="nil"/>
          <w:insideH w:val="nil"/>
          <w:insideV w:val="nil"/>
        </w:tcBorders>
        <w:shd w:val="clear" w:color="auto" w:fill="FFFFFF" w:themeFill="background1"/>
      </w:tcPr>
    </w:tblStylePr>
    <w:tblStylePr w:type="lastRow">
      <w:tblPr/>
      <w:tcPr>
        <w:tcBorders>
          <w:top w:val="single" w:sz="8" w:space="0" w:color="9CA0A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A0A3" w:themeColor="accent4"/>
          <w:insideH w:val="nil"/>
          <w:insideV w:val="nil"/>
        </w:tcBorders>
        <w:shd w:val="clear" w:color="auto" w:fill="FFFFFF" w:themeFill="background1"/>
      </w:tcPr>
    </w:tblStylePr>
    <w:tblStylePr w:type="lastCol">
      <w:tblPr/>
      <w:tcPr>
        <w:tcBorders>
          <w:top w:val="nil"/>
          <w:left w:val="single" w:sz="8" w:space="0" w:color="9CA0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7E8" w:themeFill="accent4" w:themeFillTint="3F"/>
      </w:tcPr>
    </w:tblStylePr>
    <w:tblStylePr w:type="band1Horz">
      <w:tblPr/>
      <w:tcPr>
        <w:tcBorders>
          <w:top w:val="nil"/>
          <w:bottom w:val="nil"/>
          <w:insideH w:val="nil"/>
          <w:insideV w:val="nil"/>
        </w:tcBorders>
        <w:shd w:val="clear" w:color="auto" w:fill="E6E7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tblBorders>
    </w:tblPr>
    <w:tblStylePr w:type="firstRow">
      <w:rPr>
        <w:sz w:val="24"/>
        <w:szCs w:val="24"/>
      </w:rPr>
      <w:tblPr/>
      <w:tcPr>
        <w:tcBorders>
          <w:top w:val="nil"/>
          <w:left w:val="nil"/>
          <w:bottom w:val="single" w:sz="24" w:space="0" w:color="95C11F" w:themeColor="accent3"/>
          <w:right w:val="nil"/>
          <w:insideH w:val="nil"/>
          <w:insideV w:val="nil"/>
        </w:tcBorders>
        <w:shd w:val="clear" w:color="auto" w:fill="FFFFFF" w:themeFill="background1"/>
      </w:tcPr>
    </w:tblStylePr>
    <w:tblStylePr w:type="lastRow">
      <w:tblPr/>
      <w:tcPr>
        <w:tcBorders>
          <w:top w:val="single" w:sz="8" w:space="0" w:color="95C1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C11F" w:themeColor="accent3"/>
          <w:insideH w:val="nil"/>
          <w:insideV w:val="nil"/>
        </w:tcBorders>
        <w:shd w:val="clear" w:color="auto" w:fill="FFFFFF" w:themeFill="background1"/>
      </w:tcPr>
    </w:tblStylePr>
    <w:tblStylePr w:type="lastCol">
      <w:tblPr/>
      <w:tcPr>
        <w:tcBorders>
          <w:top w:val="nil"/>
          <w:left w:val="single" w:sz="8" w:space="0" w:color="95C1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5C2" w:themeFill="accent3" w:themeFillTint="3F"/>
      </w:tcPr>
    </w:tblStylePr>
    <w:tblStylePr w:type="band1Horz">
      <w:tblPr/>
      <w:tcPr>
        <w:tcBorders>
          <w:top w:val="nil"/>
          <w:bottom w:val="nil"/>
          <w:insideH w:val="nil"/>
          <w:insideV w:val="nil"/>
        </w:tcBorders>
        <w:shd w:val="clear" w:color="auto" w:fill="E7F5C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tblBorders>
    </w:tblPr>
    <w:tblStylePr w:type="firstRow">
      <w:rPr>
        <w:sz w:val="24"/>
        <w:szCs w:val="24"/>
      </w:rPr>
      <w:tblPr/>
      <w:tcPr>
        <w:tcBorders>
          <w:top w:val="nil"/>
          <w:left w:val="nil"/>
          <w:bottom w:val="single" w:sz="24" w:space="0" w:color="008BD2" w:themeColor="accent2"/>
          <w:right w:val="nil"/>
          <w:insideH w:val="nil"/>
          <w:insideV w:val="nil"/>
        </w:tcBorders>
        <w:shd w:val="clear" w:color="auto" w:fill="FFFFFF" w:themeFill="background1"/>
      </w:tcPr>
    </w:tblStylePr>
    <w:tblStylePr w:type="lastRow">
      <w:tblPr/>
      <w:tcPr>
        <w:tcBorders>
          <w:top w:val="single" w:sz="8" w:space="0" w:color="008BD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BD2" w:themeColor="accent2"/>
          <w:insideH w:val="nil"/>
          <w:insideV w:val="nil"/>
        </w:tcBorders>
        <w:shd w:val="clear" w:color="auto" w:fill="FFFFFF" w:themeFill="background1"/>
      </w:tcPr>
    </w:tblStylePr>
    <w:tblStylePr w:type="lastCol">
      <w:tblPr/>
      <w:tcPr>
        <w:tcBorders>
          <w:top w:val="nil"/>
          <w:left w:val="single" w:sz="8" w:space="0" w:color="008BD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E5FF" w:themeFill="accent2" w:themeFillTint="3F"/>
      </w:tcPr>
    </w:tblStylePr>
    <w:tblStylePr w:type="band1Horz">
      <w:tblPr/>
      <w:tcPr>
        <w:tcBorders>
          <w:top w:val="nil"/>
          <w:bottom w:val="nil"/>
          <w:insideH w:val="nil"/>
          <w:insideV w:val="nil"/>
        </w:tcBorders>
        <w:shd w:val="clear" w:color="auto" w:fill="B4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tblBorders>
    </w:tblPr>
    <w:tblStylePr w:type="firstRow">
      <w:rPr>
        <w:sz w:val="24"/>
        <w:szCs w:val="24"/>
      </w:rPr>
      <w:tblPr/>
      <w:tcPr>
        <w:tcBorders>
          <w:top w:val="nil"/>
          <w:left w:val="nil"/>
          <w:bottom w:val="single" w:sz="24" w:space="0" w:color="005EA1" w:themeColor="accent1"/>
          <w:right w:val="nil"/>
          <w:insideH w:val="nil"/>
          <w:insideV w:val="nil"/>
        </w:tcBorders>
        <w:shd w:val="clear" w:color="auto" w:fill="FFFFFF" w:themeFill="background1"/>
      </w:tcPr>
    </w:tblStylePr>
    <w:tblStylePr w:type="lastRow">
      <w:tblPr/>
      <w:tcPr>
        <w:tcBorders>
          <w:top w:val="single" w:sz="8" w:space="0" w:color="005EA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EA1" w:themeColor="accent1"/>
          <w:insideH w:val="nil"/>
          <w:insideV w:val="nil"/>
        </w:tcBorders>
        <w:shd w:val="clear" w:color="auto" w:fill="FFFFFF" w:themeFill="background1"/>
      </w:tcPr>
    </w:tblStylePr>
    <w:tblStylePr w:type="lastCol">
      <w:tblPr/>
      <w:tcPr>
        <w:tcBorders>
          <w:top w:val="nil"/>
          <w:left w:val="single" w:sz="8" w:space="0" w:color="005EA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AFF" w:themeFill="accent1" w:themeFillTint="3F"/>
      </w:tcPr>
    </w:tblStylePr>
    <w:tblStylePr w:type="band1Horz">
      <w:tblPr/>
      <w:tcPr>
        <w:tcBorders>
          <w:top w:val="nil"/>
          <w:bottom w:val="nil"/>
          <w:insideH w:val="nil"/>
          <w:insideV w:val="nil"/>
        </w:tcBorders>
        <w:shd w:val="clear" w:color="auto" w:fill="A8DA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Heading">
    <w:name w:val="TOC Heading"/>
    <w:basedOn w:val="Heading1"/>
    <w:next w:val="Normal"/>
    <w:uiPriority w:val="39"/>
    <w:unhideWhenUsed/>
    <w:qFormat/>
    <w:rsid w:val="00756D2C"/>
    <w:pPr>
      <w:keepLines/>
      <w:numPr>
        <w:numId w:val="0"/>
      </w:numPr>
      <w:suppressAutoHyphens/>
      <w:spacing w:before="480" w:after="0"/>
      <w:outlineLvl w:val="9"/>
    </w:pPr>
    <w:rPr>
      <w:rFonts w:eastAsiaTheme="majorEastAsia" w:cstheme="majorBidi"/>
      <w:bCs/>
      <w:caps/>
      <w:color w:val="004578" w:themeColor="accent1" w:themeShade="BF"/>
      <w:sz w:val="28"/>
      <w:szCs w:val="28"/>
    </w:rPr>
  </w:style>
  <w:style w:type="character" w:customStyle="1" w:styleId="Heading9Char">
    <w:name w:val="Heading 9 Char"/>
    <w:basedOn w:val="DefaultParagraphFont"/>
    <w:link w:val="Heading9"/>
    <w:uiPriority w:val="9"/>
    <w:semiHidden/>
    <w:rsid w:val="00756D2C"/>
    <w:rPr>
      <w:rFonts w:eastAsiaTheme="majorEastAsia" w:cstheme="majorBidi"/>
      <w:i/>
      <w:iCs/>
      <w:color w:val="404040" w:themeColor="text1" w:themeTint="BF"/>
      <w:lang w:eastAsia="en-US"/>
    </w:rPr>
  </w:style>
  <w:style w:type="character" w:customStyle="1" w:styleId="BodyTextIndentChar">
    <w:name w:val="Body Text Indent Char"/>
    <w:aliases w:val="Quote1 Char"/>
    <w:basedOn w:val="DefaultParagraphFont"/>
    <w:link w:val="BodyTextIndent"/>
    <w:semiHidden/>
    <w:rsid w:val="00587F30"/>
    <w:rPr>
      <w:i/>
      <w:sz w:val="18"/>
      <w:szCs w:val="18"/>
      <w:lang w:eastAsia="en-US"/>
    </w:rPr>
  </w:style>
  <w:style w:type="character" w:customStyle="1" w:styleId="BodyTextChar">
    <w:name w:val="Body Text Char"/>
    <w:basedOn w:val="DefaultParagraphFont"/>
    <w:link w:val="BodyText"/>
    <w:uiPriority w:val="99"/>
    <w:semiHidden/>
    <w:rsid w:val="00587F30"/>
    <w:rPr>
      <w:color w:val="000000"/>
      <w:szCs w:val="22"/>
      <w:lang w:eastAsia="en-US"/>
    </w:rPr>
  </w:style>
  <w:style w:type="paragraph" w:styleId="TOC1">
    <w:name w:val="toc 1"/>
    <w:basedOn w:val="Normal"/>
    <w:next w:val="Normal"/>
    <w:autoRedefine/>
    <w:uiPriority w:val="39"/>
    <w:unhideWhenUsed/>
    <w:rsid w:val="00A81C71"/>
    <w:pPr>
      <w:spacing w:after="100"/>
    </w:pPr>
  </w:style>
  <w:style w:type="paragraph" w:styleId="TOC2">
    <w:name w:val="toc 2"/>
    <w:basedOn w:val="Normal"/>
    <w:next w:val="Normal"/>
    <w:autoRedefine/>
    <w:uiPriority w:val="39"/>
    <w:unhideWhenUsed/>
    <w:rsid w:val="00352821"/>
    <w:pPr>
      <w:tabs>
        <w:tab w:val="right" w:leader="dot" w:pos="8488"/>
      </w:tabs>
      <w:spacing w:after="100"/>
      <w:ind w:left="709"/>
    </w:pPr>
  </w:style>
  <w:style w:type="character" w:styleId="Hyperlink">
    <w:name w:val="Hyperlink"/>
    <w:basedOn w:val="DefaultParagraphFont"/>
    <w:uiPriority w:val="99"/>
    <w:unhideWhenUsed/>
    <w:rsid w:val="00A81C71"/>
    <w:rPr>
      <w:color w:val="00B0F0" w:themeColor="hyperlink"/>
      <w:u w:val="single"/>
    </w:rPr>
  </w:style>
  <w:style w:type="paragraph" w:customStyle="1" w:styleId="HeadingContents">
    <w:name w:val="Heading / Contents"/>
    <w:basedOn w:val="Normal"/>
    <w:next w:val="Normal"/>
    <w:qFormat/>
    <w:rsid w:val="001A465C"/>
    <w:pPr>
      <w:pBdr>
        <w:bottom w:val="single" w:sz="4" w:space="1" w:color="005EA1" w:themeColor="accent1"/>
      </w:pBdr>
      <w:spacing w:before="240" w:after="120"/>
    </w:pPr>
    <w:rPr>
      <w:rFonts w:ascii="VIC" w:hAnsi="VIC" w:cs="Arial"/>
      <w:caps/>
      <w:sz w:val="32"/>
      <w:lang w:eastAsia="en-US"/>
    </w:rPr>
  </w:style>
  <w:style w:type="paragraph" w:customStyle="1" w:styleId="Heading2nonumbers">
    <w:name w:val="Heading 2 no numbers"/>
    <w:basedOn w:val="Heading2"/>
    <w:next w:val="Normal"/>
    <w:qFormat/>
    <w:rsid w:val="0070346E"/>
    <w:pPr>
      <w:numPr>
        <w:ilvl w:val="0"/>
        <w:numId w:val="0"/>
      </w:numPr>
    </w:pPr>
    <w:rPr>
      <w:sz w:val="26"/>
      <w:szCs w:val="26"/>
    </w:rPr>
  </w:style>
  <w:style w:type="paragraph" w:customStyle="1" w:styleId="Referencesource">
    <w:name w:val="Reference / source"/>
    <w:basedOn w:val="Normal"/>
    <w:next w:val="Normal"/>
    <w:qFormat/>
    <w:rsid w:val="00D968DC"/>
    <w:pPr>
      <w:spacing w:before="80"/>
    </w:pPr>
    <w:rPr>
      <w:i/>
      <w:sz w:val="16"/>
      <w:lang w:eastAsia="en-US"/>
    </w:rPr>
  </w:style>
  <w:style w:type="paragraph" w:customStyle="1" w:styleId="List2quote">
    <w:name w:val="List 2 / quote"/>
    <w:basedOn w:val="List2indent"/>
    <w:qFormat/>
    <w:rsid w:val="00B7210B"/>
    <w:rPr>
      <w:i/>
    </w:rPr>
  </w:style>
  <w:style w:type="paragraph" w:customStyle="1" w:styleId="Heading3nonumbers">
    <w:name w:val="Heading 3 no numbers"/>
    <w:basedOn w:val="Heading3"/>
    <w:next w:val="Normal"/>
    <w:qFormat/>
    <w:rsid w:val="006C38E1"/>
    <w:pPr>
      <w:numPr>
        <w:ilvl w:val="0"/>
        <w:numId w:val="0"/>
      </w:numPr>
    </w:pPr>
  </w:style>
  <w:style w:type="paragraph" w:styleId="Caption">
    <w:name w:val="caption"/>
    <w:basedOn w:val="Normal"/>
    <w:next w:val="Normal"/>
    <w:uiPriority w:val="35"/>
    <w:qFormat/>
    <w:rsid w:val="00F95F5C"/>
    <w:pPr>
      <w:keepNext/>
      <w:spacing w:after="80"/>
    </w:pPr>
    <w:rPr>
      <w:rFonts w:ascii="VIC" w:hAnsi="VIC"/>
      <w:iCs/>
      <w:color w:val="005EA1" w:themeColor="accent1"/>
    </w:rPr>
  </w:style>
  <w:style w:type="paragraph" w:styleId="TableofFigures">
    <w:name w:val="table of figures"/>
    <w:basedOn w:val="Normal"/>
    <w:next w:val="Normal"/>
    <w:uiPriority w:val="99"/>
    <w:unhideWhenUsed/>
    <w:rsid w:val="006A715A"/>
    <w:pPr>
      <w:spacing w:before="120"/>
    </w:pPr>
    <w:rPr>
      <w:szCs w:val="22"/>
    </w:rPr>
  </w:style>
  <w:style w:type="paragraph" w:styleId="TOC3">
    <w:name w:val="toc 3"/>
    <w:basedOn w:val="Normal"/>
    <w:next w:val="Normal"/>
    <w:autoRedefine/>
    <w:uiPriority w:val="39"/>
    <w:unhideWhenUsed/>
    <w:rsid w:val="00C92B9B"/>
    <w:pPr>
      <w:spacing w:after="100"/>
      <w:ind w:left="360"/>
    </w:pPr>
  </w:style>
  <w:style w:type="paragraph" w:styleId="TOC4">
    <w:name w:val="toc 4"/>
    <w:basedOn w:val="Normal"/>
    <w:next w:val="Normal"/>
    <w:autoRedefine/>
    <w:uiPriority w:val="39"/>
    <w:unhideWhenUsed/>
    <w:rsid w:val="00C92B9B"/>
    <w:pPr>
      <w:spacing w:after="100"/>
      <w:ind w:left="540"/>
    </w:pPr>
  </w:style>
  <w:style w:type="table" w:styleId="GridTable5Dark-Accent1">
    <w:name w:val="Grid Table 5 Dark Accent 1"/>
    <w:basedOn w:val="TableNormal"/>
    <w:uiPriority w:val="50"/>
    <w:rsid w:val="00A772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A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A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A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A1" w:themeFill="accent1"/>
      </w:tcPr>
    </w:tblStylePr>
    <w:tblStylePr w:type="band1Vert">
      <w:tblPr/>
      <w:tcPr>
        <w:shd w:val="clear" w:color="auto" w:fill="73C4FF" w:themeFill="accent1" w:themeFillTint="66"/>
      </w:tcPr>
    </w:tblStylePr>
    <w:tblStylePr w:type="band1Horz">
      <w:tblPr/>
      <w:tcPr>
        <w:shd w:val="clear" w:color="auto" w:fill="73C4FF" w:themeFill="accent1" w:themeFillTint="66"/>
      </w:tcPr>
    </w:tblStylePr>
  </w:style>
  <w:style w:type="paragraph" w:customStyle="1" w:styleId="List1number">
    <w:name w:val="List 1 / number"/>
    <w:basedOn w:val="List1bullet"/>
    <w:qFormat/>
    <w:rsid w:val="00F16B89"/>
    <w:pPr>
      <w:numPr>
        <w:numId w:val="11"/>
      </w:numPr>
      <w:ind w:left="284" w:hanging="284"/>
    </w:pPr>
    <w:rPr>
      <w:lang w:eastAsia="en-US"/>
    </w:rPr>
  </w:style>
  <w:style w:type="paragraph" w:styleId="ListParagraph">
    <w:name w:val="List Paragraph"/>
    <w:aliases w:val="Bullets 1,Bullet List"/>
    <w:basedOn w:val="Normal"/>
    <w:link w:val="ListParagraphChar"/>
    <w:uiPriority w:val="34"/>
    <w:qFormat/>
    <w:rsid w:val="00F00982"/>
    <w:pPr>
      <w:suppressAutoHyphens w:val="0"/>
      <w:spacing w:before="0" w:after="160" w:line="259" w:lineRule="auto"/>
      <w:ind w:left="720"/>
      <w:contextualSpacing/>
      <w:jc w:val="left"/>
    </w:pPr>
    <w:rPr>
      <w:rFonts w:asciiTheme="minorHAnsi" w:eastAsiaTheme="minorHAnsi" w:hAnsiTheme="minorHAnsi" w:cstheme="minorBidi"/>
      <w:sz w:val="22"/>
      <w:szCs w:val="22"/>
      <w:lang w:eastAsia="en-US"/>
    </w:rPr>
  </w:style>
  <w:style w:type="paragraph" w:customStyle="1" w:styleId="VPP-bodytext">
    <w:name w:val="VPP - body text"/>
    <w:basedOn w:val="Normal"/>
    <w:link w:val="VPP-bodytextChar"/>
    <w:qFormat/>
    <w:rsid w:val="00F00982"/>
    <w:pPr>
      <w:suppressAutoHyphens w:val="0"/>
      <w:spacing w:before="60" w:after="80" w:line="240" w:lineRule="auto"/>
      <w:ind w:left="1134"/>
    </w:pPr>
    <w:rPr>
      <w:rFonts w:ascii="Times New Roman" w:eastAsia="Times New Roman" w:hAnsi="Times New Roman"/>
      <w:noProof/>
      <w:sz w:val="20"/>
      <w:szCs w:val="20"/>
    </w:rPr>
  </w:style>
  <w:style w:type="character" w:customStyle="1" w:styleId="VPP-bodytextChar">
    <w:name w:val="VPP - body text Char"/>
    <w:link w:val="VPP-bodytext"/>
    <w:rsid w:val="00F00982"/>
    <w:rPr>
      <w:rFonts w:ascii="Times New Roman" w:eastAsia="Times New Roman" w:hAnsi="Times New Roman"/>
      <w:noProof/>
      <w:sz w:val="20"/>
      <w:szCs w:val="20"/>
    </w:rPr>
  </w:style>
  <w:style w:type="paragraph" w:customStyle="1" w:styleId="VPP-HeadB">
    <w:name w:val="VPP - Head B"/>
    <w:basedOn w:val="Normal"/>
    <w:link w:val="VPP-HeadBChar"/>
    <w:qFormat/>
    <w:rsid w:val="00F00982"/>
    <w:pPr>
      <w:keepNext/>
      <w:tabs>
        <w:tab w:val="left" w:pos="1134"/>
      </w:tabs>
      <w:suppressAutoHyphens w:val="0"/>
      <w:spacing w:before="240" w:after="240" w:line="240" w:lineRule="auto"/>
      <w:ind w:left="1134" w:hanging="1134"/>
      <w:jc w:val="left"/>
    </w:pPr>
    <w:rPr>
      <w:rFonts w:eastAsia="Times New Roman"/>
      <w:b/>
      <w:bCs/>
      <w:iCs/>
      <w:noProof/>
      <w:sz w:val="20"/>
      <w:szCs w:val="20"/>
    </w:rPr>
  </w:style>
  <w:style w:type="character" w:customStyle="1" w:styleId="VPP-HeadBChar">
    <w:name w:val="VPP - Head B Char"/>
    <w:link w:val="VPP-HeadB"/>
    <w:rsid w:val="00F00982"/>
    <w:rPr>
      <w:rFonts w:eastAsia="Times New Roman"/>
      <w:b/>
      <w:bCs/>
      <w:iCs/>
      <w:noProof/>
      <w:sz w:val="20"/>
      <w:szCs w:val="20"/>
    </w:rPr>
  </w:style>
  <w:style w:type="paragraph" w:customStyle="1" w:styleId="AmID">
    <w:name w:val="Am ID"/>
    <w:basedOn w:val="BodyText"/>
    <w:link w:val="AmIDChar"/>
    <w:qFormat/>
    <w:rsid w:val="00F00982"/>
    <w:pPr>
      <w:suppressAutoHyphens w:val="0"/>
      <w:spacing w:before="0" w:line="240" w:lineRule="auto"/>
      <w:jc w:val="left"/>
    </w:pPr>
    <w:rPr>
      <w:rFonts w:eastAsia="Times New Roman"/>
      <w:b/>
      <w:color w:val="auto"/>
      <w:sz w:val="12"/>
      <w:szCs w:val="20"/>
    </w:rPr>
  </w:style>
  <w:style w:type="character" w:customStyle="1" w:styleId="AmIDChar">
    <w:name w:val="Am ID Char"/>
    <w:link w:val="AmID"/>
    <w:rsid w:val="00F00982"/>
    <w:rPr>
      <w:rFonts w:eastAsia="Times New Roman"/>
      <w:b/>
      <w:sz w:val="12"/>
      <w:szCs w:val="20"/>
    </w:rPr>
  </w:style>
  <w:style w:type="paragraph" w:customStyle="1" w:styleId="StrategicAssessmentText">
    <w:name w:val="Strategic Assessment Text"/>
    <w:basedOn w:val="Normal"/>
    <w:rsid w:val="00C27B24"/>
    <w:pPr>
      <w:suppressAutoHyphens w:val="0"/>
      <w:spacing w:before="120" w:line="240" w:lineRule="auto"/>
      <w:ind w:left="284"/>
    </w:pPr>
    <w:rPr>
      <w:rFonts w:ascii="Times" w:eastAsia="Times New Roman" w:hAnsi="Times"/>
      <w:sz w:val="24"/>
      <w:szCs w:val="20"/>
    </w:rPr>
  </w:style>
  <w:style w:type="character" w:customStyle="1" w:styleId="ListParagraphChar">
    <w:name w:val="List Paragraph Char"/>
    <w:aliases w:val="Bullets 1 Char,Bullet List Char"/>
    <w:link w:val="ListParagraph"/>
    <w:uiPriority w:val="34"/>
    <w:rsid w:val="00AF7DC9"/>
    <w:rPr>
      <w:rFonts w:asciiTheme="minorHAnsi" w:eastAsiaTheme="minorHAnsi" w:hAnsiTheme="minorHAnsi" w:cstheme="minorBidi"/>
      <w:sz w:val="22"/>
      <w:szCs w:val="22"/>
      <w:lang w:eastAsia="en-US"/>
    </w:rPr>
  </w:style>
  <w:style w:type="numbering" w:customStyle="1" w:styleId="NoList1">
    <w:name w:val="No List1"/>
    <w:next w:val="NoList"/>
    <w:uiPriority w:val="99"/>
    <w:semiHidden/>
    <w:unhideWhenUsed/>
    <w:rsid w:val="00C54905"/>
  </w:style>
  <w:style w:type="character" w:customStyle="1" w:styleId="Heading6Char">
    <w:name w:val="Heading 6 Char"/>
    <w:basedOn w:val="DefaultParagraphFont"/>
    <w:link w:val="Heading6"/>
    <w:uiPriority w:val="9"/>
    <w:semiHidden/>
    <w:rsid w:val="00C54905"/>
    <w:rPr>
      <w:rFonts w:eastAsia="Times New Roman"/>
      <w:sz w:val="21"/>
      <w:lang w:eastAsia="en-US"/>
    </w:rPr>
  </w:style>
  <w:style w:type="character" w:customStyle="1" w:styleId="Heading7Char">
    <w:name w:val="Heading 7 Char"/>
    <w:basedOn w:val="DefaultParagraphFont"/>
    <w:link w:val="Heading7"/>
    <w:uiPriority w:val="9"/>
    <w:semiHidden/>
    <w:rsid w:val="00C54905"/>
    <w:rPr>
      <w:sz w:val="21"/>
      <w:lang w:eastAsia="en-US"/>
    </w:rPr>
  </w:style>
  <w:style w:type="character" w:customStyle="1" w:styleId="Heading8Char">
    <w:name w:val="Heading 8 Char"/>
    <w:basedOn w:val="DefaultParagraphFont"/>
    <w:link w:val="Heading8"/>
    <w:uiPriority w:val="9"/>
    <w:semiHidden/>
    <w:rsid w:val="00C54905"/>
  </w:style>
  <w:style w:type="paragraph" w:customStyle="1" w:styleId="Title1">
    <w:name w:val="Title1"/>
    <w:basedOn w:val="Normal"/>
    <w:next w:val="Normal"/>
    <w:uiPriority w:val="10"/>
    <w:qFormat/>
    <w:rsid w:val="00C54905"/>
    <w:pPr>
      <w:suppressAutoHyphens w:val="0"/>
      <w:spacing w:before="0" w:line="240" w:lineRule="auto"/>
      <w:contextualSpacing/>
      <w:jc w:val="left"/>
    </w:pPr>
    <w:rPr>
      <w:rFonts w:ascii="Calibri Light" w:eastAsia="Times New Roman" w:hAnsi="Calibri Light"/>
      <w:color w:val="5B9BD5"/>
      <w:spacing w:val="-10"/>
      <w:sz w:val="56"/>
      <w:szCs w:val="56"/>
      <w:lang w:eastAsia="en-US"/>
    </w:rPr>
  </w:style>
  <w:style w:type="character" w:customStyle="1" w:styleId="TitleChar">
    <w:name w:val="Title Char"/>
    <w:basedOn w:val="DefaultParagraphFont"/>
    <w:link w:val="Title"/>
    <w:uiPriority w:val="10"/>
    <w:rsid w:val="00C54905"/>
    <w:rPr>
      <w:rFonts w:ascii="Calibri Light" w:eastAsia="Times New Roman" w:hAnsi="Calibri Light" w:cs="Times New Roman"/>
      <w:color w:val="5B9BD5"/>
      <w:spacing w:val="-10"/>
      <w:sz w:val="56"/>
      <w:szCs w:val="56"/>
    </w:rPr>
  </w:style>
  <w:style w:type="paragraph" w:customStyle="1" w:styleId="Subtitle1">
    <w:name w:val="Subtitle1"/>
    <w:basedOn w:val="Normal"/>
    <w:next w:val="Normal"/>
    <w:uiPriority w:val="11"/>
    <w:qFormat/>
    <w:rsid w:val="00C54905"/>
    <w:pPr>
      <w:numPr>
        <w:ilvl w:val="1"/>
      </w:numPr>
      <w:suppressAutoHyphens w:val="0"/>
      <w:spacing w:before="0" w:after="120" w:line="240" w:lineRule="auto"/>
      <w:jc w:val="left"/>
    </w:pPr>
    <w:rPr>
      <w:rFonts w:ascii="Calibri Light" w:eastAsia="Times New Roman" w:hAnsi="Calibri Light"/>
      <w:sz w:val="24"/>
      <w:szCs w:val="24"/>
      <w:lang w:eastAsia="en-US"/>
    </w:rPr>
  </w:style>
  <w:style w:type="character" w:customStyle="1" w:styleId="SubtitleChar">
    <w:name w:val="Subtitle Char"/>
    <w:basedOn w:val="DefaultParagraphFont"/>
    <w:link w:val="Subtitle"/>
    <w:uiPriority w:val="11"/>
    <w:rsid w:val="00C54905"/>
    <w:rPr>
      <w:rFonts w:ascii="Calibri Light" w:eastAsia="Times New Roman" w:hAnsi="Calibri Light" w:cs="Times New Roman"/>
      <w:sz w:val="24"/>
      <w:szCs w:val="24"/>
    </w:rPr>
  </w:style>
  <w:style w:type="character" w:styleId="Strong">
    <w:name w:val="Strong"/>
    <w:basedOn w:val="DefaultParagraphFont"/>
    <w:uiPriority w:val="22"/>
    <w:qFormat/>
    <w:rsid w:val="00C54905"/>
    <w:rPr>
      <w:b/>
      <w:bCs/>
    </w:rPr>
  </w:style>
  <w:style w:type="character" w:styleId="Emphasis">
    <w:name w:val="Emphasis"/>
    <w:basedOn w:val="DefaultParagraphFont"/>
    <w:uiPriority w:val="20"/>
    <w:qFormat/>
    <w:rsid w:val="00C54905"/>
    <w:rPr>
      <w:i/>
      <w:iCs/>
    </w:rPr>
  </w:style>
  <w:style w:type="paragraph" w:customStyle="1" w:styleId="NoSpacing1">
    <w:name w:val="No Spacing1"/>
    <w:next w:val="NoSpacing"/>
    <w:uiPriority w:val="1"/>
    <w:qFormat/>
    <w:rsid w:val="00C54905"/>
    <w:rPr>
      <w:rFonts w:ascii="Calibri" w:eastAsia="Times New Roman" w:hAnsi="Calibri"/>
      <w:sz w:val="20"/>
      <w:szCs w:val="20"/>
      <w:lang w:eastAsia="en-US"/>
    </w:rPr>
  </w:style>
  <w:style w:type="paragraph" w:customStyle="1" w:styleId="Quote2">
    <w:name w:val="Quote2"/>
    <w:basedOn w:val="Normal"/>
    <w:next w:val="Normal"/>
    <w:uiPriority w:val="29"/>
    <w:qFormat/>
    <w:rsid w:val="00C54905"/>
    <w:pPr>
      <w:suppressAutoHyphens w:val="0"/>
      <w:spacing w:before="160" w:after="120" w:line="264" w:lineRule="auto"/>
      <w:ind w:left="720" w:right="720"/>
      <w:jc w:val="left"/>
    </w:pPr>
    <w:rPr>
      <w:rFonts w:ascii="Calibri" w:eastAsia="Times New Roman" w:hAnsi="Calibri"/>
      <w:i/>
      <w:iCs/>
      <w:color w:val="404040"/>
      <w:sz w:val="20"/>
      <w:szCs w:val="20"/>
      <w:lang w:eastAsia="en-US"/>
    </w:rPr>
  </w:style>
  <w:style w:type="character" w:customStyle="1" w:styleId="QuoteChar">
    <w:name w:val="Quote Char"/>
    <w:basedOn w:val="DefaultParagraphFont"/>
    <w:link w:val="Quote"/>
    <w:uiPriority w:val="29"/>
    <w:rsid w:val="00C54905"/>
    <w:rPr>
      <w:i/>
      <w:iCs/>
      <w:color w:val="404040"/>
    </w:rPr>
  </w:style>
  <w:style w:type="paragraph" w:customStyle="1" w:styleId="IntenseQuote1">
    <w:name w:val="Intense Quote1"/>
    <w:basedOn w:val="Normal"/>
    <w:next w:val="Normal"/>
    <w:uiPriority w:val="30"/>
    <w:qFormat/>
    <w:rsid w:val="00C54905"/>
    <w:pPr>
      <w:pBdr>
        <w:left w:val="single" w:sz="18" w:space="12" w:color="5B9BD5"/>
      </w:pBdr>
      <w:suppressAutoHyphens w:val="0"/>
      <w:spacing w:before="100" w:beforeAutospacing="1" w:after="120" w:line="300" w:lineRule="auto"/>
      <w:ind w:left="1224" w:right="1224"/>
      <w:jc w:val="left"/>
    </w:pPr>
    <w:rPr>
      <w:rFonts w:ascii="Calibri Light" w:eastAsia="Times New Roman" w:hAnsi="Calibri Light"/>
      <w:color w:val="5B9BD5"/>
      <w:sz w:val="28"/>
      <w:szCs w:val="28"/>
      <w:lang w:eastAsia="en-US"/>
    </w:rPr>
  </w:style>
  <w:style w:type="character" w:customStyle="1" w:styleId="IntenseQuoteChar">
    <w:name w:val="Intense Quote Char"/>
    <w:basedOn w:val="DefaultParagraphFont"/>
    <w:link w:val="IntenseQuote"/>
    <w:uiPriority w:val="30"/>
    <w:rsid w:val="00C54905"/>
    <w:rPr>
      <w:rFonts w:ascii="Calibri Light" w:eastAsia="Times New Roman" w:hAnsi="Calibri Light" w:cs="Times New Roman"/>
      <w:color w:val="5B9BD5"/>
      <w:sz w:val="28"/>
      <w:szCs w:val="28"/>
    </w:rPr>
  </w:style>
  <w:style w:type="character" w:customStyle="1" w:styleId="SubtleEmphasis1">
    <w:name w:val="Subtle Emphasis1"/>
    <w:basedOn w:val="DefaultParagraphFont"/>
    <w:uiPriority w:val="19"/>
    <w:qFormat/>
    <w:rsid w:val="00C54905"/>
    <w:rPr>
      <w:i/>
      <w:iCs/>
      <w:color w:val="404040"/>
    </w:rPr>
  </w:style>
  <w:style w:type="character" w:styleId="IntenseEmphasis">
    <w:name w:val="Intense Emphasis"/>
    <w:basedOn w:val="DefaultParagraphFont"/>
    <w:uiPriority w:val="21"/>
    <w:qFormat/>
    <w:rsid w:val="00C54905"/>
    <w:rPr>
      <w:b/>
      <w:bCs/>
      <w:i/>
      <w:iCs/>
    </w:rPr>
  </w:style>
  <w:style w:type="character" w:customStyle="1" w:styleId="SubtleReference1">
    <w:name w:val="Subtle Reference1"/>
    <w:basedOn w:val="DefaultParagraphFont"/>
    <w:uiPriority w:val="31"/>
    <w:qFormat/>
    <w:rsid w:val="00C54905"/>
    <w:rPr>
      <w:smallCaps/>
      <w:color w:val="404040"/>
      <w:u w:val="single" w:color="7F7F7F"/>
    </w:rPr>
  </w:style>
  <w:style w:type="character" w:styleId="IntenseReference">
    <w:name w:val="Intense Reference"/>
    <w:basedOn w:val="DefaultParagraphFont"/>
    <w:uiPriority w:val="32"/>
    <w:qFormat/>
    <w:rsid w:val="00C54905"/>
    <w:rPr>
      <w:b/>
      <w:bCs/>
      <w:smallCaps/>
      <w:spacing w:val="5"/>
      <w:u w:val="single"/>
    </w:rPr>
  </w:style>
  <w:style w:type="character" w:styleId="BookTitle">
    <w:name w:val="Book Title"/>
    <w:basedOn w:val="DefaultParagraphFont"/>
    <w:uiPriority w:val="33"/>
    <w:qFormat/>
    <w:rsid w:val="00C54905"/>
    <w:rPr>
      <w:b/>
      <w:bCs/>
      <w:smallCaps/>
    </w:rPr>
  </w:style>
  <w:style w:type="paragraph" w:styleId="Header">
    <w:name w:val="header"/>
    <w:basedOn w:val="Normal"/>
    <w:link w:val="HeaderChar"/>
    <w:uiPriority w:val="99"/>
    <w:unhideWhenUsed/>
    <w:rsid w:val="00C54905"/>
    <w:pPr>
      <w:tabs>
        <w:tab w:val="center" w:pos="4513"/>
        <w:tab w:val="right" w:pos="9026"/>
      </w:tabs>
      <w:suppressAutoHyphens w:val="0"/>
      <w:spacing w:before="0" w:line="240" w:lineRule="auto"/>
      <w:jc w:val="left"/>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C54905"/>
    <w:rPr>
      <w:rFonts w:ascii="Times New Roman" w:eastAsia="Times New Roman" w:hAnsi="Times New Roman"/>
      <w:sz w:val="24"/>
      <w:szCs w:val="24"/>
    </w:rPr>
  </w:style>
  <w:style w:type="paragraph" w:customStyle="1" w:styleId="FirstLineMemo">
    <w:name w:val="First Line Memo"/>
    <w:basedOn w:val="Normal"/>
    <w:next w:val="Normal"/>
    <w:rsid w:val="00C54905"/>
    <w:pPr>
      <w:suppressAutoHyphens w:val="0"/>
      <w:spacing w:before="360" w:line="240" w:lineRule="auto"/>
      <w:jc w:val="left"/>
    </w:pPr>
    <w:rPr>
      <w:rFonts w:ascii="Trebuchet MS" w:eastAsia="Times New Roman" w:hAnsi="Trebuchet MS"/>
      <w:sz w:val="22"/>
      <w:szCs w:val="22"/>
      <w:lang w:eastAsia="en-US"/>
    </w:rPr>
  </w:style>
  <w:style w:type="paragraph" w:customStyle="1" w:styleId="DocumentLabel">
    <w:name w:val="Document Label"/>
    <w:basedOn w:val="Normal"/>
    <w:rsid w:val="00C54905"/>
    <w:pPr>
      <w:keepNext/>
      <w:keepLines/>
      <w:suppressAutoHyphens w:val="0"/>
      <w:spacing w:before="400" w:after="120" w:line="240" w:lineRule="atLeast"/>
      <w:jc w:val="left"/>
    </w:pPr>
    <w:rPr>
      <w:rFonts w:ascii="Arial Black" w:eastAsia="Times New Roman" w:hAnsi="Arial Black"/>
      <w:spacing w:val="-100"/>
      <w:kern w:val="28"/>
      <w:sz w:val="108"/>
      <w:szCs w:val="20"/>
      <w:lang w:eastAsia="en-US"/>
    </w:rPr>
  </w:style>
  <w:style w:type="paragraph" w:customStyle="1" w:styleId="MessageHeaderFirst">
    <w:name w:val="Message Header First"/>
    <w:basedOn w:val="MessageHeader"/>
    <w:next w:val="MessageHeader"/>
    <w:rsid w:val="00C54905"/>
  </w:style>
  <w:style w:type="paragraph" w:styleId="MessageHeader">
    <w:name w:val="Message Header"/>
    <w:basedOn w:val="BodyText"/>
    <w:link w:val="MessageHeaderChar"/>
    <w:rsid w:val="00C54905"/>
    <w:pPr>
      <w:keepLines/>
      <w:tabs>
        <w:tab w:val="left" w:pos="720"/>
        <w:tab w:val="left" w:pos="4320"/>
        <w:tab w:val="left" w:pos="5040"/>
        <w:tab w:val="right" w:pos="8640"/>
      </w:tabs>
      <w:suppressAutoHyphens w:val="0"/>
      <w:spacing w:before="0" w:after="40" w:line="440" w:lineRule="atLeast"/>
      <w:ind w:left="720" w:hanging="720"/>
      <w:jc w:val="left"/>
    </w:pPr>
    <w:rPr>
      <w:rFonts w:ascii="Trebuchet MS" w:eastAsia="Times New Roman" w:hAnsi="Trebuchet MS"/>
      <w:color w:val="auto"/>
      <w:spacing w:val="-5"/>
      <w:sz w:val="22"/>
      <w:szCs w:val="20"/>
      <w:lang w:eastAsia="en-US"/>
    </w:rPr>
  </w:style>
  <w:style w:type="character" w:customStyle="1" w:styleId="MessageHeaderChar">
    <w:name w:val="Message Header Char"/>
    <w:basedOn w:val="DefaultParagraphFont"/>
    <w:link w:val="MessageHeader"/>
    <w:rsid w:val="00C54905"/>
    <w:rPr>
      <w:rFonts w:ascii="Trebuchet MS" w:eastAsia="Times New Roman" w:hAnsi="Trebuchet MS"/>
      <w:spacing w:val="-5"/>
      <w:sz w:val="22"/>
      <w:szCs w:val="20"/>
      <w:lang w:eastAsia="en-US"/>
    </w:rPr>
  </w:style>
  <w:style w:type="character" w:customStyle="1" w:styleId="MessageHeaderLabel">
    <w:name w:val="Message Header Label"/>
    <w:rsid w:val="00C54905"/>
    <w:rPr>
      <w:rFonts w:ascii="Arial Black" w:hAnsi="Arial Black" w:hint="default"/>
      <w:sz w:val="18"/>
    </w:rPr>
  </w:style>
  <w:style w:type="table" w:customStyle="1" w:styleId="TableGrid1">
    <w:name w:val="Table Grid1"/>
    <w:basedOn w:val="TableNormal"/>
    <w:next w:val="TableGrid"/>
    <w:uiPriority w:val="39"/>
    <w:rsid w:val="00C549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ntent">
    <w:name w:val="Body (Content)"/>
    <w:basedOn w:val="Normal"/>
    <w:uiPriority w:val="99"/>
    <w:rsid w:val="00C54905"/>
    <w:pPr>
      <w:autoSpaceDE w:val="0"/>
      <w:autoSpaceDN w:val="0"/>
      <w:adjustRightInd w:val="0"/>
      <w:spacing w:before="113" w:after="57" w:line="216" w:lineRule="atLeast"/>
      <w:ind w:left="560"/>
      <w:textAlignment w:val="center"/>
    </w:pPr>
    <w:rPr>
      <w:rFonts w:ascii="Humnst777 BT" w:eastAsia="Calibri" w:hAnsi="Humnst777 BT" w:cs="Humnst777 BT"/>
      <w:color w:val="000000"/>
      <w:lang w:val="en-US" w:eastAsia="en-US"/>
    </w:rPr>
  </w:style>
  <w:style w:type="paragraph" w:styleId="Title">
    <w:name w:val="Title"/>
    <w:basedOn w:val="Normal"/>
    <w:next w:val="Normal"/>
    <w:link w:val="TitleChar"/>
    <w:uiPriority w:val="10"/>
    <w:rsid w:val="00C54905"/>
    <w:pPr>
      <w:spacing w:before="0" w:line="240" w:lineRule="auto"/>
      <w:contextualSpacing/>
    </w:pPr>
    <w:rPr>
      <w:rFonts w:ascii="Calibri Light" w:eastAsia="Times New Roman" w:hAnsi="Calibri Light"/>
      <w:color w:val="5B9BD5"/>
      <w:spacing w:val="-10"/>
      <w:sz w:val="56"/>
      <w:szCs w:val="56"/>
    </w:rPr>
  </w:style>
  <w:style w:type="character" w:customStyle="1" w:styleId="TitleChar1">
    <w:name w:val="Title Char1"/>
    <w:basedOn w:val="DefaultParagraphFont"/>
    <w:rsid w:val="00C549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C54905"/>
    <w:pPr>
      <w:numPr>
        <w:ilvl w:val="1"/>
      </w:numPr>
      <w:spacing w:after="160"/>
    </w:pPr>
    <w:rPr>
      <w:rFonts w:ascii="Calibri Light" w:eastAsia="Times New Roman" w:hAnsi="Calibri Light"/>
      <w:sz w:val="24"/>
      <w:szCs w:val="24"/>
    </w:rPr>
  </w:style>
  <w:style w:type="character" w:customStyle="1" w:styleId="SubtitleChar1">
    <w:name w:val="Subtitle Char1"/>
    <w:basedOn w:val="DefaultParagraphFont"/>
    <w:rsid w:val="00C54905"/>
    <w:rPr>
      <w:rFonts w:asciiTheme="minorHAnsi" w:eastAsiaTheme="minorEastAsia" w:hAnsiTheme="minorHAnsi" w:cstheme="minorBidi"/>
      <w:color w:val="5A5A5A" w:themeColor="text1" w:themeTint="A5"/>
      <w:spacing w:val="15"/>
      <w:sz w:val="22"/>
      <w:szCs w:val="22"/>
    </w:rPr>
  </w:style>
  <w:style w:type="paragraph" w:styleId="NoSpacing">
    <w:name w:val="No Spacing"/>
    <w:uiPriority w:val="1"/>
    <w:qFormat/>
    <w:rsid w:val="00C54905"/>
    <w:pPr>
      <w:suppressAutoHyphens/>
      <w:jc w:val="both"/>
    </w:pPr>
  </w:style>
  <w:style w:type="paragraph" w:styleId="Quote">
    <w:name w:val="Quote"/>
    <w:basedOn w:val="Normal"/>
    <w:next w:val="Normal"/>
    <w:link w:val="QuoteChar"/>
    <w:uiPriority w:val="29"/>
    <w:rsid w:val="00C54905"/>
    <w:pPr>
      <w:spacing w:after="160"/>
      <w:ind w:left="864" w:right="864"/>
      <w:jc w:val="center"/>
    </w:pPr>
    <w:rPr>
      <w:i/>
      <w:iCs/>
      <w:color w:val="404040"/>
    </w:rPr>
  </w:style>
  <w:style w:type="character" w:customStyle="1" w:styleId="QuoteChar1">
    <w:name w:val="Quote Char1"/>
    <w:basedOn w:val="DefaultParagraphFont"/>
    <w:rsid w:val="00C54905"/>
    <w:rPr>
      <w:i/>
      <w:iCs/>
      <w:color w:val="404040" w:themeColor="text1" w:themeTint="BF"/>
    </w:rPr>
  </w:style>
  <w:style w:type="paragraph" w:styleId="IntenseQuote">
    <w:name w:val="Intense Quote"/>
    <w:basedOn w:val="Normal"/>
    <w:next w:val="Normal"/>
    <w:link w:val="IntenseQuoteChar"/>
    <w:uiPriority w:val="30"/>
    <w:rsid w:val="00C54905"/>
    <w:pPr>
      <w:pBdr>
        <w:top w:val="single" w:sz="4" w:space="10" w:color="005EA1" w:themeColor="accent1"/>
        <w:bottom w:val="single" w:sz="4" w:space="10" w:color="005EA1" w:themeColor="accent1"/>
      </w:pBdr>
      <w:spacing w:before="360" w:after="360"/>
      <w:ind w:left="864" w:right="864"/>
      <w:jc w:val="center"/>
    </w:pPr>
    <w:rPr>
      <w:rFonts w:ascii="Calibri Light" w:eastAsia="Times New Roman" w:hAnsi="Calibri Light"/>
      <w:color w:val="5B9BD5"/>
      <w:sz w:val="28"/>
      <w:szCs w:val="28"/>
    </w:rPr>
  </w:style>
  <w:style w:type="character" w:customStyle="1" w:styleId="IntenseQuoteChar1">
    <w:name w:val="Intense Quote Char1"/>
    <w:basedOn w:val="DefaultParagraphFont"/>
    <w:rsid w:val="00C54905"/>
    <w:rPr>
      <w:i/>
      <w:iCs/>
      <w:color w:val="005EA1" w:themeColor="accent1"/>
    </w:rPr>
  </w:style>
  <w:style w:type="character" w:styleId="SubtleEmphasis">
    <w:name w:val="Subtle Emphasis"/>
    <w:basedOn w:val="DefaultParagraphFont"/>
    <w:rsid w:val="00C54905"/>
    <w:rPr>
      <w:i/>
      <w:iCs/>
      <w:color w:val="404040" w:themeColor="text1" w:themeTint="BF"/>
    </w:rPr>
  </w:style>
  <w:style w:type="character" w:styleId="SubtleReference">
    <w:name w:val="Subtle Reference"/>
    <w:basedOn w:val="DefaultParagraphFont"/>
    <w:rsid w:val="00C54905"/>
    <w:rPr>
      <w:smallCaps/>
      <w:color w:val="5A5A5A" w:themeColor="text1" w:themeTint="A5"/>
    </w:rPr>
  </w:style>
  <w:style w:type="paragraph" w:styleId="FootnoteText">
    <w:name w:val="footnote text"/>
    <w:basedOn w:val="Normal"/>
    <w:link w:val="FootnoteTextChar"/>
    <w:semiHidden/>
    <w:unhideWhenUsed/>
    <w:rsid w:val="00603224"/>
    <w:pPr>
      <w:spacing w:before="0" w:line="240" w:lineRule="auto"/>
    </w:pPr>
    <w:rPr>
      <w:sz w:val="20"/>
      <w:szCs w:val="20"/>
    </w:rPr>
  </w:style>
  <w:style w:type="character" w:customStyle="1" w:styleId="FootnoteTextChar">
    <w:name w:val="Footnote Text Char"/>
    <w:basedOn w:val="DefaultParagraphFont"/>
    <w:link w:val="FootnoteText"/>
    <w:semiHidden/>
    <w:rsid w:val="00603224"/>
    <w:rPr>
      <w:sz w:val="20"/>
      <w:szCs w:val="20"/>
    </w:rPr>
  </w:style>
  <w:style w:type="character" w:styleId="FootnoteReference">
    <w:name w:val="footnote reference"/>
    <w:basedOn w:val="DefaultParagraphFont"/>
    <w:semiHidden/>
    <w:unhideWhenUsed/>
    <w:rsid w:val="00603224"/>
    <w:rPr>
      <w:vertAlign w:val="superscript"/>
    </w:rPr>
  </w:style>
  <w:style w:type="character" w:styleId="CommentReference">
    <w:name w:val="annotation reference"/>
    <w:basedOn w:val="DefaultParagraphFont"/>
    <w:semiHidden/>
    <w:unhideWhenUsed/>
    <w:rsid w:val="0025712E"/>
    <w:rPr>
      <w:sz w:val="16"/>
      <w:szCs w:val="16"/>
    </w:rPr>
  </w:style>
  <w:style w:type="paragraph" w:styleId="CommentText">
    <w:name w:val="annotation text"/>
    <w:basedOn w:val="Normal"/>
    <w:link w:val="CommentTextChar"/>
    <w:semiHidden/>
    <w:unhideWhenUsed/>
    <w:rsid w:val="0025712E"/>
    <w:pPr>
      <w:spacing w:line="240" w:lineRule="auto"/>
    </w:pPr>
    <w:rPr>
      <w:sz w:val="20"/>
      <w:szCs w:val="20"/>
    </w:rPr>
  </w:style>
  <w:style w:type="character" w:customStyle="1" w:styleId="CommentTextChar">
    <w:name w:val="Comment Text Char"/>
    <w:basedOn w:val="DefaultParagraphFont"/>
    <w:link w:val="CommentText"/>
    <w:semiHidden/>
    <w:rsid w:val="0025712E"/>
    <w:rPr>
      <w:sz w:val="20"/>
      <w:szCs w:val="20"/>
    </w:rPr>
  </w:style>
  <w:style w:type="paragraph" w:styleId="CommentSubject">
    <w:name w:val="annotation subject"/>
    <w:basedOn w:val="CommentText"/>
    <w:next w:val="CommentText"/>
    <w:link w:val="CommentSubjectChar"/>
    <w:semiHidden/>
    <w:unhideWhenUsed/>
    <w:rsid w:val="0025712E"/>
    <w:rPr>
      <w:b/>
      <w:bCs/>
    </w:rPr>
  </w:style>
  <w:style w:type="character" w:customStyle="1" w:styleId="CommentSubjectChar">
    <w:name w:val="Comment Subject Char"/>
    <w:basedOn w:val="CommentTextChar"/>
    <w:link w:val="CommentSubject"/>
    <w:semiHidden/>
    <w:rsid w:val="0025712E"/>
    <w:rPr>
      <w:b/>
      <w:bCs/>
      <w:sz w:val="20"/>
      <w:szCs w:val="20"/>
    </w:rPr>
  </w:style>
  <w:style w:type="table" w:styleId="GridTable2-Accent1">
    <w:name w:val="Grid Table 2 Accent 1"/>
    <w:basedOn w:val="TableNormal"/>
    <w:uiPriority w:val="47"/>
    <w:rsid w:val="00BB6FA2"/>
    <w:tblPr>
      <w:tblStyleRowBandSize w:val="1"/>
      <w:tblStyleColBandSize w:val="1"/>
      <w:tblBorders>
        <w:top w:val="single" w:sz="2" w:space="0" w:color="2DA7FF" w:themeColor="accent1" w:themeTint="99"/>
        <w:bottom w:val="single" w:sz="2" w:space="0" w:color="2DA7FF" w:themeColor="accent1" w:themeTint="99"/>
        <w:insideH w:val="single" w:sz="2" w:space="0" w:color="2DA7FF" w:themeColor="accent1" w:themeTint="99"/>
        <w:insideV w:val="single" w:sz="2" w:space="0" w:color="2DA7FF" w:themeColor="accent1" w:themeTint="99"/>
      </w:tblBorders>
    </w:tblPr>
    <w:tblStylePr w:type="firstRow">
      <w:rPr>
        <w:b/>
        <w:bCs/>
      </w:rPr>
      <w:tblPr/>
      <w:tcPr>
        <w:tcBorders>
          <w:top w:val="nil"/>
          <w:bottom w:val="single" w:sz="12" w:space="0" w:color="2DA7FF" w:themeColor="accent1" w:themeTint="99"/>
          <w:insideH w:val="nil"/>
          <w:insideV w:val="nil"/>
        </w:tcBorders>
        <w:shd w:val="clear" w:color="auto" w:fill="FFFFFF" w:themeFill="background1"/>
      </w:tcPr>
    </w:tblStylePr>
    <w:tblStylePr w:type="lastRow">
      <w:rPr>
        <w:b/>
        <w:bCs/>
      </w:rPr>
      <w:tblPr/>
      <w:tcPr>
        <w:tcBorders>
          <w:top w:val="double" w:sz="2" w:space="0" w:color="2DA7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E1FF" w:themeFill="accent1" w:themeFillTint="33"/>
      </w:tcPr>
    </w:tblStylePr>
    <w:tblStylePr w:type="band1Horz">
      <w:tblPr/>
      <w:tcPr>
        <w:shd w:val="clear" w:color="auto" w:fill="B9E1FF" w:themeFill="accent1" w:themeFillTint="33"/>
      </w:tcPr>
    </w:tblStylePr>
  </w:style>
  <w:style w:type="table" w:styleId="GridTable1Light">
    <w:name w:val="Grid Table 1 Light"/>
    <w:basedOn w:val="TableNormal"/>
    <w:rsid w:val="00B769C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Number">
    <w:name w:val="List Number"/>
    <w:basedOn w:val="Normal"/>
    <w:semiHidden/>
    <w:unhideWhenUsed/>
    <w:qFormat/>
    <w:rsid w:val="00C2716C"/>
    <w:pPr>
      <w:numPr>
        <w:numId w:val="12"/>
      </w:numPr>
      <w:suppressAutoHyphens w:val="0"/>
      <w:spacing w:before="0" w:line="240" w:lineRule="auto"/>
      <w:contextualSpacing/>
      <w:jc w:val="left"/>
    </w:pPr>
    <w:rPr>
      <w:rFonts w:ascii="Verdana" w:eastAsia="Times New Roman" w:hAnsi="Verdana"/>
      <w:sz w:val="20"/>
      <w:szCs w:val="24"/>
    </w:rPr>
  </w:style>
  <w:style w:type="paragraph" w:styleId="NormalWeb">
    <w:name w:val="Normal (Web)"/>
    <w:basedOn w:val="Normal"/>
    <w:uiPriority w:val="99"/>
    <w:semiHidden/>
    <w:unhideWhenUsed/>
    <w:rsid w:val="0013322A"/>
    <w:pPr>
      <w:suppressAutoHyphens w:val="0"/>
      <w:spacing w:before="100" w:beforeAutospacing="1" w:after="100" w:afterAutospacing="1" w:line="240" w:lineRule="auto"/>
      <w:jc w:val="left"/>
    </w:pPr>
    <w:rPr>
      <w:rFonts w:ascii="Times New Roman" w:eastAsia="Times New Roman" w:hAnsi="Times New Roman"/>
      <w:sz w:val="24"/>
      <w:szCs w:val="24"/>
    </w:rPr>
  </w:style>
  <w:style w:type="paragraph" w:customStyle="1" w:styleId="Lettertext1">
    <w:name w:val="Lettertext1"/>
    <w:basedOn w:val="Normal"/>
    <w:uiPriority w:val="89"/>
    <w:rsid w:val="00484FF2"/>
    <w:pPr>
      <w:tabs>
        <w:tab w:val="left" w:pos="720"/>
        <w:tab w:val="left" w:pos="1440"/>
        <w:tab w:val="left" w:pos="2160"/>
      </w:tabs>
      <w:suppressAutoHyphens w:val="0"/>
      <w:spacing w:before="0" w:line="240" w:lineRule="auto"/>
      <w:ind w:right="-7"/>
    </w:pPr>
    <w:rPr>
      <w:rFonts w:eastAsia="Times New Roman"/>
      <w:sz w:val="20"/>
      <w:szCs w:val="20"/>
    </w:rPr>
  </w:style>
  <w:style w:type="character" w:customStyle="1" w:styleId="BodytextChar0">
    <w:name w:val="Body text Char"/>
    <w:basedOn w:val="DefaultParagraphFont"/>
    <w:link w:val="BodyText1"/>
    <w:locked/>
    <w:rsid w:val="0074009D"/>
    <w:rPr>
      <w:rFonts w:ascii="Times New Roman" w:eastAsia="Times New Roman" w:hAnsi="Times New Roman"/>
      <w:sz w:val="20"/>
      <w:szCs w:val="20"/>
    </w:rPr>
  </w:style>
  <w:style w:type="paragraph" w:customStyle="1" w:styleId="BodyText1">
    <w:name w:val="Body Text1"/>
    <w:basedOn w:val="Normal"/>
    <w:link w:val="BodytextChar0"/>
    <w:autoRedefine/>
    <w:rsid w:val="0074009D"/>
    <w:pPr>
      <w:suppressAutoHyphens w:val="0"/>
      <w:spacing w:before="60" w:after="80" w:line="240" w:lineRule="auto"/>
      <w:ind w:left="1134"/>
    </w:pPr>
    <w:rPr>
      <w:rFonts w:ascii="Times New Roman" w:eastAsia="Times New Roman" w:hAnsi="Times New Roman"/>
      <w:sz w:val="20"/>
      <w:szCs w:val="20"/>
    </w:rPr>
  </w:style>
  <w:style w:type="character" w:customStyle="1" w:styleId="VPP-Bodytextbullet1Char">
    <w:name w:val="VPP - Body text bullet 1 Char"/>
    <w:basedOn w:val="DefaultParagraphFont"/>
    <w:link w:val="VPP-Bodytextbullet1"/>
    <w:locked/>
    <w:rsid w:val="0074009D"/>
    <w:rPr>
      <w:rFonts w:ascii="Times New Roman" w:eastAsia="Times New Roman" w:hAnsi="Times New Roman"/>
      <w:sz w:val="20"/>
      <w:szCs w:val="20"/>
    </w:rPr>
  </w:style>
  <w:style w:type="paragraph" w:customStyle="1" w:styleId="VPP-Bodytextbullet1">
    <w:name w:val="VPP - Body text bullet 1"/>
    <w:basedOn w:val="Normal"/>
    <w:link w:val="VPP-Bodytextbullet1Char"/>
    <w:qFormat/>
    <w:rsid w:val="0074009D"/>
    <w:pPr>
      <w:numPr>
        <w:ilvl w:val="1"/>
        <w:numId w:val="18"/>
      </w:numPr>
      <w:suppressAutoHyphens w:val="0"/>
      <w:spacing w:before="60" w:after="80" w:line="240" w:lineRule="auto"/>
    </w:pPr>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0168">
      <w:bodyDiv w:val="1"/>
      <w:marLeft w:val="0"/>
      <w:marRight w:val="0"/>
      <w:marTop w:val="0"/>
      <w:marBottom w:val="0"/>
      <w:divBdr>
        <w:top w:val="none" w:sz="0" w:space="0" w:color="auto"/>
        <w:left w:val="none" w:sz="0" w:space="0" w:color="auto"/>
        <w:bottom w:val="none" w:sz="0" w:space="0" w:color="auto"/>
        <w:right w:val="none" w:sz="0" w:space="0" w:color="auto"/>
      </w:divBdr>
    </w:div>
    <w:div w:id="63990280">
      <w:bodyDiv w:val="1"/>
      <w:marLeft w:val="0"/>
      <w:marRight w:val="0"/>
      <w:marTop w:val="0"/>
      <w:marBottom w:val="0"/>
      <w:divBdr>
        <w:top w:val="none" w:sz="0" w:space="0" w:color="auto"/>
        <w:left w:val="none" w:sz="0" w:space="0" w:color="auto"/>
        <w:bottom w:val="none" w:sz="0" w:space="0" w:color="auto"/>
        <w:right w:val="none" w:sz="0" w:space="0" w:color="auto"/>
      </w:divBdr>
    </w:div>
    <w:div w:id="121274061">
      <w:bodyDiv w:val="1"/>
      <w:marLeft w:val="0"/>
      <w:marRight w:val="0"/>
      <w:marTop w:val="0"/>
      <w:marBottom w:val="0"/>
      <w:divBdr>
        <w:top w:val="none" w:sz="0" w:space="0" w:color="auto"/>
        <w:left w:val="none" w:sz="0" w:space="0" w:color="auto"/>
        <w:bottom w:val="none" w:sz="0" w:space="0" w:color="auto"/>
        <w:right w:val="none" w:sz="0" w:space="0" w:color="auto"/>
      </w:divBdr>
    </w:div>
    <w:div w:id="171918636">
      <w:bodyDiv w:val="1"/>
      <w:marLeft w:val="0"/>
      <w:marRight w:val="0"/>
      <w:marTop w:val="0"/>
      <w:marBottom w:val="0"/>
      <w:divBdr>
        <w:top w:val="none" w:sz="0" w:space="0" w:color="auto"/>
        <w:left w:val="none" w:sz="0" w:space="0" w:color="auto"/>
        <w:bottom w:val="none" w:sz="0" w:space="0" w:color="auto"/>
        <w:right w:val="none" w:sz="0" w:space="0" w:color="auto"/>
      </w:divBdr>
    </w:div>
    <w:div w:id="194657035">
      <w:bodyDiv w:val="1"/>
      <w:marLeft w:val="0"/>
      <w:marRight w:val="0"/>
      <w:marTop w:val="0"/>
      <w:marBottom w:val="0"/>
      <w:divBdr>
        <w:top w:val="none" w:sz="0" w:space="0" w:color="auto"/>
        <w:left w:val="none" w:sz="0" w:space="0" w:color="auto"/>
        <w:bottom w:val="none" w:sz="0" w:space="0" w:color="auto"/>
        <w:right w:val="none" w:sz="0" w:space="0" w:color="auto"/>
      </w:divBdr>
    </w:div>
    <w:div w:id="215168414">
      <w:bodyDiv w:val="1"/>
      <w:marLeft w:val="0"/>
      <w:marRight w:val="0"/>
      <w:marTop w:val="0"/>
      <w:marBottom w:val="0"/>
      <w:divBdr>
        <w:top w:val="none" w:sz="0" w:space="0" w:color="auto"/>
        <w:left w:val="none" w:sz="0" w:space="0" w:color="auto"/>
        <w:bottom w:val="none" w:sz="0" w:space="0" w:color="auto"/>
        <w:right w:val="none" w:sz="0" w:space="0" w:color="auto"/>
      </w:divBdr>
    </w:div>
    <w:div w:id="250243305">
      <w:bodyDiv w:val="1"/>
      <w:marLeft w:val="0"/>
      <w:marRight w:val="0"/>
      <w:marTop w:val="0"/>
      <w:marBottom w:val="0"/>
      <w:divBdr>
        <w:top w:val="none" w:sz="0" w:space="0" w:color="auto"/>
        <w:left w:val="none" w:sz="0" w:space="0" w:color="auto"/>
        <w:bottom w:val="none" w:sz="0" w:space="0" w:color="auto"/>
        <w:right w:val="none" w:sz="0" w:space="0" w:color="auto"/>
      </w:divBdr>
    </w:div>
    <w:div w:id="275718700">
      <w:bodyDiv w:val="1"/>
      <w:marLeft w:val="0"/>
      <w:marRight w:val="0"/>
      <w:marTop w:val="0"/>
      <w:marBottom w:val="0"/>
      <w:divBdr>
        <w:top w:val="none" w:sz="0" w:space="0" w:color="auto"/>
        <w:left w:val="none" w:sz="0" w:space="0" w:color="auto"/>
        <w:bottom w:val="none" w:sz="0" w:space="0" w:color="auto"/>
        <w:right w:val="none" w:sz="0" w:space="0" w:color="auto"/>
      </w:divBdr>
    </w:div>
    <w:div w:id="283274389">
      <w:bodyDiv w:val="1"/>
      <w:marLeft w:val="0"/>
      <w:marRight w:val="0"/>
      <w:marTop w:val="0"/>
      <w:marBottom w:val="0"/>
      <w:divBdr>
        <w:top w:val="none" w:sz="0" w:space="0" w:color="auto"/>
        <w:left w:val="none" w:sz="0" w:space="0" w:color="auto"/>
        <w:bottom w:val="none" w:sz="0" w:space="0" w:color="auto"/>
        <w:right w:val="none" w:sz="0" w:space="0" w:color="auto"/>
      </w:divBdr>
    </w:div>
    <w:div w:id="283852495">
      <w:bodyDiv w:val="1"/>
      <w:marLeft w:val="0"/>
      <w:marRight w:val="0"/>
      <w:marTop w:val="0"/>
      <w:marBottom w:val="0"/>
      <w:divBdr>
        <w:top w:val="none" w:sz="0" w:space="0" w:color="auto"/>
        <w:left w:val="none" w:sz="0" w:space="0" w:color="auto"/>
        <w:bottom w:val="none" w:sz="0" w:space="0" w:color="auto"/>
        <w:right w:val="none" w:sz="0" w:space="0" w:color="auto"/>
      </w:divBdr>
    </w:div>
    <w:div w:id="288627740">
      <w:bodyDiv w:val="1"/>
      <w:marLeft w:val="0"/>
      <w:marRight w:val="0"/>
      <w:marTop w:val="0"/>
      <w:marBottom w:val="0"/>
      <w:divBdr>
        <w:top w:val="none" w:sz="0" w:space="0" w:color="auto"/>
        <w:left w:val="none" w:sz="0" w:space="0" w:color="auto"/>
        <w:bottom w:val="none" w:sz="0" w:space="0" w:color="auto"/>
        <w:right w:val="none" w:sz="0" w:space="0" w:color="auto"/>
      </w:divBdr>
    </w:div>
    <w:div w:id="289019424">
      <w:bodyDiv w:val="1"/>
      <w:marLeft w:val="0"/>
      <w:marRight w:val="0"/>
      <w:marTop w:val="0"/>
      <w:marBottom w:val="0"/>
      <w:divBdr>
        <w:top w:val="none" w:sz="0" w:space="0" w:color="auto"/>
        <w:left w:val="none" w:sz="0" w:space="0" w:color="auto"/>
        <w:bottom w:val="none" w:sz="0" w:space="0" w:color="auto"/>
        <w:right w:val="none" w:sz="0" w:space="0" w:color="auto"/>
      </w:divBdr>
    </w:div>
    <w:div w:id="388767850">
      <w:bodyDiv w:val="1"/>
      <w:marLeft w:val="0"/>
      <w:marRight w:val="0"/>
      <w:marTop w:val="0"/>
      <w:marBottom w:val="0"/>
      <w:divBdr>
        <w:top w:val="none" w:sz="0" w:space="0" w:color="auto"/>
        <w:left w:val="none" w:sz="0" w:space="0" w:color="auto"/>
        <w:bottom w:val="none" w:sz="0" w:space="0" w:color="auto"/>
        <w:right w:val="none" w:sz="0" w:space="0" w:color="auto"/>
      </w:divBdr>
    </w:div>
    <w:div w:id="488447826">
      <w:bodyDiv w:val="1"/>
      <w:marLeft w:val="0"/>
      <w:marRight w:val="0"/>
      <w:marTop w:val="0"/>
      <w:marBottom w:val="0"/>
      <w:divBdr>
        <w:top w:val="none" w:sz="0" w:space="0" w:color="auto"/>
        <w:left w:val="none" w:sz="0" w:space="0" w:color="auto"/>
        <w:bottom w:val="none" w:sz="0" w:space="0" w:color="auto"/>
        <w:right w:val="none" w:sz="0" w:space="0" w:color="auto"/>
      </w:divBdr>
    </w:div>
    <w:div w:id="508446887">
      <w:bodyDiv w:val="1"/>
      <w:marLeft w:val="0"/>
      <w:marRight w:val="0"/>
      <w:marTop w:val="0"/>
      <w:marBottom w:val="0"/>
      <w:divBdr>
        <w:top w:val="none" w:sz="0" w:space="0" w:color="auto"/>
        <w:left w:val="none" w:sz="0" w:space="0" w:color="auto"/>
        <w:bottom w:val="none" w:sz="0" w:space="0" w:color="auto"/>
        <w:right w:val="none" w:sz="0" w:space="0" w:color="auto"/>
      </w:divBdr>
    </w:div>
    <w:div w:id="510871441">
      <w:bodyDiv w:val="1"/>
      <w:marLeft w:val="0"/>
      <w:marRight w:val="0"/>
      <w:marTop w:val="0"/>
      <w:marBottom w:val="0"/>
      <w:divBdr>
        <w:top w:val="none" w:sz="0" w:space="0" w:color="auto"/>
        <w:left w:val="none" w:sz="0" w:space="0" w:color="auto"/>
        <w:bottom w:val="none" w:sz="0" w:space="0" w:color="auto"/>
        <w:right w:val="none" w:sz="0" w:space="0" w:color="auto"/>
      </w:divBdr>
    </w:div>
    <w:div w:id="513499236">
      <w:bodyDiv w:val="1"/>
      <w:marLeft w:val="0"/>
      <w:marRight w:val="0"/>
      <w:marTop w:val="0"/>
      <w:marBottom w:val="0"/>
      <w:divBdr>
        <w:top w:val="none" w:sz="0" w:space="0" w:color="auto"/>
        <w:left w:val="none" w:sz="0" w:space="0" w:color="auto"/>
        <w:bottom w:val="none" w:sz="0" w:space="0" w:color="auto"/>
        <w:right w:val="none" w:sz="0" w:space="0" w:color="auto"/>
      </w:divBdr>
    </w:div>
    <w:div w:id="515772241">
      <w:bodyDiv w:val="1"/>
      <w:marLeft w:val="0"/>
      <w:marRight w:val="0"/>
      <w:marTop w:val="0"/>
      <w:marBottom w:val="0"/>
      <w:divBdr>
        <w:top w:val="none" w:sz="0" w:space="0" w:color="auto"/>
        <w:left w:val="none" w:sz="0" w:space="0" w:color="auto"/>
        <w:bottom w:val="none" w:sz="0" w:space="0" w:color="auto"/>
        <w:right w:val="none" w:sz="0" w:space="0" w:color="auto"/>
      </w:divBdr>
      <w:divsChild>
        <w:div w:id="845289568">
          <w:marLeft w:val="850"/>
          <w:marRight w:val="0"/>
          <w:marTop w:val="0"/>
          <w:marBottom w:val="0"/>
          <w:divBdr>
            <w:top w:val="none" w:sz="0" w:space="0" w:color="auto"/>
            <w:left w:val="none" w:sz="0" w:space="0" w:color="auto"/>
            <w:bottom w:val="none" w:sz="0" w:space="0" w:color="auto"/>
            <w:right w:val="none" w:sz="0" w:space="0" w:color="auto"/>
          </w:divBdr>
        </w:div>
        <w:div w:id="930965612">
          <w:marLeft w:val="850"/>
          <w:marRight w:val="0"/>
          <w:marTop w:val="0"/>
          <w:marBottom w:val="0"/>
          <w:divBdr>
            <w:top w:val="none" w:sz="0" w:space="0" w:color="auto"/>
            <w:left w:val="none" w:sz="0" w:space="0" w:color="auto"/>
            <w:bottom w:val="none" w:sz="0" w:space="0" w:color="auto"/>
            <w:right w:val="none" w:sz="0" w:space="0" w:color="auto"/>
          </w:divBdr>
        </w:div>
        <w:div w:id="1720007632">
          <w:marLeft w:val="850"/>
          <w:marRight w:val="0"/>
          <w:marTop w:val="0"/>
          <w:marBottom w:val="0"/>
          <w:divBdr>
            <w:top w:val="none" w:sz="0" w:space="0" w:color="auto"/>
            <w:left w:val="none" w:sz="0" w:space="0" w:color="auto"/>
            <w:bottom w:val="none" w:sz="0" w:space="0" w:color="auto"/>
            <w:right w:val="none" w:sz="0" w:space="0" w:color="auto"/>
          </w:divBdr>
        </w:div>
      </w:divsChild>
    </w:div>
    <w:div w:id="552620378">
      <w:bodyDiv w:val="1"/>
      <w:marLeft w:val="0"/>
      <w:marRight w:val="0"/>
      <w:marTop w:val="0"/>
      <w:marBottom w:val="0"/>
      <w:divBdr>
        <w:top w:val="none" w:sz="0" w:space="0" w:color="auto"/>
        <w:left w:val="none" w:sz="0" w:space="0" w:color="auto"/>
        <w:bottom w:val="none" w:sz="0" w:space="0" w:color="auto"/>
        <w:right w:val="none" w:sz="0" w:space="0" w:color="auto"/>
      </w:divBdr>
    </w:div>
    <w:div w:id="606809069">
      <w:bodyDiv w:val="1"/>
      <w:marLeft w:val="0"/>
      <w:marRight w:val="0"/>
      <w:marTop w:val="0"/>
      <w:marBottom w:val="0"/>
      <w:divBdr>
        <w:top w:val="none" w:sz="0" w:space="0" w:color="auto"/>
        <w:left w:val="none" w:sz="0" w:space="0" w:color="auto"/>
        <w:bottom w:val="none" w:sz="0" w:space="0" w:color="auto"/>
        <w:right w:val="none" w:sz="0" w:space="0" w:color="auto"/>
      </w:divBdr>
    </w:div>
    <w:div w:id="655307478">
      <w:bodyDiv w:val="1"/>
      <w:marLeft w:val="0"/>
      <w:marRight w:val="0"/>
      <w:marTop w:val="0"/>
      <w:marBottom w:val="0"/>
      <w:divBdr>
        <w:top w:val="none" w:sz="0" w:space="0" w:color="auto"/>
        <w:left w:val="none" w:sz="0" w:space="0" w:color="auto"/>
        <w:bottom w:val="none" w:sz="0" w:space="0" w:color="auto"/>
        <w:right w:val="none" w:sz="0" w:space="0" w:color="auto"/>
      </w:divBdr>
    </w:div>
    <w:div w:id="675233608">
      <w:bodyDiv w:val="1"/>
      <w:marLeft w:val="0"/>
      <w:marRight w:val="0"/>
      <w:marTop w:val="0"/>
      <w:marBottom w:val="0"/>
      <w:divBdr>
        <w:top w:val="none" w:sz="0" w:space="0" w:color="auto"/>
        <w:left w:val="none" w:sz="0" w:space="0" w:color="auto"/>
        <w:bottom w:val="none" w:sz="0" w:space="0" w:color="auto"/>
        <w:right w:val="none" w:sz="0" w:space="0" w:color="auto"/>
      </w:divBdr>
    </w:div>
    <w:div w:id="804811827">
      <w:bodyDiv w:val="1"/>
      <w:marLeft w:val="0"/>
      <w:marRight w:val="0"/>
      <w:marTop w:val="0"/>
      <w:marBottom w:val="0"/>
      <w:divBdr>
        <w:top w:val="none" w:sz="0" w:space="0" w:color="auto"/>
        <w:left w:val="none" w:sz="0" w:space="0" w:color="auto"/>
        <w:bottom w:val="none" w:sz="0" w:space="0" w:color="auto"/>
        <w:right w:val="none" w:sz="0" w:space="0" w:color="auto"/>
      </w:divBdr>
    </w:div>
    <w:div w:id="809329164">
      <w:bodyDiv w:val="1"/>
      <w:marLeft w:val="0"/>
      <w:marRight w:val="0"/>
      <w:marTop w:val="0"/>
      <w:marBottom w:val="0"/>
      <w:divBdr>
        <w:top w:val="none" w:sz="0" w:space="0" w:color="auto"/>
        <w:left w:val="none" w:sz="0" w:space="0" w:color="auto"/>
        <w:bottom w:val="none" w:sz="0" w:space="0" w:color="auto"/>
        <w:right w:val="none" w:sz="0" w:space="0" w:color="auto"/>
      </w:divBdr>
    </w:div>
    <w:div w:id="880705514">
      <w:bodyDiv w:val="1"/>
      <w:marLeft w:val="0"/>
      <w:marRight w:val="0"/>
      <w:marTop w:val="0"/>
      <w:marBottom w:val="0"/>
      <w:divBdr>
        <w:top w:val="none" w:sz="0" w:space="0" w:color="auto"/>
        <w:left w:val="none" w:sz="0" w:space="0" w:color="auto"/>
        <w:bottom w:val="none" w:sz="0" w:space="0" w:color="auto"/>
        <w:right w:val="none" w:sz="0" w:space="0" w:color="auto"/>
      </w:divBdr>
    </w:div>
    <w:div w:id="881481890">
      <w:bodyDiv w:val="1"/>
      <w:marLeft w:val="0"/>
      <w:marRight w:val="0"/>
      <w:marTop w:val="0"/>
      <w:marBottom w:val="0"/>
      <w:divBdr>
        <w:top w:val="none" w:sz="0" w:space="0" w:color="auto"/>
        <w:left w:val="none" w:sz="0" w:space="0" w:color="auto"/>
        <w:bottom w:val="none" w:sz="0" w:space="0" w:color="auto"/>
        <w:right w:val="none" w:sz="0" w:space="0" w:color="auto"/>
      </w:divBdr>
    </w:div>
    <w:div w:id="901332657">
      <w:bodyDiv w:val="1"/>
      <w:marLeft w:val="0"/>
      <w:marRight w:val="0"/>
      <w:marTop w:val="0"/>
      <w:marBottom w:val="0"/>
      <w:divBdr>
        <w:top w:val="none" w:sz="0" w:space="0" w:color="auto"/>
        <w:left w:val="none" w:sz="0" w:space="0" w:color="auto"/>
        <w:bottom w:val="none" w:sz="0" w:space="0" w:color="auto"/>
        <w:right w:val="none" w:sz="0" w:space="0" w:color="auto"/>
      </w:divBdr>
    </w:div>
    <w:div w:id="929045713">
      <w:bodyDiv w:val="1"/>
      <w:marLeft w:val="0"/>
      <w:marRight w:val="0"/>
      <w:marTop w:val="0"/>
      <w:marBottom w:val="0"/>
      <w:divBdr>
        <w:top w:val="none" w:sz="0" w:space="0" w:color="auto"/>
        <w:left w:val="none" w:sz="0" w:space="0" w:color="auto"/>
        <w:bottom w:val="none" w:sz="0" w:space="0" w:color="auto"/>
        <w:right w:val="none" w:sz="0" w:space="0" w:color="auto"/>
      </w:divBdr>
    </w:div>
    <w:div w:id="961763068">
      <w:bodyDiv w:val="1"/>
      <w:marLeft w:val="0"/>
      <w:marRight w:val="0"/>
      <w:marTop w:val="0"/>
      <w:marBottom w:val="0"/>
      <w:divBdr>
        <w:top w:val="none" w:sz="0" w:space="0" w:color="auto"/>
        <w:left w:val="none" w:sz="0" w:space="0" w:color="auto"/>
        <w:bottom w:val="none" w:sz="0" w:space="0" w:color="auto"/>
        <w:right w:val="none" w:sz="0" w:space="0" w:color="auto"/>
      </w:divBdr>
    </w:div>
    <w:div w:id="1092163054">
      <w:bodyDiv w:val="1"/>
      <w:marLeft w:val="0"/>
      <w:marRight w:val="0"/>
      <w:marTop w:val="0"/>
      <w:marBottom w:val="0"/>
      <w:divBdr>
        <w:top w:val="none" w:sz="0" w:space="0" w:color="auto"/>
        <w:left w:val="none" w:sz="0" w:space="0" w:color="auto"/>
        <w:bottom w:val="none" w:sz="0" w:space="0" w:color="auto"/>
        <w:right w:val="none" w:sz="0" w:space="0" w:color="auto"/>
      </w:divBdr>
    </w:div>
    <w:div w:id="1099372187">
      <w:bodyDiv w:val="1"/>
      <w:marLeft w:val="0"/>
      <w:marRight w:val="0"/>
      <w:marTop w:val="0"/>
      <w:marBottom w:val="0"/>
      <w:divBdr>
        <w:top w:val="none" w:sz="0" w:space="0" w:color="auto"/>
        <w:left w:val="none" w:sz="0" w:space="0" w:color="auto"/>
        <w:bottom w:val="none" w:sz="0" w:space="0" w:color="auto"/>
        <w:right w:val="none" w:sz="0" w:space="0" w:color="auto"/>
      </w:divBdr>
    </w:div>
    <w:div w:id="1122528911">
      <w:bodyDiv w:val="1"/>
      <w:marLeft w:val="0"/>
      <w:marRight w:val="0"/>
      <w:marTop w:val="0"/>
      <w:marBottom w:val="0"/>
      <w:divBdr>
        <w:top w:val="none" w:sz="0" w:space="0" w:color="auto"/>
        <w:left w:val="none" w:sz="0" w:space="0" w:color="auto"/>
        <w:bottom w:val="none" w:sz="0" w:space="0" w:color="auto"/>
        <w:right w:val="none" w:sz="0" w:space="0" w:color="auto"/>
      </w:divBdr>
      <w:divsChild>
        <w:div w:id="432550669">
          <w:marLeft w:val="1426"/>
          <w:marRight w:val="0"/>
          <w:marTop w:val="0"/>
          <w:marBottom w:val="0"/>
          <w:divBdr>
            <w:top w:val="none" w:sz="0" w:space="0" w:color="auto"/>
            <w:left w:val="none" w:sz="0" w:space="0" w:color="auto"/>
            <w:bottom w:val="none" w:sz="0" w:space="0" w:color="auto"/>
            <w:right w:val="none" w:sz="0" w:space="0" w:color="auto"/>
          </w:divBdr>
        </w:div>
        <w:div w:id="802889351">
          <w:marLeft w:val="547"/>
          <w:marRight w:val="0"/>
          <w:marTop w:val="0"/>
          <w:marBottom w:val="0"/>
          <w:divBdr>
            <w:top w:val="none" w:sz="0" w:space="0" w:color="auto"/>
            <w:left w:val="none" w:sz="0" w:space="0" w:color="auto"/>
            <w:bottom w:val="none" w:sz="0" w:space="0" w:color="auto"/>
            <w:right w:val="none" w:sz="0" w:space="0" w:color="auto"/>
          </w:divBdr>
        </w:div>
        <w:div w:id="878274818">
          <w:marLeft w:val="1138"/>
          <w:marRight w:val="0"/>
          <w:marTop w:val="0"/>
          <w:marBottom w:val="0"/>
          <w:divBdr>
            <w:top w:val="none" w:sz="0" w:space="0" w:color="auto"/>
            <w:left w:val="none" w:sz="0" w:space="0" w:color="auto"/>
            <w:bottom w:val="none" w:sz="0" w:space="0" w:color="auto"/>
            <w:right w:val="none" w:sz="0" w:space="0" w:color="auto"/>
          </w:divBdr>
        </w:div>
        <w:div w:id="1073505193">
          <w:marLeft w:val="547"/>
          <w:marRight w:val="0"/>
          <w:marTop w:val="0"/>
          <w:marBottom w:val="0"/>
          <w:divBdr>
            <w:top w:val="none" w:sz="0" w:space="0" w:color="auto"/>
            <w:left w:val="none" w:sz="0" w:space="0" w:color="auto"/>
            <w:bottom w:val="none" w:sz="0" w:space="0" w:color="auto"/>
            <w:right w:val="none" w:sz="0" w:space="0" w:color="auto"/>
          </w:divBdr>
        </w:div>
        <w:div w:id="1085806489">
          <w:marLeft w:val="547"/>
          <w:marRight w:val="0"/>
          <w:marTop w:val="0"/>
          <w:marBottom w:val="0"/>
          <w:divBdr>
            <w:top w:val="none" w:sz="0" w:space="0" w:color="auto"/>
            <w:left w:val="none" w:sz="0" w:space="0" w:color="auto"/>
            <w:bottom w:val="none" w:sz="0" w:space="0" w:color="auto"/>
            <w:right w:val="none" w:sz="0" w:space="0" w:color="auto"/>
          </w:divBdr>
        </w:div>
        <w:div w:id="1176727221">
          <w:marLeft w:val="1138"/>
          <w:marRight w:val="0"/>
          <w:marTop w:val="0"/>
          <w:marBottom w:val="0"/>
          <w:divBdr>
            <w:top w:val="none" w:sz="0" w:space="0" w:color="auto"/>
            <w:left w:val="none" w:sz="0" w:space="0" w:color="auto"/>
            <w:bottom w:val="none" w:sz="0" w:space="0" w:color="auto"/>
            <w:right w:val="none" w:sz="0" w:space="0" w:color="auto"/>
          </w:divBdr>
        </w:div>
        <w:div w:id="1217623772">
          <w:marLeft w:val="547"/>
          <w:marRight w:val="0"/>
          <w:marTop w:val="0"/>
          <w:marBottom w:val="0"/>
          <w:divBdr>
            <w:top w:val="none" w:sz="0" w:space="0" w:color="auto"/>
            <w:left w:val="none" w:sz="0" w:space="0" w:color="auto"/>
            <w:bottom w:val="none" w:sz="0" w:space="0" w:color="auto"/>
            <w:right w:val="none" w:sz="0" w:space="0" w:color="auto"/>
          </w:divBdr>
        </w:div>
        <w:div w:id="1381780309">
          <w:marLeft w:val="547"/>
          <w:marRight w:val="0"/>
          <w:marTop w:val="0"/>
          <w:marBottom w:val="0"/>
          <w:divBdr>
            <w:top w:val="none" w:sz="0" w:space="0" w:color="auto"/>
            <w:left w:val="none" w:sz="0" w:space="0" w:color="auto"/>
            <w:bottom w:val="none" w:sz="0" w:space="0" w:color="auto"/>
            <w:right w:val="none" w:sz="0" w:space="0" w:color="auto"/>
          </w:divBdr>
        </w:div>
        <w:div w:id="1452088634">
          <w:marLeft w:val="1426"/>
          <w:marRight w:val="0"/>
          <w:marTop w:val="0"/>
          <w:marBottom w:val="0"/>
          <w:divBdr>
            <w:top w:val="none" w:sz="0" w:space="0" w:color="auto"/>
            <w:left w:val="none" w:sz="0" w:space="0" w:color="auto"/>
            <w:bottom w:val="none" w:sz="0" w:space="0" w:color="auto"/>
            <w:right w:val="none" w:sz="0" w:space="0" w:color="auto"/>
          </w:divBdr>
        </w:div>
        <w:div w:id="1761096633">
          <w:marLeft w:val="547"/>
          <w:marRight w:val="0"/>
          <w:marTop w:val="0"/>
          <w:marBottom w:val="0"/>
          <w:divBdr>
            <w:top w:val="none" w:sz="0" w:space="0" w:color="auto"/>
            <w:left w:val="none" w:sz="0" w:space="0" w:color="auto"/>
            <w:bottom w:val="none" w:sz="0" w:space="0" w:color="auto"/>
            <w:right w:val="none" w:sz="0" w:space="0" w:color="auto"/>
          </w:divBdr>
        </w:div>
        <w:div w:id="2010524266">
          <w:marLeft w:val="547"/>
          <w:marRight w:val="0"/>
          <w:marTop w:val="0"/>
          <w:marBottom w:val="0"/>
          <w:divBdr>
            <w:top w:val="none" w:sz="0" w:space="0" w:color="auto"/>
            <w:left w:val="none" w:sz="0" w:space="0" w:color="auto"/>
            <w:bottom w:val="none" w:sz="0" w:space="0" w:color="auto"/>
            <w:right w:val="none" w:sz="0" w:space="0" w:color="auto"/>
          </w:divBdr>
        </w:div>
        <w:div w:id="2029674634">
          <w:marLeft w:val="547"/>
          <w:marRight w:val="0"/>
          <w:marTop w:val="0"/>
          <w:marBottom w:val="0"/>
          <w:divBdr>
            <w:top w:val="none" w:sz="0" w:space="0" w:color="auto"/>
            <w:left w:val="none" w:sz="0" w:space="0" w:color="auto"/>
            <w:bottom w:val="none" w:sz="0" w:space="0" w:color="auto"/>
            <w:right w:val="none" w:sz="0" w:space="0" w:color="auto"/>
          </w:divBdr>
        </w:div>
        <w:div w:id="2109815779">
          <w:marLeft w:val="547"/>
          <w:marRight w:val="0"/>
          <w:marTop w:val="0"/>
          <w:marBottom w:val="0"/>
          <w:divBdr>
            <w:top w:val="none" w:sz="0" w:space="0" w:color="auto"/>
            <w:left w:val="none" w:sz="0" w:space="0" w:color="auto"/>
            <w:bottom w:val="none" w:sz="0" w:space="0" w:color="auto"/>
            <w:right w:val="none" w:sz="0" w:space="0" w:color="auto"/>
          </w:divBdr>
        </w:div>
        <w:div w:id="2121096714">
          <w:marLeft w:val="547"/>
          <w:marRight w:val="0"/>
          <w:marTop w:val="0"/>
          <w:marBottom w:val="0"/>
          <w:divBdr>
            <w:top w:val="none" w:sz="0" w:space="0" w:color="auto"/>
            <w:left w:val="none" w:sz="0" w:space="0" w:color="auto"/>
            <w:bottom w:val="none" w:sz="0" w:space="0" w:color="auto"/>
            <w:right w:val="none" w:sz="0" w:space="0" w:color="auto"/>
          </w:divBdr>
        </w:div>
      </w:divsChild>
    </w:div>
    <w:div w:id="1125463648">
      <w:bodyDiv w:val="1"/>
      <w:marLeft w:val="0"/>
      <w:marRight w:val="0"/>
      <w:marTop w:val="0"/>
      <w:marBottom w:val="0"/>
      <w:divBdr>
        <w:top w:val="none" w:sz="0" w:space="0" w:color="auto"/>
        <w:left w:val="none" w:sz="0" w:space="0" w:color="auto"/>
        <w:bottom w:val="none" w:sz="0" w:space="0" w:color="auto"/>
        <w:right w:val="none" w:sz="0" w:space="0" w:color="auto"/>
      </w:divBdr>
    </w:div>
    <w:div w:id="1159033655">
      <w:bodyDiv w:val="1"/>
      <w:marLeft w:val="0"/>
      <w:marRight w:val="0"/>
      <w:marTop w:val="0"/>
      <w:marBottom w:val="0"/>
      <w:divBdr>
        <w:top w:val="none" w:sz="0" w:space="0" w:color="auto"/>
        <w:left w:val="none" w:sz="0" w:space="0" w:color="auto"/>
        <w:bottom w:val="none" w:sz="0" w:space="0" w:color="auto"/>
        <w:right w:val="none" w:sz="0" w:space="0" w:color="auto"/>
      </w:divBdr>
    </w:div>
    <w:div w:id="1214580668">
      <w:bodyDiv w:val="1"/>
      <w:marLeft w:val="0"/>
      <w:marRight w:val="0"/>
      <w:marTop w:val="0"/>
      <w:marBottom w:val="0"/>
      <w:divBdr>
        <w:top w:val="none" w:sz="0" w:space="0" w:color="auto"/>
        <w:left w:val="none" w:sz="0" w:space="0" w:color="auto"/>
        <w:bottom w:val="none" w:sz="0" w:space="0" w:color="auto"/>
        <w:right w:val="none" w:sz="0" w:space="0" w:color="auto"/>
      </w:divBdr>
    </w:div>
    <w:div w:id="1235700577">
      <w:bodyDiv w:val="1"/>
      <w:marLeft w:val="0"/>
      <w:marRight w:val="0"/>
      <w:marTop w:val="0"/>
      <w:marBottom w:val="0"/>
      <w:divBdr>
        <w:top w:val="none" w:sz="0" w:space="0" w:color="auto"/>
        <w:left w:val="none" w:sz="0" w:space="0" w:color="auto"/>
        <w:bottom w:val="none" w:sz="0" w:space="0" w:color="auto"/>
        <w:right w:val="none" w:sz="0" w:space="0" w:color="auto"/>
      </w:divBdr>
    </w:div>
    <w:div w:id="1244727253">
      <w:bodyDiv w:val="1"/>
      <w:marLeft w:val="0"/>
      <w:marRight w:val="0"/>
      <w:marTop w:val="0"/>
      <w:marBottom w:val="0"/>
      <w:divBdr>
        <w:top w:val="none" w:sz="0" w:space="0" w:color="auto"/>
        <w:left w:val="none" w:sz="0" w:space="0" w:color="auto"/>
        <w:bottom w:val="none" w:sz="0" w:space="0" w:color="auto"/>
        <w:right w:val="none" w:sz="0" w:space="0" w:color="auto"/>
      </w:divBdr>
    </w:div>
    <w:div w:id="1317609265">
      <w:bodyDiv w:val="1"/>
      <w:marLeft w:val="0"/>
      <w:marRight w:val="0"/>
      <w:marTop w:val="0"/>
      <w:marBottom w:val="0"/>
      <w:divBdr>
        <w:top w:val="none" w:sz="0" w:space="0" w:color="auto"/>
        <w:left w:val="none" w:sz="0" w:space="0" w:color="auto"/>
        <w:bottom w:val="none" w:sz="0" w:space="0" w:color="auto"/>
        <w:right w:val="none" w:sz="0" w:space="0" w:color="auto"/>
      </w:divBdr>
    </w:div>
    <w:div w:id="1365474377">
      <w:bodyDiv w:val="1"/>
      <w:marLeft w:val="0"/>
      <w:marRight w:val="0"/>
      <w:marTop w:val="0"/>
      <w:marBottom w:val="0"/>
      <w:divBdr>
        <w:top w:val="none" w:sz="0" w:space="0" w:color="auto"/>
        <w:left w:val="none" w:sz="0" w:space="0" w:color="auto"/>
        <w:bottom w:val="none" w:sz="0" w:space="0" w:color="auto"/>
        <w:right w:val="none" w:sz="0" w:space="0" w:color="auto"/>
      </w:divBdr>
    </w:div>
    <w:div w:id="1367173081">
      <w:bodyDiv w:val="1"/>
      <w:marLeft w:val="0"/>
      <w:marRight w:val="0"/>
      <w:marTop w:val="0"/>
      <w:marBottom w:val="0"/>
      <w:divBdr>
        <w:top w:val="none" w:sz="0" w:space="0" w:color="auto"/>
        <w:left w:val="none" w:sz="0" w:space="0" w:color="auto"/>
        <w:bottom w:val="none" w:sz="0" w:space="0" w:color="auto"/>
        <w:right w:val="none" w:sz="0" w:space="0" w:color="auto"/>
      </w:divBdr>
    </w:div>
    <w:div w:id="1409764529">
      <w:bodyDiv w:val="1"/>
      <w:marLeft w:val="0"/>
      <w:marRight w:val="0"/>
      <w:marTop w:val="0"/>
      <w:marBottom w:val="0"/>
      <w:divBdr>
        <w:top w:val="none" w:sz="0" w:space="0" w:color="auto"/>
        <w:left w:val="none" w:sz="0" w:space="0" w:color="auto"/>
        <w:bottom w:val="none" w:sz="0" w:space="0" w:color="auto"/>
        <w:right w:val="none" w:sz="0" w:space="0" w:color="auto"/>
      </w:divBdr>
    </w:div>
    <w:div w:id="1472404754">
      <w:bodyDiv w:val="1"/>
      <w:marLeft w:val="0"/>
      <w:marRight w:val="0"/>
      <w:marTop w:val="0"/>
      <w:marBottom w:val="0"/>
      <w:divBdr>
        <w:top w:val="none" w:sz="0" w:space="0" w:color="auto"/>
        <w:left w:val="none" w:sz="0" w:space="0" w:color="auto"/>
        <w:bottom w:val="none" w:sz="0" w:space="0" w:color="auto"/>
        <w:right w:val="none" w:sz="0" w:space="0" w:color="auto"/>
      </w:divBdr>
    </w:div>
    <w:div w:id="1479497135">
      <w:bodyDiv w:val="1"/>
      <w:marLeft w:val="0"/>
      <w:marRight w:val="0"/>
      <w:marTop w:val="0"/>
      <w:marBottom w:val="0"/>
      <w:divBdr>
        <w:top w:val="none" w:sz="0" w:space="0" w:color="auto"/>
        <w:left w:val="none" w:sz="0" w:space="0" w:color="auto"/>
        <w:bottom w:val="none" w:sz="0" w:space="0" w:color="auto"/>
        <w:right w:val="none" w:sz="0" w:space="0" w:color="auto"/>
      </w:divBdr>
    </w:div>
    <w:div w:id="1482112494">
      <w:bodyDiv w:val="1"/>
      <w:marLeft w:val="0"/>
      <w:marRight w:val="0"/>
      <w:marTop w:val="0"/>
      <w:marBottom w:val="0"/>
      <w:divBdr>
        <w:top w:val="none" w:sz="0" w:space="0" w:color="auto"/>
        <w:left w:val="none" w:sz="0" w:space="0" w:color="auto"/>
        <w:bottom w:val="none" w:sz="0" w:space="0" w:color="auto"/>
        <w:right w:val="none" w:sz="0" w:space="0" w:color="auto"/>
      </w:divBdr>
    </w:div>
    <w:div w:id="1501582596">
      <w:bodyDiv w:val="1"/>
      <w:marLeft w:val="0"/>
      <w:marRight w:val="0"/>
      <w:marTop w:val="0"/>
      <w:marBottom w:val="0"/>
      <w:divBdr>
        <w:top w:val="none" w:sz="0" w:space="0" w:color="auto"/>
        <w:left w:val="none" w:sz="0" w:space="0" w:color="auto"/>
        <w:bottom w:val="none" w:sz="0" w:space="0" w:color="auto"/>
        <w:right w:val="none" w:sz="0" w:space="0" w:color="auto"/>
      </w:divBdr>
    </w:div>
    <w:div w:id="1550461701">
      <w:bodyDiv w:val="1"/>
      <w:marLeft w:val="0"/>
      <w:marRight w:val="0"/>
      <w:marTop w:val="0"/>
      <w:marBottom w:val="0"/>
      <w:divBdr>
        <w:top w:val="none" w:sz="0" w:space="0" w:color="auto"/>
        <w:left w:val="none" w:sz="0" w:space="0" w:color="auto"/>
        <w:bottom w:val="none" w:sz="0" w:space="0" w:color="auto"/>
        <w:right w:val="none" w:sz="0" w:space="0" w:color="auto"/>
      </w:divBdr>
    </w:div>
    <w:div w:id="1576938955">
      <w:bodyDiv w:val="1"/>
      <w:marLeft w:val="0"/>
      <w:marRight w:val="0"/>
      <w:marTop w:val="0"/>
      <w:marBottom w:val="0"/>
      <w:divBdr>
        <w:top w:val="none" w:sz="0" w:space="0" w:color="auto"/>
        <w:left w:val="none" w:sz="0" w:space="0" w:color="auto"/>
        <w:bottom w:val="none" w:sz="0" w:space="0" w:color="auto"/>
        <w:right w:val="none" w:sz="0" w:space="0" w:color="auto"/>
      </w:divBdr>
    </w:div>
    <w:div w:id="1637444925">
      <w:bodyDiv w:val="1"/>
      <w:marLeft w:val="0"/>
      <w:marRight w:val="0"/>
      <w:marTop w:val="0"/>
      <w:marBottom w:val="0"/>
      <w:divBdr>
        <w:top w:val="none" w:sz="0" w:space="0" w:color="auto"/>
        <w:left w:val="none" w:sz="0" w:space="0" w:color="auto"/>
        <w:bottom w:val="none" w:sz="0" w:space="0" w:color="auto"/>
        <w:right w:val="none" w:sz="0" w:space="0" w:color="auto"/>
      </w:divBdr>
    </w:div>
    <w:div w:id="1644504524">
      <w:bodyDiv w:val="1"/>
      <w:marLeft w:val="0"/>
      <w:marRight w:val="0"/>
      <w:marTop w:val="0"/>
      <w:marBottom w:val="0"/>
      <w:divBdr>
        <w:top w:val="none" w:sz="0" w:space="0" w:color="auto"/>
        <w:left w:val="none" w:sz="0" w:space="0" w:color="auto"/>
        <w:bottom w:val="none" w:sz="0" w:space="0" w:color="auto"/>
        <w:right w:val="none" w:sz="0" w:space="0" w:color="auto"/>
      </w:divBdr>
    </w:div>
    <w:div w:id="1683973930">
      <w:bodyDiv w:val="1"/>
      <w:marLeft w:val="0"/>
      <w:marRight w:val="0"/>
      <w:marTop w:val="0"/>
      <w:marBottom w:val="0"/>
      <w:divBdr>
        <w:top w:val="none" w:sz="0" w:space="0" w:color="auto"/>
        <w:left w:val="none" w:sz="0" w:space="0" w:color="auto"/>
        <w:bottom w:val="none" w:sz="0" w:space="0" w:color="auto"/>
        <w:right w:val="none" w:sz="0" w:space="0" w:color="auto"/>
      </w:divBdr>
    </w:div>
    <w:div w:id="1689402848">
      <w:bodyDiv w:val="1"/>
      <w:marLeft w:val="0"/>
      <w:marRight w:val="0"/>
      <w:marTop w:val="0"/>
      <w:marBottom w:val="0"/>
      <w:divBdr>
        <w:top w:val="none" w:sz="0" w:space="0" w:color="auto"/>
        <w:left w:val="none" w:sz="0" w:space="0" w:color="auto"/>
        <w:bottom w:val="none" w:sz="0" w:space="0" w:color="auto"/>
        <w:right w:val="none" w:sz="0" w:space="0" w:color="auto"/>
      </w:divBdr>
    </w:div>
    <w:div w:id="1709716627">
      <w:bodyDiv w:val="1"/>
      <w:marLeft w:val="0"/>
      <w:marRight w:val="0"/>
      <w:marTop w:val="0"/>
      <w:marBottom w:val="0"/>
      <w:divBdr>
        <w:top w:val="none" w:sz="0" w:space="0" w:color="auto"/>
        <w:left w:val="none" w:sz="0" w:space="0" w:color="auto"/>
        <w:bottom w:val="none" w:sz="0" w:space="0" w:color="auto"/>
        <w:right w:val="none" w:sz="0" w:space="0" w:color="auto"/>
      </w:divBdr>
    </w:div>
    <w:div w:id="1730112674">
      <w:bodyDiv w:val="1"/>
      <w:marLeft w:val="0"/>
      <w:marRight w:val="0"/>
      <w:marTop w:val="0"/>
      <w:marBottom w:val="0"/>
      <w:divBdr>
        <w:top w:val="none" w:sz="0" w:space="0" w:color="auto"/>
        <w:left w:val="none" w:sz="0" w:space="0" w:color="auto"/>
        <w:bottom w:val="none" w:sz="0" w:space="0" w:color="auto"/>
        <w:right w:val="none" w:sz="0" w:space="0" w:color="auto"/>
      </w:divBdr>
    </w:div>
    <w:div w:id="1802192303">
      <w:bodyDiv w:val="1"/>
      <w:marLeft w:val="0"/>
      <w:marRight w:val="0"/>
      <w:marTop w:val="0"/>
      <w:marBottom w:val="0"/>
      <w:divBdr>
        <w:top w:val="none" w:sz="0" w:space="0" w:color="auto"/>
        <w:left w:val="none" w:sz="0" w:space="0" w:color="auto"/>
        <w:bottom w:val="none" w:sz="0" w:space="0" w:color="auto"/>
        <w:right w:val="none" w:sz="0" w:space="0" w:color="auto"/>
      </w:divBdr>
    </w:div>
    <w:div w:id="1808549854">
      <w:bodyDiv w:val="1"/>
      <w:marLeft w:val="0"/>
      <w:marRight w:val="0"/>
      <w:marTop w:val="0"/>
      <w:marBottom w:val="0"/>
      <w:divBdr>
        <w:top w:val="none" w:sz="0" w:space="0" w:color="auto"/>
        <w:left w:val="none" w:sz="0" w:space="0" w:color="auto"/>
        <w:bottom w:val="none" w:sz="0" w:space="0" w:color="auto"/>
        <w:right w:val="none" w:sz="0" w:space="0" w:color="auto"/>
      </w:divBdr>
    </w:div>
    <w:div w:id="1884554368">
      <w:bodyDiv w:val="1"/>
      <w:marLeft w:val="0"/>
      <w:marRight w:val="0"/>
      <w:marTop w:val="0"/>
      <w:marBottom w:val="0"/>
      <w:divBdr>
        <w:top w:val="none" w:sz="0" w:space="0" w:color="auto"/>
        <w:left w:val="none" w:sz="0" w:space="0" w:color="auto"/>
        <w:bottom w:val="none" w:sz="0" w:space="0" w:color="auto"/>
        <w:right w:val="none" w:sz="0" w:space="0" w:color="auto"/>
      </w:divBdr>
    </w:div>
    <w:div w:id="1892573148">
      <w:bodyDiv w:val="1"/>
      <w:marLeft w:val="0"/>
      <w:marRight w:val="0"/>
      <w:marTop w:val="0"/>
      <w:marBottom w:val="0"/>
      <w:divBdr>
        <w:top w:val="none" w:sz="0" w:space="0" w:color="auto"/>
        <w:left w:val="none" w:sz="0" w:space="0" w:color="auto"/>
        <w:bottom w:val="none" w:sz="0" w:space="0" w:color="auto"/>
        <w:right w:val="none" w:sz="0" w:space="0" w:color="auto"/>
      </w:divBdr>
    </w:div>
    <w:div w:id="1941788909">
      <w:bodyDiv w:val="1"/>
      <w:marLeft w:val="0"/>
      <w:marRight w:val="0"/>
      <w:marTop w:val="0"/>
      <w:marBottom w:val="0"/>
      <w:divBdr>
        <w:top w:val="none" w:sz="0" w:space="0" w:color="auto"/>
        <w:left w:val="none" w:sz="0" w:space="0" w:color="auto"/>
        <w:bottom w:val="none" w:sz="0" w:space="0" w:color="auto"/>
        <w:right w:val="none" w:sz="0" w:space="0" w:color="auto"/>
      </w:divBdr>
    </w:div>
    <w:div w:id="2009406993">
      <w:bodyDiv w:val="1"/>
      <w:marLeft w:val="0"/>
      <w:marRight w:val="0"/>
      <w:marTop w:val="0"/>
      <w:marBottom w:val="0"/>
      <w:divBdr>
        <w:top w:val="none" w:sz="0" w:space="0" w:color="auto"/>
        <w:left w:val="none" w:sz="0" w:space="0" w:color="auto"/>
        <w:bottom w:val="none" w:sz="0" w:space="0" w:color="auto"/>
        <w:right w:val="none" w:sz="0" w:space="0" w:color="auto"/>
      </w:divBdr>
    </w:div>
    <w:div w:id="2021352261">
      <w:bodyDiv w:val="1"/>
      <w:marLeft w:val="0"/>
      <w:marRight w:val="0"/>
      <w:marTop w:val="0"/>
      <w:marBottom w:val="0"/>
      <w:divBdr>
        <w:top w:val="none" w:sz="0" w:space="0" w:color="auto"/>
        <w:left w:val="none" w:sz="0" w:space="0" w:color="auto"/>
        <w:bottom w:val="none" w:sz="0" w:space="0" w:color="auto"/>
        <w:right w:val="none" w:sz="0" w:space="0" w:color="auto"/>
      </w:divBdr>
    </w:div>
    <w:div w:id="2026664011">
      <w:bodyDiv w:val="1"/>
      <w:marLeft w:val="0"/>
      <w:marRight w:val="0"/>
      <w:marTop w:val="0"/>
      <w:marBottom w:val="0"/>
      <w:divBdr>
        <w:top w:val="none" w:sz="0" w:space="0" w:color="auto"/>
        <w:left w:val="none" w:sz="0" w:space="0" w:color="auto"/>
        <w:bottom w:val="none" w:sz="0" w:space="0" w:color="auto"/>
        <w:right w:val="none" w:sz="0" w:space="0" w:color="auto"/>
      </w:divBdr>
    </w:div>
    <w:div w:id="2028559274">
      <w:bodyDiv w:val="1"/>
      <w:marLeft w:val="0"/>
      <w:marRight w:val="0"/>
      <w:marTop w:val="0"/>
      <w:marBottom w:val="0"/>
      <w:divBdr>
        <w:top w:val="none" w:sz="0" w:space="0" w:color="auto"/>
        <w:left w:val="none" w:sz="0" w:space="0" w:color="auto"/>
        <w:bottom w:val="none" w:sz="0" w:space="0" w:color="auto"/>
        <w:right w:val="none" w:sz="0" w:space="0" w:color="auto"/>
      </w:divBdr>
    </w:div>
    <w:div w:id="2034454044">
      <w:bodyDiv w:val="1"/>
      <w:marLeft w:val="0"/>
      <w:marRight w:val="0"/>
      <w:marTop w:val="0"/>
      <w:marBottom w:val="0"/>
      <w:divBdr>
        <w:top w:val="none" w:sz="0" w:space="0" w:color="auto"/>
        <w:left w:val="none" w:sz="0" w:space="0" w:color="auto"/>
        <w:bottom w:val="none" w:sz="0" w:space="0" w:color="auto"/>
        <w:right w:val="none" w:sz="0" w:space="0" w:color="auto"/>
      </w:divBdr>
    </w:div>
    <w:div w:id="2047362640">
      <w:bodyDiv w:val="1"/>
      <w:marLeft w:val="0"/>
      <w:marRight w:val="0"/>
      <w:marTop w:val="0"/>
      <w:marBottom w:val="0"/>
      <w:divBdr>
        <w:top w:val="none" w:sz="0" w:space="0" w:color="auto"/>
        <w:left w:val="none" w:sz="0" w:space="0" w:color="auto"/>
        <w:bottom w:val="none" w:sz="0" w:space="0" w:color="auto"/>
        <w:right w:val="none" w:sz="0" w:space="0" w:color="auto"/>
      </w:divBdr>
    </w:div>
    <w:div w:id="2057585218">
      <w:bodyDiv w:val="1"/>
      <w:marLeft w:val="0"/>
      <w:marRight w:val="0"/>
      <w:marTop w:val="0"/>
      <w:marBottom w:val="0"/>
      <w:divBdr>
        <w:top w:val="none" w:sz="0" w:space="0" w:color="auto"/>
        <w:left w:val="none" w:sz="0" w:space="0" w:color="auto"/>
        <w:bottom w:val="none" w:sz="0" w:space="0" w:color="auto"/>
        <w:right w:val="none" w:sz="0" w:space="0" w:color="auto"/>
      </w:divBdr>
    </w:div>
    <w:div w:id="2070958731">
      <w:bodyDiv w:val="1"/>
      <w:marLeft w:val="0"/>
      <w:marRight w:val="0"/>
      <w:marTop w:val="0"/>
      <w:marBottom w:val="0"/>
      <w:divBdr>
        <w:top w:val="none" w:sz="0" w:space="0" w:color="auto"/>
        <w:left w:val="none" w:sz="0" w:space="0" w:color="auto"/>
        <w:bottom w:val="none" w:sz="0" w:space="0" w:color="auto"/>
        <w:right w:val="none" w:sz="0" w:space="0" w:color="auto"/>
      </w:divBdr>
    </w:div>
    <w:div w:id="2085301476">
      <w:bodyDiv w:val="1"/>
      <w:marLeft w:val="0"/>
      <w:marRight w:val="0"/>
      <w:marTop w:val="0"/>
      <w:marBottom w:val="0"/>
      <w:divBdr>
        <w:top w:val="none" w:sz="0" w:space="0" w:color="auto"/>
        <w:left w:val="none" w:sz="0" w:space="0" w:color="auto"/>
        <w:bottom w:val="none" w:sz="0" w:space="0" w:color="auto"/>
        <w:right w:val="none" w:sz="0" w:space="0" w:color="auto"/>
      </w:divBdr>
    </w:div>
    <w:div w:id="213610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PA">
  <a:themeElements>
    <a:clrScheme name="VPA">
      <a:dk1>
        <a:sysClr val="windowText" lastClr="000000"/>
      </a:dk1>
      <a:lt1>
        <a:sysClr val="window" lastClr="FFFFFF"/>
      </a:lt1>
      <a:dk2>
        <a:srgbClr val="003C74"/>
      </a:dk2>
      <a:lt2>
        <a:srgbClr val="E7E6E6"/>
      </a:lt2>
      <a:accent1>
        <a:srgbClr val="005EA1"/>
      </a:accent1>
      <a:accent2>
        <a:srgbClr val="008BD2"/>
      </a:accent2>
      <a:accent3>
        <a:srgbClr val="95C11F"/>
      </a:accent3>
      <a:accent4>
        <a:srgbClr val="9CA0A3"/>
      </a:accent4>
      <a:accent5>
        <a:srgbClr val="4CA22F"/>
      </a:accent5>
      <a:accent6>
        <a:srgbClr val="63B9E9"/>
      </a:accent6>
      <a:hlink>
        <a:srgbClr val="00B0F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480F5-D678-484C-90D8-33B4D056E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13</Pages>
  <Words>3703</Words>
  <Characters>21110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24764</CharactersWithSpaces>
  <SharedDoc>false</SharedDoc>
  <HLinks>
    <vt:vector size="6" baseType="variant">
      <vt:variant>
        <vt:i4>1900595</vt:i4>
      </vt:variant>
      <vt:variant>
        <vt:i4>2</vt:i4>
      </vt:variant>
      <vt:variant>
        <vt:i4>0</vt:i4>
      </vt:variant>
      <vt:variant>
        <vt:i4>5</vt:i4>
      </vt:variant>
      <vt:variant>
        <vt:lpwstr/>
      </vt:variant>
      <vt:variant>
        <vt:lpwstr>_Toc286321508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VPA</dc:creator>
  <cp:keywords/>
  <dc:description/>
  <cp:lastModifiedBy>VPA</cp:lastModifiedBy>
  <cp:revision>3</cp:revision>
  <cp:lastPrinted>2017-09-03T23:35:00Z</cp:lastPrinted>
  <dcterms:created xsi:type="dcterms:W3CDTF">2017-09-03T23:06:00Z</dcterms:created>
  <dcterms:modified xsi:type="dcterms:W3CDTF">2017-09-04T06:52:00Z</dcterms:modified>
</cp:coreProperties>
</file>