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364" w:rsidRPr="00507B1A" w:rsidRDefault="00F3013C" w:rsidP="00937364">
      <w:pPr>
        <w:pBdr>
          <w:bottom w:val="single" w:sz="4" w:space="1" w:color="005EA1" w:themeColor="accent1"/>
        </w:pBdr>
        <w:spacing w:before="6000"/>
        <w:jc w:val="right"/>
        <w:rPr>
          <w:rFonts w:ascii="VIC" w:hAnsi="VIC"/>
          <w:color w:val="9CA0A3" w:themeColor="accent4"/>
          <w:sz w:val="52"/>
          <w:szCs w:val="76"/>
        </w:rPr>
      </w:pPr>
      <w:bookmarkStart w:id="0" w:name="_GoBack"/>
      <w:bookmarkEnd w:id="0"/>
      <w:r>
        <w:rPr>
          <w:rFonts w:ascii="VIC" w:hAnsi="VIC"/>
          <w:color w:val="9CA0A3" w:themeColor="accent4"/>
          <w:sz w:val="52"/>
          <w:szCs w:val="76"/>
        </w:rPr>
        <w:t>PSP 74 &amp; 75 Sunbury South &amp; Lancefield Road</w:t>
      </w:r>
    </w:p>
    <w:p w:rsidR="00937364" w:rsidRDefault="00937364" w:rsidP="00937364">
      <w:pPr>
        <w:jc w:val="right"/>
        <w:rPr>
          <w:color w:val="008BD2" w:themeColor="accent2"/>
          <w:sz w:val="40"/>
          <w:szCs w:val="40"/>
        </w:rPr>
      </w:pPr>
      <w:r>
        <w:rPr>
          <w:rFonts w:ascii="Trebuchet MS" w:hAnsi="Trebuchet MS"/>
          <w:noProof/>
          <w:color w:val="9CA0A3" w:themeColor="accent4"/>
          <w:sz w:val="28"/>
          <w:szCs w:val="28"/>
        </w:rPr>
        <w:drawing>
          <wp:inline distT="0" distB="0" distL="0" distR="0" wp14:anchorId="6874BCB5" wp14:editId="6178546D">
            <wp:extent cx="1629187"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937364" w:rsidRPr="00507B1A" w:rsidRDefault="00F3013C" w:rsidP="00937364">
      <w:pPr>
        <w:jc w:val="right"/>
        <w:rPr>
          <w:rFonts w:ascii="VIC SemiBold" w:hAnsi="VIC SemiBold"/>
          <w:color w:val="008BD2" w:themeColor="accent2"/>
          <w:sz w:val="32"/>
          <w:szCs w:val="32"/>
        </w:rPr>
      </w:pPr>
      <w:r>
        <w:rPr>
          <w:rFonts w:ascii="VIC SemiBold" w:hAnsi="VIC SemiBold"/>
          <w:color w:val="008BD2" w:themeColor="accent2"/>
          <w:sz w:val="32"/>
          <w:szCs w:val="32"/>
        </w:rPr>
        <w:t>Closing Submission to Panel</w:t>
      </w:r>
    </w:p>
    <w:p w:rsidR="00937364" w:rsidRPr="009A0103" w:rsidRDefault="00F3013C" w:rsidP="00937364">
      <w:pPr>
        <w:jc w:val="right"/>
        <w:rPr>
          <w:color w:val="9CA0A3" w:themeColor="accent4"/>
        </w:rPr>
      </w:pPr>
      <w:r>
        <w:rPr>
          <w:rFonts w:ascii="VIC" w:hAnsi="VIC"/>
          <w:color w:val="9CA0A3" w:themeColor="accent4"/>
          <w:sz w:val="28"/>
          <w:szCs w:val="28"/>
        </w:rPr>
        <w:t>19 October 2017</w:t>
      </w:r>
    </w:p>
    <w:p w:rsidR="00937364" w:rsidRDefault="00937364" w:rsidP="00937364"/>
    <w:p w:rsidR="00937364" w:rsidRDefault="00937364" w:rsidP="00937364">
      <w:pPr>
        <w:sectPr w:rsidR="00937364" w:rsidSect="00AA5F37">
          <w:pgSz w:w="11901" w:h="16846" w:code="9"/>
          <w:pgMar w:top="1701" w:right="1134" w:bottom="851" w:left="1985" w:header="283" w:footer="0" w:gutter="0"/>
          <w:cols w:space="720"/>
          <w:titlePg/>
          <w:docGrid w:linePitch="299"/>
        </w:sectPr>
      </w:pPr>
    </w:p>
    <w:p w:rsidR="00937364" w:rsidRPr="0072297C" w:rsidRDefault="00937364" w:rsidP="00937364">
      <w:pPr>
        <w:rPr>
          <w:vanish/>
          <w:color w:val="9CA0A3" w:themeColor="accent4"/>
        </w:rPr>
      </w:pPr>
      <w:r w:rsidRPr="0072297C">
        <w:rPr>
          <w:vanish/>
          <w:color w:val="9CA0A3" w:themeColor="accent4"/>
        </w:rPr>
        <w:lastRenderedPageBreak/>
        <w:t xml:space="preserve">Keep page blank </w:t>
      </w:r>
    </w:p>
    <w:p w:rsidR="00937364" w:rsidRDefault="00937364" w:rsidP="00937364"/>
    <w:p w:rsidR="00937364" w:rsidRDefault="00937364" w:rsidP="00937364"/>
    <w:p w:rsidR="00937364" w:rsidRDefault="00937364" w:rsidP="00937364">
      <w:pPr>
        <w:sectPr w:rsidR="00937364" w:rsidSect="00545D48">
          <w:pgSz w:w="11901" w:h="16846" w:code="9"/>
          <w:pgMar w:top="1701" w:right="1134" w:bottom="851" w:left="1985" w:header="283" w:footer="0" w:gutter="0"/>
          <w:cols w:space="720"/>
          <w:titlePg/>
          <w:docGrid w:linePitch="299"/>
        </w:sectPr>
      </w:pPr>
    </w:p>
    <w:p w:rsidR="00937364" w:rsidRPr="001A465C" w:rsidRDefault="00937364" w:rsidP="00937364">
      <w:pPr>
        <w:pStyle w:val="HeadingContents"/>
      </w:pPr>
      <w:r w:rsidRPr="001A465C">
        <w:lastRenderedPageBreak/>
        <w:t>CONTENTS</w:t>
      </w:r>
    </w:p>
    <w:p w:rsidR="000274DA" w:rsidRDefault="00937364">
      <w:pPr>
        <w:pStyle w:val="TOC1"/>
        <w:tabs>
          <w:tab w:val="left" w:pos="360"/>
          <w:tab w:val="right" w:leader="dot" w:pos="8488"/>
        </w:tabs>
        <w:rPr>
          <w:rFonts w:asciiTheme="minorHAnsi" w:eastAsiaTheme="minorEastAsia" w:hAnsiTheme="minorHAnsi" w:cstheme="minorBidi"/>
          <w:noProof/>
          <w:sz w:val="22"/>
          <w:szCs w:val="22"/>
        </w:rPr>
      </w:pPr>
      <w:r>
        <w:rPr>
          <w:rFonts w:ascii="Calibri" w:hAnsi="Calibri"/>
          <w:sz w:val="22"/>
          <w:lang w:val="en-US"/>
        </w:rPr>
        <w:fldChar w:fldCharType="begin"/>
      </w:r>
      <w:r>
        <w:rPr>
          <w:rFonts w:ascii="Calibri" w:hAnsi="Calibri"/>
          <w:sz w:val="22"/>
          <w:lang w:val="en-US"/>
        </w:rPr>
        <w:instrText xml:space="preserve"> TOC \o "1-2" \h \z </w:instrText>
      </w:r>
      <w:r>
        <w:rPr>
          <w:rFonts w:ascii="Calibri" w:hAnsi="Calibri"/>
          <w:sz w:val="22"/>
          <w:lang w:val="en-US"/>
        </w:rPr>
        <w:fldChar w:fldCharType="separate"/>
      </w:r>
      <w:hyperlink w:anchor="_Toc496183233" w:history="1">
        <w:r w:rsidR="000274DA" w:rsidRPr="007F5A7B">
          <w:rPr>
            <w:rStyle w:val="Hyperlink"/>
            <w:rFonts w:ascii="VIC SemiBold" w:hAnsi="VIC SemiBold"/>
            <w:noProof/>
          </w:rPr>
          <w:t>1</w:t>
        </w:r>
        <w:r w:rsidR="000274DA">
          <w:rPr>
            <w:rFonts w:asciiTheme="minorHAnsi" w:eastAsiaTheme="minorEastAsia" w:hAnsiTheme="minorHAnsi" w:cstheme="minorBidi"/>
            <w:noProof/>
            <w:sz w:val="22"/>
            <w:szCs w:val="22"/>
          </w:rPr>
          <w:tab/>
        </w:r>
        <w:r w:rsidR="000274DA" w:rsidRPr="007F5A7B">
          <w:rPr>
            <w:rStyle w:val="Hyperlink"/>
            <w:noProof/>
          </w:rPr>
          <w:t>Introduction</w:t>
        </w:r>
        <w:r w:rsidR="000274DA">
          <w:rPr>
            <w:noProof/>
            <w:webHidden/>
          </w:rPr>
          <w:tab/>
        </w:r>
        <w:r w:rsidR="000274DA">
          <w:rPr>
            <w:noProof/>
            <w:webHidden/>
          </w:rPr>
          <w:fldChar w:fldCharType="begin"/>
        </w:r>
        <w:r w:rsidR="000274DA">
          <w:rPr>
            <w:noProof/>
            <w:webHidden/>
          </w:rPr>
          <w:instrText xml:space="preserve"> PAGEREF _Toc496183233 \h </w:instrText>
        </w:r>
        <w:r w:rsidR="000274DA">
          <w:rPr>
            <w:noProof/>
            <w:webHidden/>
          </w:rPr>
        </w:r>
        <w:r w:rsidR="000274DA">
          <w:rPr>
            <w:noProof/>
            <w:webHidden/>
          </w:rPr>
          <w:fldChar w:fldCharType="separate"/>
        </w:r>
        <w:r w:rsidR="001F5377">
          <w:rPr>
            <w:noProof/>
            <w:webHidden/>
          </w:rPr>
          <w:t>1</w:t>
        </w:r>
        <w:r w:rsidR="000274DA">
          <w:rPr>
            <w:noProof/>
            <w:webHidden/>
          </w:rPr>
          <w:fldChar w:fldCharType="end"/>
        </w:r>
      </w:hyperlink>
    </w:p>
    <w:p w:rsidR="000274DA" w:rsidRDefault="00A10E6F">
      <w:pPr>
        <w:pStyle w:val="TOC1"/>
        <w:tabs>
          <w:tab w:val="left" w:pos="360"/>
          <w:tab w:val="right" w:leader="dot" w:pos="8488"/>
        </w:tabs>
        <w:rPr>
          <w:rFonts w:asciiTheme="minorHAnsi" w:eastAsiaTheme="minorEastAsia" w:hAnsiTheme="minorHAnsi" w:cstheme="minorBidi"/>
          <w:noProof/>
          <w:sz w:val="22"/>
          <w:szCs w:val="22"/>
        </w:rPr>
      </w:pPr>
      <w:hyperlink w:anchor="_Toc496183234" w:history="1">
        <w:r w:rsidR="000274DA" w:rsidRPr="007F5A7B">
          <w:rPr>
            <w:rStyle w:val="Hyperlink"/>
            <w:rFonts w:ascii="VIC SemiBold" w:hAnsi="VIC SemiBold"/>
            <w:noProof/>
          </w:rPr>
          <w:t>2</w:t>
        </w:r>
        <w:r w:rsidR="000274DA">
          <w:rPr>
            <w:rFonts w:asciiTheme="minorHAnsi" w:eastAsiaTheme="minorEastAsia" w:hAnsiTheme="minorHAnsi" w:cstheme="minorBidi"/>
            <w:noProof/>
            <w:sz w:val="22"/>
            <w:szCs w:val="22"/>
          </w:rPr>
          <w:tab/>
        </w:r>
        <w:r w:rsidR="000274DA" w:rsidRPr="007F5A7B">
          <w:rPr>
            <w:rStyle w:val="Hyperlink"/>
            <w:noProof/>
          </w:rPr>
          <w:t>Panel Queries Arising through the Hearing</w:t>
        </w:r>
        <w:r w:rsidR="000274DA">
          <w:rPr>
            <w:noProof/>
            <w:webHidden/>
          </w:rPr>
          <w:tab/>
        </w:r>
        <w:r w:rsidR="000274DA">
          <w:rPr>
            <w:noProof/>
            <w:webHidden/>
          </w:rPr>
          <w:fldChar w:fldCharType="begin"/>
        </w:r>
        <w:r w:rsidR="000274DA">
          <w:rPr>
            <w:noProof/>
            <w:webHidden/>
          </w:rPr>
          <w:instrText xml:space="preserve"> PAGEREF _Toc496183234 \h </w:instrText>
        </w:r>
        <w:r w:rsidR="000274DA">
          <w:rPr>
            <w:noProof/>
            <w:webHidden/>
          </w:rPr>
        </w:r>
        <w:r w:rsidR="000274DA">
          <w:rPr>
            <w:noProof/>
            <w:webHidden/>
          </w:rPr>
          <w:fldChar w:fldCharType="separate"/>
        </w:r>
        <w:r w:rsidR="001F5377">
          <w:rPr>
            <w:noProof/>
            <w:webHidden/>
          </w:rPr>
          <w:t>2</w:t>
        </w:r>
        <w:r w:rsidR="000274DA">
          <w:rPr>
            <w:noProof/>
            <w:webHidden/>
          </w:rPr>
          <w:fldChar w:fldCharType="end"/>
        </w:r>
      </w:hyperlink>
    </w:p>
    <w:p w:rsidR="000274DA" w:rsidRDefault="00A10E6F">
      <w:pPr>
        <w:pStyle w:val="TOC1"/>
        <w:tabs>
          <w:tab w:val="left" w:pos="360"/>
          <w:tab w:val="right" w:leader="dot" w:pos="8488"/>
        </w:tabs>
        <w:rPr>
          <w:rFonts w:asciiTheme="minorHAnsi" w:eastAsiaTheme="minorEastAsia" w:hAnsiTheme="minorHAnsi" w:cstheme="minorBidi"/>
          <w:noProof/>
          <w:sz w:val="22"/>
          <w:szCs w:val="22"/>
        </w:rPr>
      </w:pPr>
      <w:hyperlink w:anchor="_Toc496183235" w:history="1">
        <w:r w:rsidR="000274DA" w:rsidRPr="007F5A7B">
          <w:rPr>
            <w:rStyle w:val="Hyperlink"/>
            <w:rFonts w:ascii="VIC SemiBold" w:hAnsi="VIC SemiBold"/>
            <w:noProof/>
          </w:rPr>
          <w:t>3</w:t>
        </w:r>
        <w:r w:rsidR="000274DA">
          <w:rPr>
            <w:rFonts w:asciiTheme="minorHAnsi" w:eastAsiaTheme="minorEastAsia" w:hAnsiTheme="minorHAnsi" w:cstheme="minorBidi"/>
            <w:noProof/>
            <w:sz w:val="22"/>
            <w:szCs w:val="22"/>
          </w:rPr>
          <w:tab/>
        </w:r>
        <w:r w:rsidR="000274DA" w:rsidRPr="007F5A7B">
          <w:rPr>
            <w:rStyle w:val="Hyperlink"/>
            <w:noProof/>
          </w:rPr>
          <w:t>Key Issues</w:t>
        </w:r>
        <w:r w:rsidR="000274DA">
          <w:rPr>
            <w:noProof/>
            <w:webHidden/>
          </w:rPr>
          <w:tab/>
        </w:r>
        <w:r w:rsidR="000274DA">
          <w:rPr>
            <w:noProof/>
            <w:webHidden/>
          </w:rPr>
          <w:fldChar w:fldCharType="begin"/>
        </w:r>
        <w:r w:rsidR="000274DA">
          <w:rPr>
            <w:noProof/>
            <w:webHidden/>
          </w:rPr>
          <w:instrText xml:space="preserve"> PAGEREF _Toc496183235 \h </w:instrText>
        </w:r>
        <w:r w:rsidR="000274DA">
          <w:rPr>
            <w:noProof/>
            <w:webHidden/>
          </w:rPr>
        </w:r>
        <w:r w:rsidR="000274DA">
          <w:rPr>
            <w:noProof/>
            <w:webHidden/>
          </w:rPr>
          <w:fldChar w:fldCharType="separate"/>
        </w:r>
        <w:r w:rsidR="001F5377">
          <w:rPr>
            <w:noProof/>
            <w:webHidden/>
          </w:rPr>
          <w:t>3</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36" w:history="1">
        <w:r w:rsidR="000274DA" w:rsidRPr="007F5A7B">
          <w:rPr>
            <w:rStyle w:val="Hyperlink"/>
            <w:rFonts w:ascii="VIC SemiBold" w:hAnsi="VIC SemiBold"/>
            <w:noProof/>
          </w:rPr>
          <w:t>3.1</w:t>
        </w:r>
        <w:r w:rsidR="000274DA">
          <w:rPr>
            <w:rFonts w:asciiTheme="minorHAnsi" w:eastAsiaTheme="minorEastAsia" w:hAnsiTheme="minorHAnsi" w:cstheme="minorBidi"/>
            <w:noProof/>
            <w:sz w:val="22"/>
            <w:szCs w:val="22"/>
          </w:rPr>
          <w:tab/>
        </w:r>
        <w:r w:rsidR="000274DA" w:rsidRPr="007F5A7B">
          <w:rPr>
            <w:rStyle w:val="Hyperlink"/>
            <w:noProof/>
          </w:rPr>
          <w:t>Northern Jacksons Creek Crossing</w:t>
        </w:r>
        <w:r w:rsidR="000274DA">
          <w:rPr>
            <w:noProof/>
            <w:webHidden/>
          </w:rPr>
          <w:tab/>
        </w:r>
        <w:r w:rsidR="000274DA">
          <w:rPr>
            <w:noProof/>
            <w:webHidden/>
          </w:rPr>
          <w:fldChar w:fldCharType="begin"/>
        </w:r>
        <w:r w:rsidR="000274DA">
          <w:rPr>
            <w:noProof/>
            <w:webHidden/>
          </w:rPr>
          <w:instrText xml:space="preserve"> PAGEREF _Toc496183236 \h </w:instrText>
        </w:r>
        <w:r w:rsidR="000274DA">
          <w:rPr>
            <w:noProof/>
            <w:webHidden/>
          </w:rPr>
        </w:r>
        <w:r w:rsidR="000274DA">
          <w:rPr>
            <w:noProof/>
            <w:webHidden/>
          </w:rPr>
          <w:fldChar w:fldCharType="separate"/>
        </w:r>
        <w:r w:rsidR="001F5377">
          <w:rPr>
            <w:noProof/>
            <w:webHidden/>
          </w:rPr>
          <w:t>3</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37" w:history="1">
        <w:r w:rsidR="000274DA" w:rsidRPr="007F5A7B">
          <w:rPr>
            <w:rStyle w:val="Hyperlink"/>
            <w:rFonts w:ascii="VIC SemiBold" w:hAnsi="VIC SemiBold"/>
            <w:noProof/>
          </w:rPr>
          <w:t>3.2</w:t>
        </w:r>
        <w:r w:rsidR="000274DA">
          <w:rPr>
            <w:rFonts w:asciiTheme="minorHAnsi" w:eastAsiaTheme="minorEastAsia" w:hAnsiTheme="minorHAnsi" w:cstheme="minorBidi"/>
            <w:noProof/>
            <w:sz w:val="22"/>
            <w:szCs w:val="22"/>
          </w:rPr>
          <w:tab/>
        </w:r>
        <w:r w:rsidR="000274DA" w:rsidRPr="007F5A7B">
          <w:rPr>
            <w:rStyle w:val="Hyperlink"/>
            <w:noProof/>
          </w:rPr>
          <w:t>Southern Jacksons Creek Crossing</w:t>
        </w:r>
        <w:r w:rsidR="000274DA">
          <w:rPr>
            <w:noProof/>
            <w:webHidden/>
          </w:rPr>
          <w:tab/>
        </w:r>
        <w:r w:rsidR="000274DA">
          <w:rPr>
            <w:noProof/>
            <w:webHidden/>
          </w:rPr>
          <w:fldChar w:fldCharType="begin"/>
        </w:r>
        <w:r w:rsidR="000274DA">
          <w:rPr>
            <w:noProof/>
            <w:webHidden/>
          </w:rPr>
          <w:instrText xml:space="preserve"> PAGEREF _Toc496183237 \h </w:instrText>
        </w:r>
        <w:r w:rsidR="000274DA">
          <w:rPr>
            <w:noProof/>
            <w:webHidden/>
          </w:rPr>
        </w:r>
        <w:r w:rsidR="000274DA">
          <w:rPr>
            <w:noProof/>
            <w:webHidden/>
          </w:rPr>
          <w:fldChar w:fldCharType="separate"/>
        </w:r>
        <w:r w:rsidR="001F5377">
          <w:rPr>
            <w:noProof/>
            <w:webHidden/>
          </w:rPr>
          <w:t>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38" w:history="1">
        <w:r w:rsidR="000274DA" w:rsidRPr="007F5A7B">
          <w:rPr>
            <w:rStyle w:val="Hyperlink"/>
            <w:rFonts w:ascii="VIC SemiBold" w:hAnsi="VIC SemiBold"/>
            <w:noProof/>
          </w:rPr>
          <w:t>3.3</w:t>
        </w:r>
        <w:r w:rsidR="000274DA">
          <w:rPr>
            <w:rFonts w:asciiTheme="minorHAnsi" w:eastAsiaTheme="minorEastAsia" w:hAnsiTheme="minorHAnsi" w:cstheme="minorBidi"/>
            <w:noProof/>
            <w:sz w:val="22"/>
            <w:szCs w:val="22"/>
          </w:rPr>
          <w:tab/>
        </w:r>
        <w:r w:rsidR="000274DA" w:rsidRPr="007F5A7B">
          <w:rPr>
            <w:rStyle w:val="Hyperlink"/>
            <w:noProof/>
          </w:rPr>
          <w:t>Racecourse Road Controls</w:t>
        </w:r>
        <w:r w:rsidR="000274DA">
          <w:rPr>
            <w:noProof/>
            <w:webHidden/>
          </w:rPr>
          <w:tab/>
        </w:r>
        <w:r w:rsidR="000274DA">
          <w:rPr>
            <w:noProof/>
            <w:webHidden/>
          </w:rPr>
          <w:fldChar w:fldCharType="begin"/>
        </w:r>
        <w:r w:rsidR="000274DA">
          <w:rPr>
            <w:noProof/>
            <w:webHidden/>
          </w:rPr>
          <w:instrText xml:space="preserve"> PAGEREF _Toc496183238 \h </w:instrText>
        </w:r>
        <w:r w:rsidR="000274DA">
          <w:rPr>
            <w:noProof/>
            <w:webHidden/>
          </w:rPr>
        </w:r>
        <w:r w:rsidR="000274DA">
          <w:rPr>
            <w:noProof/>
            <w:webHidden/>
          </w:rPr>
          <w:fldChar w:fldCharType="separate"/>
        </w:r>
        <w:r w:rsidR="001F5377">
          <w:rPr>
            <w:noProof/>
            <w:webHidden/>
          </w:rPr>
          <w:t>6</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39" w:history="1">
        <w:r w:rsidR="000274DA" w:rsidRPr="007F5A7B">
          <w:rPr>
            <w:rStyle w:val="Hyperlink"/>
            <w:rFonts w:ascii="VIC SemiBold" w:hAnsi="VIC SemiBold"/>
            <w:noProof/>
          </w:rPr>
          <w:t>3.4</w:t>
        </w:r>
        <w:r w:rsidR="000274DA">
          <w:rPr>
            <w:rFonts w:asciiTheme="minorHAnsi" w:eastAsiaTheme="minorEastAsia" w:hAnsiTheme="minorHAnsi" w:cstheme="minorBidi"/>
            <w:noProof/>
            <w:sz w:val="22"/>
            <w:szCs w:val="22"/>
          </w:rPr>
          <w:tab/>
        </w:r>
        <w:r w:rsidR="000274DA" w:rsidRPr="007F5A7B">
          <w:rPr>
            <w:rStyle w:val="Hyperlink"/>
            <w:noProof/>
          </w:rPr>
          <w:t>Redstone Hill District Park</w:t>
        </w:r>
        <w:r w:rsidR="000274DA">
          <w:rPr>
            <w:noProof/>
            <w:webHidden/>
          </w:rPr>
          <w:tab/>
        </w:r>
        <w:r w:rsidR="000274DA">
          <w:rPr>
            <w:noProof/>
            <w:webHidden/>
          </w:rPr>
          <w:fldChar w:fldCharType="begin"/>
        </w:r>
        <w:r w:rsidR="000274DA">
          <w:rPr>
            <w:noProof/>
            <w:webHidden/>
          </w:rPr>
          <w:instrText xml:space="preserve"> PAGEREF _Toc496183239 \h </w:instrText>
        </w:r>
        <w:r w:rsidR="000274DA">
          <w:rPr>
            <w:noProof/>
            <w:webHidden/>
          </w:rPr>
        </w:r>
        <w:r w:rsidR="000274DA">
          <w:rPr>
            <w:noProof/>
            <w:webHidden/>
          </w:rPr>
          <w:fldChar w:fldCharType="separate"/>
        </w:r>
        <w:r w:rsidR="001F5377">
          <w:rPr>
            <w:noProof/>
            <w:webHidden/>
          </w:rPr>
          <w:t>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0" w:history="1">
        <w:r w:rsidR="000274DA" w:rsidRPr="007F5A7B">
          <w:rPr>
            <w:rStyle w:val="Hyperlink"/>
            <w:rFonts w:ascii="VIC SemiBold" w:hAnsi="VIC SemiBold"/>
            <w:noProof/>
          </w:rPr>
          <w:t>3.5</w:t>
        </w:r>
        <w:r w:rsidR="000274DA">
          <w:rPr>
            <w:rFonts w:asciiTheme="minorHAnsi" w:eastAsiaTheme="minorEastAsia" w:hAnsiTheme="minorHAnsi" w:cstheme="minorBidi"/>
            <w:noProof/>
            <w:sz w:val="22"/>
            <w:szCs w:val="22"/>
          </w:rPr>
          <w:tab/>
        </w:r>
        <w:r w:rsidR="000274DA" w:rsidRPr="007F5A7B">
          <w:rPr>
            <w:rStyle w:val="Hyperlink"/>
            <w:noProof/>
          </w:rPr>
          <w:t>Hi Quality site – Buffers</w:t>
        </w:r>
        <w:r w:rsidR="000274DA">
          <w:rPr>
            <w:noProof/>
            <w:webHidden/>
          </w:rPr>
          <w:tab/>
        </w:r>
        <w:r w:rsidR="000274DA">
          <w:rPr>
            <w:noProof/>
            <w:webHidden/>
          </w:rPr>
          <w:fldChar w:fldCharType="begin"/>
        </w:r>
        <w:r w:rsidR="000274DA">
          <w:rPr>
            <w:noProof/>
            <w:webHidden/>
          </w:rPr>
          <w:instrText xml:space="preserve"> PAGEREF _Toc496183240 \h </w:instrText>
        </w:r>
        <w:r w:rsidR="000274DA">
          <w:rPr>
            <w:noProof/>
            <w:webHidden/>
          </w:rPr>
        </w:r>
        <w:r w:rsidR="000274DA">
          <w:rPr>
            <w:noProof/>
            <w:webHidden/>
          </w:rPr>
          <w:fldChar w:fldCharType="separate"/>
        </w:r>
        <w:r w:rsidR="001F5377">
          <w:rPr>
            <w:noProof/>
            <w:webHidden/>
          </w:rPr>
          <w:t>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1" w:history="1">
        <w:r w:rsidR="000274DA" w:rsidRPr="007F5A7B">
          <w:rPr>
            <w:rStyle w:val="Hyperlink"/>
            <w:rFonts w:ascii="VIC SemiBold" w:hAnsi="VIC SemiBold"/>
            <w:noProof/>
          </w:rPr>
          <w:t>3.6</w:t>
        </w:r>
        <w:r w:rsidR="000274DA">
          <w:rPr>
            <w:rFonts w:asciiTheme="minorHAnsi" w:eastAsiaTheme="minorEastAsia" w:hAnsiTheme="minorHAnsi" w:cstheme="minorBidi"/>
            <w:noProof/>
            <w:sz w:val="22"/>
            <w:szCs w:val="22"/>
          </w:rPr>
          <w:tab/>
        </w:r>
        <w:r w:rsidR="000274DA" w:rsidRPr="007F5A7B">
          <w:rPr>
            <w:rStyle w:val="Hyperlink"/>
            <w:noProof/>
          </w:rPr>
          <w:t>Gas Pipeline Measurement Length</w:t>
        </w:r>
        <w:r w:rsidR="000274DA">
          <w:rPr>
            <w:noProof/>
            <w:webHidden/>
          </w:rPr>
          <w:tab/>
        </w:r>
        <w:r w:rsidR="000274DA">
          <w:rPr>
            <w:noProof/>
            <w:webHidden/>
          </w:rPr>
          <w:fldChar w:fldCharType="begin"/>
        </w:r>
        <w:r w:rsidR="000274DA">
          <w:rPr>
            <w:noProof/>
            <w:webHidden/>
          </w:rPr>
          <w:instrText xml:space="preserve"> PAGEREF _Toc496183241 \h </w:instrText>
        </w:r>
        <w:r w:rsidR="000274DA">
          <w:rPr>
            <w:noProof/>
            <w:webHidden/>
          </w:rPr>
        </w:r>
        <w:r w:rsidR="000274DA">
          <w:rPr>
            <w:noProof/>
            <w:webHidden/>
          </w:rPr>
          <w:fldChar w:fldCharType="separate"/>
        </w:r>
        <w:r w:rsidR="001F5377">
          <w:rPr>
            <w:noProof/>
            <w:webHidden/>
          </w:rPr>
          <w:t>9</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2" w:history="1">
        <w:r w:rsidR="000274DA" w:rsidRPr="007F5A7B">
          <w:rPr>
            <w:rStyle w:val="Hyperlink"/>
            <w:rFonts w:ascii="VIC SemiBold" w:hAnsi="VIC SemiBold"/>
            <w:noProof/>
          </w:rPr>
          <w:t>3.7</w:t>
        </w:r>
        <w:r w:rsidR="000274DA">
          <w:rPr>
            <w:rFonts w:asciiTheme="minorHAnsi" w:eastAsiaTheme="minorEastAsia" w:hAnsiTheme="minorHAnsi" w:cstheme="minorBidi"/>
            <w:noProof/>
            <w:sz w:val="22"/>
            <w:szCs w:val="22"/>
          </w:rPr>
          <w:tab/>
        </w:r>
        <w:r w:rsidR="000274DA" w:rsidRPr="007F5A7B">
          <w:rPr>
            <w:rStyle w:val="Hyperlink"/>
            <w:noProof/>
          </w:rPr>
          <w:t>Walkable Catchment/Residential Growth Zone</w:t>
        </w:r>
        <w:r w:rsidR="000274DA">
          <w:rPr>
            <w:noProof/>
            <w:webHidden/>
          </w:rPr>
          <w:tab/>
        </w:r>
        <w:r w:rsidR="000274DA">
          <w:rPr>
            <w:noProof/>
            <w:webHidden/>
          </w:rPr>
          <w:fldChar w:fldCharType="begin"/>
        </w:r>
        <w:r w:rsidR="000274DA">
          <w:rPr>
            <w:noProof/>
            <w:webHidden/>
          </w:rPr>
          <w:instrText xml:space="preserve"> PAGEREF _Toc496183242 \h </w:instrText>
        </w:r>
        <w:r w:rsidR="000274DA">
          <w:rPr>
            <w:noProof/>
            <w:webHidden/>
          </w:rPr>
        </w:r>
        <w:r w:rsidR="000274DA">
          <w:rPr>
            <w:noProof/>
            <w:webHidden/>
          </w:rPr>
          <w:fldChar w:fldCharType="separate"/>
        </w:r>
        <w:r w:rsidR="001F5377">
          <w:rPr>
            <w:noProof/>
            <w:webHidden/>
          </w:rPr>
          <w:t>10</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3" w:history="1">
        <w:r w:rsidR="000274DA" w:rsidRPr="007F5A7B">
          <w:rPr>
            <w:rStyle w:val="Hyperlink"/>
            <w:rFonts w:ascii="VIC SemiBold" w:hAnsi="VIC SemiBold"/>
            <w:noProof/>
          </w:rPr>
          <w:t>3.8</w:t>
        </w:r>
        <w:r w:rsidR="000274DA">
          <w:rPr>
            <w:rFonts w:asciiTheme="minorHAnsi" w:eastAsiaTheme="minorEastAsia" w:hAnsiTheme="minorHAnsi" w:cstheme="minorBidi"/>
            <w:noProof/>
            <w:sz w:val="22"/>
            <w:szCs w:val="22"/>
          </w:rPr>
          <w:tab/>
        </w:r>
        <w:r w:rsidR="000274DA" w:rsidRPr="007F5A7B">
          <w:rPr>
            <w:rStyle w:val="Hyperlink"/>
            <w:noProof/>
          </w:rPr>
          <w:t>Employment Land Requirements</w:t>
        </w:r>
        <w:r w:rsidR="000274DA">
          <w:rPr>
            <w:noProof/>
            <w:webHidden/>
          </w:rPr>
          <w:tab/>
        </w:r>
        <w:r w:rsidR="000274DA">
          <w:rPr>
            <w:noProof/>
            <w:webHidden/>
          </w:rPr>
          <w:fldChar w:fldCharType="begin"/>
        </w:r>
        <w:r w:rsidR="000274DA">
          <w:rPr>
            <w:noProof/>
            <w:webHidden/>
          </w:rPr>
          <w:instrText xml:space="preserve"> PAGEREF _Toc496183243 \h </w:instrText>
        </w:r>
        <w:r w:rsidR="000274DA">
          <w:rPr>
            <w:noProof/>
            <w:webHidden/>
          </w:rPr>
        </w:r>
        <w:r w:rsidR="000274DA">
          <w:rPr>
            <w:noProof/>
            <w:webHidden/>
          </w:rPr>
          <w:fldChar w:fldCharType="separate"/>
        </w:r>
        <w:r w:rsidR="001F5377">
          <w:rPr>
            <w:noProof/>
            <w:webHidden/>
          </w:rPr>
          <w:t>12</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4" w:history="1">
        <w:r w:rsidR="000274DA" w:rsidRPr="007F5A7B">
          <w:rPr>
            <w:rStyle w:val="Hyperlink"/>
            <w:rFonts w:ascii="VIC SemiBold" w:hAnsi="VIC SemiBold"/>
            <w:noProof/>
          </w:rPr>
          <w:t>3.9</w:t>
        </w:r>
        <w:r w:rsidR="000274DA">
          <w:rPr>
            <w:rFonts w:asciiTheme="minorHAnsi" w:eastAsiaTheme="minorEastAsia" w:hAnsiTheme="minorHAnsi" w:cstheme="minorBidi"/>
            <w:noProof/>
            <w:sz w:val="22"/>
            <w:szCs w:val="22"/>
          </w:rPr>
          <w:tab/>
        </w:r>
        <w:r w:rsidR="000274DA" w:rsidRPr="007F5A7B">
          <w:rPr>
            <w:rStyle w:val="Hyperlink"/>
            <w:noProof/>
          </w:rPr>
          <w:t>Sunbury South Secondary Schools</w:t>
        </w:r>
        <w:r w:rsidR="000274DA">
          <w:rPr>
            <w:noProof/>
            <w:webHidden/>
          </w:rPr>
          <w:tab/>
        </w:r>
        <w:r w:rsidR="000274DA">
          <w:rPr>
            <w:noProof/>
            <w:webHidden/>
          </w:rPr>
          <w:fldChar w:fldCharType="begin"/>
        </w:r>
        <w:r w:rsidR="000274DA">
          <w:rPr>
            <w:noProof/>
            <w:webHidden/>
          </w:rPr>
          <w:instrText xml:space="preserve"> PAGEREF _Toc496183244 \h </w:instrText>
        </w:r>
        <w:r w:rsidR="000274DA">
          <w:rPr>
            <w:noProof/>
            <w:webHidden/>
          </w:rPr>
        </w:r>
        <w:r w:rsidR="000274DA">
          <w:rPr>
            <w:noProof/>
            <w:webHidden/>
          </w:rPr>
          <w:fldChar w:fldCharType="separate"/>
        </w:r>
        <w:r w:rsidR="001F5377">
          <w:rPr>
            <w:noProof/>
            <w:webHidden/>
          </w:rPr>
          <w:t>14</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5" w:history="1">
        <w:r w:rsidR="000274DA" w:rsidRPr="007F5A7B">
          <w:rPr>
            <w:rStyle w:val="Hyperlink"/>
            <w:rFonts w:ascii="VIC SemiBold" w:hAnsi="VIC SemiBold"/>
            <w:noProof/>
          </w:rPr>
          <w:t>3.10</w:t>
        </w:r>
        <w:r w:rsidR="000274DA">
          <w:rPr>
            <w:rFonts w:asciiTheme="minorHAnsi" w:eastAsiaTheme="minorEastAsia" w:hAnsiTheme="minorHAnsi" w:cstheme="minorBidi"/>
            <w:noProof/>
            <w:sz w:val="22"/>
            <w:szCs w:val="22"/>
          </w:rPr>
          <w:tab/>
        </w:r>
        <w:r w:rsidR="000274DA" w:rsidRPr="007F5A7B">
          <w:rPr>
            <w:rStyle w:val="Hyperlink"/>
            <w:noProof/>
          </w:rPr>
          <w:t>Drainage</w:t>
        </w:r>
        <w:r w:rsidR="000274DA">
          <w:rPr>
            <w:noProof/>
            <w:webHidden/>
          </w:rPr>
          <w:tab/>
        </w:r>
        <w:r w:rsidR="000274DA">
          <w:rPr>
            <w:noProof/>
            <w:webHidden/>
          </w:rPr>
          <w:fldChar w:fldCharType="begin"/>
        </w:r>
        <w:r w:rsidR="000274DA">
          <w:rPr>
            <w:noProof/>
            <w:webHidden/>
          </w:rPr>
          <w:instrText xml:space="preserve"> PAGEREF _Toc496183245 \h </w:instrText>
        </w:r>
        <w:r w:rsidR="000274DA">
          <w:rPr>
            <w:noProof/>
            <w:webHidden/>
          </w:rPr>
        </w:r>
        <w:r w:rsidR="000274DA">
          <w:rPr>
            <w:noProof/>
            <w:webHidden/>
          </w:rPr>
          <w:fldChar w:fldCharType="separate"/>
        </w:r>
        <w:r w:rsidR="001F5377">
          <w:rPr>
            <w:noProof/>
            <w:webHidden/>
          </w:rPr>
          <w:t>15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6" w:history="1">
        <w:r w:rsidR="000274DA" w:rsidRPr="007F5A7B">
          <w:rPr>
            <w:rStyle w:val="Hyperlink"/>
            <w:rFonts w:ascii="VIC SemiBold" w:hAnsi="VIC SemiBold"/>
            <w:noProof/>
          </w:rPr>
          <w:t>3.11</w:t>
        </w:r>
        <w:r w:rsidR="000274DA">
          <w:rPr>
            <w:rFonts w:asciiTheme="minorHAnsi" w:eastAsiaTheme="minorEastAsia" w:hAnsiTheme="minorHAnsi" w:cstheme="minorBidi"/>
            <w:noProof/>
            <w:sz w:val="22"/>
            <w:szCs w:val="22"/>
          </w:rPr>
          <w:tab/>
        </w:r>
        <w:r w:rsidR="000274DA" w:rsidRPr="007F5A7B">
          <w:rPr>
            <w:rStyle w:val="Hyperlink"/>
            <w:noProof/>
          </w:rPr>
          <w:t>Break of Slope</w:t>
        </w:r>
        <w:r w:rsidR="000274DA">
          <w:rPr>
            <w:noProof/>
            <w:webHidden/>
          </w:rPr>
          <w:tab/>
        </w:r>
        <w:r w:rsidR="000274DA">
          <w:rPr>
            <w:noProof/>
            <w:webHidden/>
          </w:rPr>
          <w:fldChar w:fldCharType="begin"/>
        </w:r>
        <w:r w:rsidR="000274DA">
          <w:rPr>
            <w:noProof/>
            <w:webHidden/>
          </w:rPr>
          <w:instrText xml:space="preserve"> PAGEREF _Toc496183246 \h </w:instrText>
        </w:r>
        <w:r w:rsidR="000274DA">
          <w:rPr>
            <w:noProof/>
            <w:webHidden/>
          </w:rPr>
        </w:r>
        <w:r w:rsidR="000274DA">
          <w:rPr>
            <w:noProof/>
            <w:webHidden/>
          </w:rPr>
          <w:fldChar w:fldCharType="separate"/>
        </w:r>
        <w:r w:rsidR="001F5377">
          <w:rPr>
            <w:noProof/>
            <w:webHidden/>
          </w:rPr>
          <w:t>16</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7" w:history="1">
        <w:r w:rsidR="000274DA" w:rsidRPr="007F5A7B">
          <w:rPr>
            <w:rStyle w:val="Hyperlink"/>
            <w:rFonts w:ascii="VIC SemiBold" w:hAnsi="VIC SemiBold"/>
            <w:noProof/>
          </w:rPr>
          <w:t>3.12</w:t>
        </w:r>
        <w:r w:rsidR="000274DA">
          <w:rPr>
            <w:rFonts w:asciiTheme="minorHAnsi" w:eastAsiaTheme="minorEastAsia" w:hAnsiTheme="minorHAnsi" w:cstheme="minorBidi"/>
            <w:noProof/>
            <w:sz w:val="22"/>
            <w:szCs w:val="22"/>
          </w:rPr>
          <w:tab/>
        </w:r>
        <w:r w:rsidR="000274DA" w:rsidRPr="007F5A7B">
          <w:rPr>
            <w:rStyle w:val="Hyperlink"/>
            <w:noProof/>
          </w:rPr>
          <w:t>Designation of non-government schools in Precinct Structure Plans</w:t>
        </w:r>
        <w:r w:rsidR="000274DA">
          <w:rPr>
            <w:noProof/>
            <w:webHidden/>
          </w:rPr>
          <w:tab/>
        </w:r>
        <w:r w:rsidR="000274DA">
          <w:rPr>
            <w:noProof/>
            <w:webHidden/>
          </w:rPr>
          <w:fldChar w:fldCharType="begin"/>
        </w:r>
        <w:r w:rsidR="000274DA">
          <w:rPr>
            <w:noProof/>
            <w:webHidden/>
          </w:rPr>
          <w:instrText xml:space="preserve"> PAGEREF _Toc496183247 \h </w:instrText>
        </w:r>
        <w:r w:rsidR="000274DA">
          <w:rPr>
            <w:noProof/>
            <w:webHidden/>
          </w:rPr>
        </w:r>
        <w:r w:rsidR="000274DA">
          <w:rPr>
            <w:noProof/>
            <w:webHidden/>
          </w:rPr>
          <w:fldChar w:fldCharType="separate"/>
        </w:r>
        <w:r w:rsidR="001F5377">
          <w:rPr>
            <w:noProof/>
            <w:webHidden/>
          </w:rPr>
          <w:t>17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48" w:history="1">
        <w:r w:rsidR="000274DA" w:rsidRPr="007F5A7B">
          <w:rPr>
            <w:rStyle w:val="Hyperlink"/>
            <w:rFonts w:ascii="VIC SemiBold" w:hAnsi="VIC SemiBold"/>
            <w:noProof/>
          </w:rPr>
          <w:t>3.13</w:t>
        </w:r>
        <w:r w:rsidR="000274DA">
          <w:rPr>
            <w:rFonts w:asciiTheme="minorHAnsi" w:eastAsiaTheme="minorEastAsia" w:hAnsiTheme="minorHAnsi" w:cstheme="minorBidi"/>
            <w:noProof/>
            <w:sz w:val="22"/>
            <w:szCs w:val="22"/>
          </w:rPr>
          <w:tab/>
        </w:r>
        <w:r w:rsidR="000274DA" w:rsidRPr="007F5A7B">
          <w:rPr>
            <w:rStyle w:val="Hyperlink"/>
            <w:noProof/>
          </w:rPr>
          <w:t>Local Convenience Centres</w:t>
        </w:r>
        <w:r w:rsidR="000274DA">
          <w:rPr>
            <w:noProof/>
            <w:webHidden/>
          </w:rPr>
          <w:tab/>
        </w:r>
        <w:r w:rsidR="000274DA">
          <w:rPr>
            <w:noProof/>
            <w:webHidden/>
          </w:rPr>
          <w:fldChar w:fldCharType="begin"/>
        </w:r>
        <w:r w:rsidR="000274DA">
          <w:rPr>
            <w:noProof/>
            <w:webHidden/>
          </w:rPr>
          <w:instrText xml:space="preserve"> PAGEREF _Toc496183248 \h </w:instrText>
        </w:r>
        <w:r w:rsidR="000274DA">
          <w:rPr>
            <w:noProof/>
            <w:webHidden/>
          </w:rPr>
        </w:r>
        <w:r w:rsidR="000274DA">
          <w:rPr>
            <w:noProof/>
            <w:webHidden/>
          </w:rPr>
          <w:fldChar w:fldCharType="separate"/>
        </w:r>
        <w:r w:rsidR="001F5377">
          <w:rPr>
            <w:noProof/>
            <w:webHidden/>
          </w:rPr>
          <w:t>19</w:t>
        </w:r>
        <w:r w:rsidR="000274DA">
          <w:rPr>
            <w:noProof/>
            <w:webHidden/>
          </w:rPr>
          <w:fldChar w:fldCharType="end"/>
        </w:r>
      </w:hyperlink>
    </w:p>
    <w:p w:rsidR="000274DA" w:rsidRDefault="00A10E6F">
      <w:pPr>
        <w:pStyle w:val="TOC1"/>
        <w:tabs>
          <w:tab w:val="left" w:pos="360"/>
          <w:tab w:val="right" w:leader="dot" w:pos="8488"/>
        </w:tabs>
        <w:rPr>
          <w:rFonts w:asciiTheme="minorHAnsi" w:eastAsiaTheme="minorEastAsia" w:hAnsiTheme="minorHAnsi" w:cstheme="minorBidi"/>
          <w:noProof/>
          <w:sz w:val="22"/>
          <w:szCs w:val="22"/>
        </w:rPr>
      </w:pPr>
      <w:hyperlink w:anchor="_Toc496183249" w:history="1">
        <w:r w:rsidR="000274DA" w:rsidRPr="007F5A7B">
          <w:rPr>
            <w:rStyle w:val="Hyperlink"/>
            <w:rFonts w:ascii="VIC SemiBold" w:hAnsi="VIC SemiBold"/>
            <w:noProof/>
          </w:rPr>
          <w:t>4</w:t>
        </w:r>
        <w:r w:rsidR="000274DA">
          <w:rPr>
            <w:rFonts w:asciiTheme="minorHAnsi" w:eastAsiaTheme="minorEastAsia" w:hAnsiTheme="minorHAnsi" w:cstheme="minorBidi"/>
            <w:noProof/>
            <w:sz w:val="22"/>
            <w:szCs w:val="22"/>
          </w:rPr>
          <w:tab/>
        </w:r>
        <w:r w:rsidR="000274DA" w:rsidRPr="007F5A7B">
          <w:rPr>
            <w:rStyle w:val="Hyperlink"/>
            <w:noProof/>
          </w:rPr>
          <w:t>Individual Submitters</w:t>
        </w:r>
        <w:r w:rsidR="000274DA">
          <w:rPr>
            <w:noProof/>
            <w:webHidden/>
          </w:rPr>
          <w:tab/>
        </w:r>
        <w:r w:rsidR="000274DA">
          <w:rPr>
            <w:noProof/>
            <w:webHidden/>
          </w:rPr>
          <w:fldChar w:fldCharType="begin"/>
        </w:r>
        <w:r w:rsidR="000274DA">
          <w:rPr>
            <w:noProof/>
            <w:webHidden/>
          </w:rPr>
          <w:instrText xml:space="preserve"> PAGEREF _Toc496183249 \h </w:instrText>
        </w:r>
        <w:r w:rsidR="000274DA">
          <w:rPr>
            <w:noProof/>
            <w:webHidden/>
          </w:rPr>
        </w:r>
        <w:r w:rsidR="000274DA">
          <w:rPr>
            <w:noProof/>
            <w:webHidden/>
          </w:rPr>
          <w:fldChar w:fldCharType="separate"/>
        </w:r>
        <w:r w:rsidR="001F5377">
          <w:rPr>
            <w:noProof/>
            <w:webHidden/>
          </w:rPr>
          <w:t>21</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0" w:history="1">
        <w:r w:rsidR="000274DA" w:rsidRPr="007F5A7B">
          <w:rPr>
            <w:rStyle w:val="Hyperlink"/>
            <w:rFonts w:ascii="VIC SemiBold" w:hAnsi="VIC SemiBold"/>
            <w:noProof/>
          </w:rPr>
          <w:t>4.1</w:t>
        </w:r>
        <w:r w:rsidR="000274DA">
          <w:rPr>
            <w:rFonts w:asciiTheme="minorHAnsi" w:eastAsiaTheme="minorEastAsia" w:hAnsiTheme="minorHAnsi" w:cstheme="minorBidi"/>
            <w:noProof/>
            <w:sz w:val="22"/>
            <w:szCs w:val="22"/>
          </w:rPr>
          <w:tab/>
        </w:r>
        <w:r w:rsidR="000274DA" w:rsidRPr="007F5A7B">
          <w:rPr>
            <w:rStyle w:val="Hyperlink"/>
            <w:noProof/>
          </w:rPr>
          <w:t>Hume City Council – Submissions 57 (C207) and 54 (C208) -see Appendix 2</w:t>
        </w:r>
        <w:r w:rsidR="000274DA">
          <w:rPr>
            <w:noProof/>
            <w:webHidden/>
          </w:rPr>
          <w:tab/>
        </w:r>
        <w:r w:rsidR="000274DA">
          <w:rPr>
            <w:noProof/>
            <w:webHidden/>
          </w:rPr>
          <w:fldChar w:fldCharType="begin"/>
        </w:r>
        <w:r w:rsidR="000274DA">
          <w:rPr>
            <w:noProof/>
            <w:webHidden/>
          </w:rPr>
          <w:instrText xml:space="preserve"> PAGEREF _Toc496183250 \h </w:instrText>
        </w:r>
        <w:r w:rsidR="000274DA">
          <w:rPr>
            <w:noProof/>
            <w:webHidden/>
          </w:rPr>
        </w:r>
        <w:r w:rsidR="000274DA">
          <w:rPr>
            <w:noProof/>
            <w:webHidden/>
          </w:rPr>
          <w:fldChar w:fldCharType="separate"/>
        </w:r>
        <w:r w:rsidR="001F5377">
          <w:rPr>
            <w:noProof/>
            <w:webHidden/>
          </w:rPr>
          <w:t>21</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1" w:history="1">
        <w:r w:rsidR="000274DA" w:rsidRPr="007F5A7B">
          <w:rPr>
            <w:rStyle w:val="Hyperlink"/>
            <w:rFonts w:ascii="VIC SemiBold" w:hAnsi="VIC SemiBold"/>
            <w:noProof/>
          </w:rPr>
          <w:t>4.2</w:t>
        </w:r>
        <w:r w:rsidR="000274DA">
          <w:rPr>
            <w:rFonts w:asciiTheme="minorHAnsi" w:eastAsiaTheme="minorEastAsia" w:hAnsiTheme="minorHAnsi" w:cstheme="minorBidi"/>
            <w:noProof/>
            <w:sz w:val="22"/>
            <w:szCs w:val="22"/>
          </w:rPr>
          <w:tab/>
        </w:r>
        <w:r w:rsidR="000274DA" w:rsidRPr="007F5A7B">
          <w:rPr>
            <w:rStyle w:val="Hyperlink"/>
            <w:noProof/>
          </w:rPr>
          <w:t>Melbourne Airport – Submission 6 (C207)</w:t>
        </w:r>
        <w:r w:rsidR="000274DA">
          <w:rPr>
            <w:noProof/>
            <w:webHidden/>
          </w:rPr>
          <w:tab/>
        </w:r>
        <w:r w:rsidR="000274DA">
          <w:rPr>
            <w:noProof/>
            <w:webHidden/>
          </w:rPr>
          <w:fldChar w:fldCharType="begin"/>
        </w:r>
        <w:r w:rsidR="000274DA">
          <w:rPr>
            <w:noProof/>
            <w:webHidden/>
          </w:rPr>
          <w:instrText xml:space="preserve"> PAGEREF _Toc496183251 \h </w:instrText>
        </w:r>
        <w:r w:rsidR="000274DA">
          <w:rPr>
            <w:noProof/>
            <w:webHidden/>
          </w:rPr>
        </w:r>
        <w:r w:rsidR="000274DA">
          <w:rPr>
            <w:noProof/>
            <w:webHidden/>
          </w:rPr>
          <w:fldChar w:fldCharType="separate"/>
        </w:r>
        <w:r w:rsidR="001F5377">
          <w:rPr>
            <w:noProof/>
            <w:webHidden/>
          </w:rPr>
          <w:t>21</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2" w:history="1">
        <w:r w:rsidR="000274DA" w:rsidRPr="007F5A7B">
          <w:rPr>
            <w:rStyle w:val="Hyperlink"/>
            <w:rFonts w:ascii="VIC SemiBold" w:hAnsi="VIC SemiBold"/>
            <w:noProof/>
          </w:rPr>
          <w:t>4.3</w:t>
        </w:r>
        <w:r w:rsidR="000274DA">
          <w:rPr>
            <w:rFonts w:asciiTheme="minorHAnsi" w:eastAsiaTheme="minorEastAsia" w:hAnsiTheme="minorHAnsi" w:cstheme="minorBidi"/>
            <w:noProof/>
            <w:sz w:val="22"/>
            <w:szCs w:val="22"/>
          </w:rPr>
          <w:tab/>
        </w:r>
        <w:r w:rsidR="000274DA" w:rsidRPr="007F5A7B">
          <w:rPr>
            <w:rStyle w:val="Hyperlink"/>
            <w:noProof/>
          </w:rPr>
          <w:t>RCL Group – Submission 45 (C207)</w:t>
        </w:r>
        <w:r w:rsidR="000274DA">
          <w:rPr>
            <w:noProof/>
            <w:webHidden/>
          </w:rPr>
          <w:tab/>
        </w:r>
        <w:r w:rsidR="000274DA">
          <w:rPr>
            <w:noProof/>
            <w:webHidden/>
          </w:rPr>
          <w:fldChar w:fldCharType="begin"/>
        </w:r>
        <w:r w:rsidR="000274DA">
          <w:rPr>
            <w:noProof/>
            <w:webHidden/>
          </w:rPr>
          <w:instrText xml:space="preserve"> PAGEREF _Toc496183252 \h </w:instrText>
        </w:r>
        <w:r w:rsidR="000274DA">
          <w:rPr>
            <w:noProof/>
            <w:webHidden/>
          </w:rPr>
        </w:r>
        <w:r w:rsidR="000274DA">
          <w:rPr>
            <w:noProof/>
            <w:webHidden/>
          </w:rPr>
          <w:fldChar w:fldCharType="separate"/>
        </w:r>
        <w:r w:rsidR="001F5377">
          <w:rPr>
            <w:noProof/>
            <w:webHidden/>
          </w:rPr>
          <w:t>22</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3" w:history="1">
        <w:r w:rsidR="000274DA" w:rsidRPr="007F5A7B">
          <w:rPr>
            <w:rStyle w:val="Hyperlink"/>
            <w:rFonts w:ascii="VIC SemiBold" w:hAnsi="VIC SemiBold"/>
            <w:noProof/>
          </w:rPr>
          <w:t>4.4</w:t>
        </w:r>
        <w:r w:rsidR="000274DA">
          <w:rPr>
            <w:rFonts w:asciiTheme="minorHAnsi" w:eastAsiaTheme="minorEastAsia" w:hAnsiTheme="minorHAnsi" w:cstheme="minorBidi"/>
            <w:noProof/>
            <w:sz w:val="22"/>
            <w:szCs w:val="22"/>
          </w:rPr>
          <w:tab/>
        </w:r>
        <w:r w:rsidR="000274DA" w:rsidRPr="007F5A7B">
          <w:rPr>
            <w:rStyle w:val="Hyperlink"/>
            <w:noProof/>
          </w:rPr>
          <w:t>Sustainability Victoria – Submissions 33 (C207) and 35 (C209)</w:t>
        </w:r>
        <w:r w:rsidR="000274DA">
          <w:rPr>
            <w:noProof/>
            <w:webHidden/>
          </w:rPr>
          <w:tab/>
        </w:r>
        <w:r w:rsidR="000274DA">
          <w:rPr>
            <w:noProof/>
            <w:webHidden/>
          </w:rPr>
          <w:fldChar w:fldCharType="begin"/>
        </w:r>
        <w:r w:rsidR="000274DA">
          <w:rPr>
            <w:noProof/>
            <w:webHidden/>
          </w:rPr>
          <w:instrText xml:space="preserve"> PAGEREF _Toc496183253 \h </w:instrText>
        </w:r>
        <w:r w:rsidR="000274DA">
          <w:rPr>
            <w:noProof/>
            <w:webHidden/>
          </w:rPr>
        </w:r>
        <w:r w:rsidR="000274DA">
          <w:rPr>
            <w:noProof/>
            <w:webHidden/>
          </w:rPr>
          <w:fldChar w:fldCharType="separate"/>
        </w:r>
        <w:r w:rsidR="001F5377">
          <w:rPr>
            <w:noProof/>
            <w:webHidden/>
          </w:rPr>
          <w:t>23</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4" w:history="1">
        <w:r w:rsidR="000274DA" w:rsidRPr="007F5A7B">
          <w:rPr>
            <w:rStyle w:val="Hyperlink"/>
            <w:rFonts w:ascii="VIC SemiBold" w:hAnsi="VIC SemiBold"/>
            <w:noProof/>
          </w:rPr>
          <w:t>4.5</w:t>
        </w:r>
        <w:r w:rsidR="000274DA">
          <w:rPr>
            <w:rFonts w:asciiTheme="minorHAnsi" w:eastAsiaTheme="minorEastAsia" w:hAnsiTheme="minorHAnsi" w:cstheme="minorBidi"/>
            <w:noProof/>
            <w:sz w:val="22"/>
            <w:szCs w:val="22"/>
          </w:rPr>
          <w:tab/>
        </w:r>
        <w:r w:rsidR="000274DA" w:rsidRPr="007F5A7B">
          <w:rPr>
            <w:rStyle w:val="Hyperlink"/>
            <w:noProof/>
          </w:rPr>
          <w:t>Metropolitan Waste and Resource Recovery Group – Submission 69 (C207)</w:t>
        </w:r>
        <w:r w:rsidR="000274DA">
          <w:rPr>
            <w:noProof/>
            <w:webHidden/>
          </w:rPr>
          <w:tab/>
        </w:r>
        <w:r w:rsidR="000274DA">
          <w:rPr>
            <w:noProof/>
            <w:webHidden/>
          </w:rPr>
          <w:fldChar w:fldCharType="begin"/>
        </w:r>
        <w:r w:rsidR="000274DA">
          <w:rPr>
            <w:noProof/>
            <w:webHidden/>
          </w:rPr>
          <w:instrText xml:space="preserve"> PAGEREF _Toc496183254 \h </w:instrText>
        </w:r>
        <w:r w:rsidR="000274DA">
          <w:rPr>
            <w:noProof/>
            <w:webHidden/>
          </w:rPr>
        </w:r>
        <w:r w:rsidR="000274DA">
          <w:rPr>
            <w:noProof/>
            <w:webHidden/>
          </w:rPr>
          <w:fldChar w:fldCharType="separate"/>
        </w:r>
        <w:r w:rsidR="001F5377">
          <w:rPr>
            <w:noProof/>
            <w:webHidden/>
          </w:rPr>
          <w:t>23</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5" w:history="1">
        <w:r w:rsidR="000274DA" w:rsidRPr="007F5A7B">
          <w:rPr>
            <w:rStyle w:val="Hyperlink"/>
            <w:rFonts w:ascii="VIC SemiBold" w:hAnsi="VIC SemiBold"/>
            <w:noProof/>
          </w:rPr>
          <w:t>4.6</w:t>
        </w:r>
        <w:r w:rsidR="000274DA">
          <w:rPr>
            <w:rFonts w:asciiTheme="minorHAnsi" w:eastAsiaTheme="minorEastAsia" w:hAnsiTheme="minorHAnsi" w:cstheme="minorBidi"/>
            <w:noProof/>
            <w:sz w:val="22"/>
            <w:szCs w:val="22"/>
          </w:rPr>
          <w:tab/>
        </w:r>
        <w:r w:rsidR="000274DA" w:rsidRPr="007F5A7B">
          <w:rPr>
            <w:rStyle w:val="Hyperlink"/>
            <w:noProof/>
          </w:rPr>
          <w:t>Environment Protection Authority – Submissions 82 (C207) and 83 (C208)</w:t>
        </w:r>
        <w:r w:rsidR="000274DA">
          <w:rPr>
            <w:noProof/>
            <w:webHidden/>
          </w:rPr>
          <w:tab/>
        </w:r>
        <w:r w:rsidR="000274DA">
          <w:rPr>
            <w:noProof/>
            <w:webHidden/>
          </w:rPr>
          <w:fldChar w:fldCharType="begin"/>
        </w:r>
        <w:r w:rsidR="000274DA">
          <w:rPr>
            <w:noProof/>
            <w:webHidden/>
          </w:rPr>
          <w:instrText xml:space="preserve"> PAGEREF _Toc496183255 \h </w:instrText>
        </w:r>
        <w:r w:rsidR="000274DA">
          <w:rPr>
            <w:noProof/>
            <w:webHidden/>
          </w:rPr>
        </w:r>
        <w:r w:rsidR="000274DA">
          <w:rPr>
            <w:noProof/>
            <w:webHidden/>
          </w:rPr>
          <w:fldChar w:fldCharType="separate"/>
        </w:r>
        <w:r w:rsidR="001F5377">
          <w:rPr>
            <w:noProof/>
            <w:webHidden/>
          </w:rPr>
          <w:t>24</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6" w:history="1">
        <w:r w:rsidR="000274DA" w:rsidRPr="007F5A7B">
          <w:rPr>
            <w:rStyle w:val="Hyperlink"/>
            <w:rFonts w:ascii="VIC SemiBold" w:hAnsi="VIC SemiBold"/>
            <w:noProof/>
          </w:rPr>
          <w:t>4.7</w:t>
        </w:r>
        <w:r w:rsidR="000274DA">
          <w:rPr>
            <w:rFonts w:asciiTheme="minorHAnsi" w:eastAsiaTheme="minorEastAsia" w:hAnsiTheme="minorHAnsi" w:cstheme="minorBidi"/>
            <w:noProof/>
            <w:sz w:val="22"/>
            <w:szCs w:val="22"/>
          </w:rPr>
          <w:tab/>
        </w:r>
        <w:r w:rsidR="000274DA" w:rsidRPr="007F5A7B">
          <w:rPr>
            <w:rStyle w:val="Hyperlink"/>
            <w:noProof/>
          </w:rPr>
          <w:t>Veolia Environmental Services Pty Ltd – Submission 95 (C207)</w:t>
        </w:r>
        <w:r w:rsidR="000274DA">
          <w:rPr>
            <w:noProof/>
            <w:webHidden/>
          </w:rPr>
          <w:tab/>
        </w:r>
        <w:r w:rsidR="000274DA">
          <w:rPr>
            <w:noProof/>
            <w:webHidden/>
          </w:rPr>
          <w:fldChar w:fldCharType="begin"/>
        </w:r>
        <w:r w:rsidR="000274DA">
          <w:rPr>
            <w:noProof/>
            <w:webHidden/>
          </w:rPr>
          <w:instrText xml:space="preserve"> PAGEREF _Toc496183256 \h </w:instrText>
        </w:r>
        <w:r w:rsidR="000274DA">
          <w:rPr>
            <w:noProof/>
            <w:webHidden/>
          </w:rPr>
        </w:r>
        <w:r w:rsidR="000274DA">
          <w:rPr>
            <w:noProof/>
            <w:webHidden/>
          </w:rPr>
          <w:fldChar w:fldCharType="separate"/>
        </w:r>
        <w:r w:rsidR="001F5377">
          <w:rPr>
            <w:noProof/>
            <w:webHidden/>
          </w:rPr>
          <w:t>24</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7" w:history="1">
        <w:r w:rsidR="000274DA" w:rsidRPr="007F5A7B">
          <w:rPr>
            <w:rStyle w:val="Hyperlink"/>
            <w:rFonts w:ascii="VIC SemiBold" w:hAnsi="VIC SemiBold"/>
            <w:noProof/>
          </w:rPr>
          <w:t>4.8</w:t>
        </w:r>
        <w:r w:rsidR="000274DA">
          <w:rPr>
            <w:rFonts w:asciiTheme="minorHAnsi" w:eastAsiaTheme="minorEastAsia" w:hAnsiTheme="minorHAnsi" w:cstheme="minorBidi"/>
            <w:noProof/>
            <w:sz w:val="22"/>
            <w:szCs w:val="22"/>
          </w:rPr>
          <w:tab/>
        </w:r>
        <w:r w:rsidR="000274DA" w:rsidRPr="007F5A7B">
          <w:rPr>
            <w:rStyle w:val="Hyperlink"/>
            <w:noProof/>
          </w:rPr>
          <w:t>Oliver Hume Property Funds, AHB Australia Pty Ltd and Sunbury West Owners Group – Submissions 26, 80, 94 (C207) and 28, 82, 92 (C208)</w:t>
        </w:r>
        <w:r w:rsidR="000274DA">
          <w:rPr>
            <w:noProof/>
            <w:webHidden/>
          </w:rPr>
          <w:tab/>
        </w:r>
        <w:r w:rsidR="000274DA">
          <w:rPr>
            <w:noProof/>
            <w:webHidden/>
          </w:rPr>
          <w:fldChar w:fldCharType="begin"/>
        </w:r>
        <w:r w:rsidR="000274DA">
          <w:rPr>
            <w:noProof/>
            <w:webHidden/>
          </w:rPr>
          <w:instrText xml:space="preserve"> PAGEREF _Toc496183257 \h </w:instrText>
        </w:r>
        <w:r w:rsidR="000274DA">
          <w:rPr>
            <w:noProof/>
            <w:webHidden/>
          </w:rPr>
        </w:r>
        <w:r w:rsidR="000274DA">
          <w:rPr>
            <w:noProof/>
            <w:webHidden/>
          </w:rPr>
          <w:fldChar w:fldCharType="separate"/>
        </w:r>
        <w:r w:rsidR="001F5377">
          <w:rPr>
            <w:noProof/>
            <w:webHidden/>
          </w:rPr>
          <w:t>25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8" w:history="1">
        <w:r w:rsidR="000274DA" w:rsidRPr="007F5A7B">
          <w:rPr>
            <w:rStyle w:val="Hyperlink"/>
            <w:rFonts w:ascii="VIC SemiBold" w:hAnsi="VIC SemiBold"/>
            <w:noProof/>
          </w:rPr>
          <w:t>4.9</w:t>
        </w:r>
        <w:r w:rsidR="000274DA">
          <w:rPr>
            <w:rFonts w:asciiTheme="minorHAnsi" w:eastAsiaTheme="minorEastAsia" w:hAnsiTheme="minorHAnsi" w:cstheme="minorBidi"/>
            <w:noProof/>
            <w:sz w:val="22"/>
            <w:szCs w:val="22"/>
          </w:rPr>
          <w:tab/>
        </w:r>
        <w:r w:rsidR="000274DA" w:rsidRPr="007F5A7B">
          <w:rPr>
            <w:rStyle w:val="Hyperlink"/>
            <w:noProof/>
          </w:rPr>
          <w:t>Sunbury Realty Pty Ltd – Submission 59 (C207)</w:t>
        </w:r>
        <w:r w:rsidR="000274DA">
          <w:rPr>
            <w:noProof/>
            <w:webHidden/>
          </w:rPr>
          <w:tab/>
        </w:r>
        <w:r w:rsidR="000274DA">
          <w:rPr>
            <w:noProof/>
            <w:webHidden/>
          </w:rPr>
          <w:fldChar w:fldCharType="begin"/>
        </w:r>
        <w:r w:rsidR="000274DA">
          <w:rPr>
            <w:noProof/>
            <w:webHidden/>
          </w:rPr>
          <w:instrText xml:space="preserve"> PAGEREF _Toc496183258 \h </w:instrText>
        </w:r>
        <w:r w:rsidR="000274DA">
          <w:rPr>
            <w:noProof/>
            <w:webHidden/>
          </w:rPr>
        </w:r>
        <w:r w:rsidR="000274DA">
          <w:rPr>
            <w:noProof/>
            <w:webHidden/>
          </w:rPr>
          <w:fldChar w:fldCharType="separate"/>
        </w:r>
        <w:r w:rsidR="001F5377">
          <w:rPr>
            <w:noProof/>
            <w:webHidden/>
          </w:rPr>
          <w:t>25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59" w:history="1">
        <w:r w:rsidR="000274DA" w:rsidRPr="007F5A7B">
          <w:rPr>
            <w:rStyle w:val="Hyperlink"/>
            <w:rFonts w:ascii="VIC SemiBold" w:hAnsi="VIC SemiBold"/>
            <w:noProof/>
          </w:rPr>
          <w:t>4.10</w:t>
        </w:r>
        <w:r w:rsidR="000274DA">
          <w:rPr>
            <w:rFonts w:asciiTheme="minorHAnsi" w:eastAsiaTheme="minorEastAsia" w:hAnsiTheme="minorHAnsi" w:cstheme="minorBidi"/>
            <w:noProof/>
            <w:sz w:val="22"/>
            <w:szCs w:val="22"/>
          </w:rPr>
          <w:tab/>
        </w:r>
        <w:r w:rsidR="000274DA" w:rsidRPr="007F5A7B">
          <w:rPr>
            <w:rStyle w:val="Hyperlink"/>
            <w:noProof/>
          </w:rPr>
          <w:t>Tranteret Pty Ltd - Submission 38 (C207)</w:t>
        </w:r>
        <w:r w:rsidR="000274DA">
          <w:rPr>
            <w:noProof/>
            <w:webHidden/>
          </w:rPr>
          <w:tab/>
        </w:r>
        <w:r w:rsidR="000274DA">
          <w:rPr>
            <w:noProof/>
            <w:webHidden/>
          </w:rPr>
          <w:fldChar w:fldCharType="begin"/>
        </w:r>
        <w:r w:rsidR="000274DA">
          <w:rPr>
            <w:noProof/>
            <w:webHidden/>
          </w:rPr>
          <w:instrText xml:space="preserve"> PAGEREF _Toc496183259 \h </w:instrText>
        </w:r>
        <w:r w:rsidR="000274DA">
          <w:rPr>
            <w:noProof/>
            <w:webHidden/>
          </w:rPr>
        </w:r>
        <w:r w:rsidR="000274DA">
          <w:rPr>
            <w:noProof/>
            <w:webHidden/>
          </w:rPr>
          <w:fldChar w:fldCharType="separate"/>
        </w:r>
        <w:r w:rsidR="001F5377">
          <w:rPr>
            <w:noProof/>
            <w:webHidden/>
          </w:rPr>
          <w:t>26</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0" w:history="1">
        <w:r w:rsidR="000274DA" w:rsidRPr="007F5A7B">
          <w:rPr>
            <w:rStyle w:val="Hyperlink"/>
            <w:rFonts w:ascii="VIC SemiBold" w:hAnsi="VIC SemiBold"/>
            <w:noProof/>
          </w:rPr>
          <w:t>4.11</w:t>
        </w:r>
        <w:r w:rsidR="000274DA">
          <w:rPr>
            <w:rFonts w:asciiTheme="minorHAnsi" w:eastAsiaTheme="minorEastAsia" w:hAnsiTheme="minorHAnsi" w:cstheme="minorBidi"/>
            <w:noProof/>
            <w:sz w:val="22"/>
            <w:szCs w:val="22"/>
          </w:rPr>
          <w:tab/>
        </w:r>
        <w:r w:rsidR="000274DA" w:rsidRPr="007F5A7B">
          <w:rPr>
            <w:rStyle w:val="Hyperlink"/>
            <w:noProof/>
          </w:rPr>
          <w:t>Hongfengshi International Property Investment Pty Ltd – Submission 53 (C207)</w:t>
        </w:r>
        <w:r w:rsidR="000274DA">
          <w:rPr>
            <w:noProof/>
            <w:webHidden/>
          </w:rPr>
          <w:tab/>
        </w:r>
        <w:r w:rsidR="000274DA">
          <w:rPr>
            <w:noProof/>
            <w:webHidden/>
          </w:rPr>
          <w:fldChar w:fldCharType="begin"/>
        </w:r>
        <w:r w:rsidR="000274DA">
          <w:rPr>
            <w:noProof/>
            <w:webHidden/>
          </w:rPr>
          <w:instrText xml:space="preserve"> PAGEREF _Toc496183260 \h </w:instrText>
        </w:r>
        <w:r w:rsidR="000274DA">
          <w:rPr>
            <w:noProof/>
            <w:webHidden/>
          </w:rPr>
        </w:r>
        <w:r w:rsidR="000274DA">
          <w:rPr>
            <w:noProof/>
            <w:webHidden/>
          </w:rPr>
          <w:fldChar w:fldCharType="separate"/>
        </w:r>
        <w:r w:rsidR="001F5377">
          <w:rPr>
            <w:noProof/>
            <w:webHidden/>
          </w:rPr>
          <w:t>27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1" w:history="1">
        <w:r w:rsidR="000274DA" w:rsidRPr="007F5A7B">
          <w:rPr>
            <w:rStyle w:val="Hyperlink"/>
            <w:rFonts w:ascii="VIC SemiBold" w:hAnsi="VIC SemiBold"/>
            <w:noProof/>
          </w:rPr>
          <w:t>4.12</w:t>
        </w:r>
        <w:r w:rsidR="000274DA">
          <w:rPr>
            <w:rFonts w:asciiTheme="minorHAnsi" w:eastAsiaTheme="minorEastAsia" w:hAnsiTheme="minorHAnsi" w:cstheme="minorBidi"/>
            <w:noProof/>
            <w:sz w:val="22"/>
            <w:szCs w:val="22"/>
          </w:rPr>
          <w:tab/>
        </w:r>
        <w:r w:rsidR="000274DA" w:rsidRPr="007F5A7B">
          <w:rPr>
            <w:rStyle w:val="Hyperlink"/>
            <w:noProof/>
          </w:rPr>
          <w:t>Oreana Project Management Pty Ltd – Submission 89 (C207)</w:t>
        </w:r>
        <w:r w:rsidR="000274DA">
          <w:rPr>
            <w:noProof/>
            <w:webHidden/>
          </w:rPr>
          <w:tab/>
        </w:r>
        <w:r w:rsidR="000274DA">
          <w:rPr>
            <w:noProof/>
            <w:webHidden/>
          </w:rPr>
          <w:fldChar w:fldCharType="begin"/>
        </w:r>
        <w:r w:rsidR="000274DA">
          <w:rPr>
            <w:noProof/>
            <w:webHidden/>
          </w:rPr>
          <w:instrText xml:space="preserve"> PAGEREF _Toc496183261 \h </w:instrText>
        </w:r>
        <w:r w:rsidR="000274DA">
          <w:rPr>
            <w:noProof/>
            <w:webHidden/>
          </w:rPr>
        </w:r>
        <w:r w:rsidR="000274DA">
          <w:rPr>
            <w:noProof/>
            <w:webHidden/>
          </w:rPr>
          <w:fldChar w:fldCharType="separate"/>
        </w:r>
        <w:r w:rsidR="001F5377">
          <w:rPr>
            <w:noProof/>
            <w:webHidden/>
          </w:rPr>
          <w:t>27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2" w:history="1">
        <w:r w:rsidR="000274DA" w:rsidRPr="007F5A7B">
          <w:rPr>
            <w:rStyle w:val="Hyperlink"/>
            <w:rFonts w:ascii="VIC SemiBold" w:hAnsi="VIC SemiBold"/>
            <w:noProof/>
          </w:rPr>
          <w:t>4.13</w:t>
        </w:r>
        <w:r w:rsidR="000274DA">
          <w:rPr>
            <w:rFonts w:asciiTheme="minorHAnsi" w:eastAsiaTheme="minorEastAsia" w:hAnsiTheme="minorHAnsi" w:cstheme="minorBidi"/>
            <w:noProof/>
            <w:sz w:val="22"/>
            <w:szCs w:val="22"/>
          </w:rPr>
          <w:tab/>
        </w:r>
        <w:r w:rsidR="000274DA" w:rsidRPr="007F5A7B">
          <w:rPr>
            <w:rStyle w:val="Hyperlink"/>
            <w:noProof/>
          </w:rPr>
          <w:t>Dr Mahinda and Ms Charmaine Samaratna – Submission 54 (C207)</w:t>
        </w:r>
        <w:r w:rsidR="000274DA">
          <w:rPr>
            <w:noProof/>
            <w:webHidden/>
          </w:rPr>
          <w:tab/>
        </w:r>
        <w:r w:rsidR="000274DA">
          <w:rPr>
            <w:noProof/>
            <w:webHidden/>
          </w:rPr>
          <w:fldChar w:fldCharType="begin"/>
        </w:r>
        <w:r w:rsidR="000274DA">
          <w:rPr>
            <w:noProof/>
            <w:webHidden/>
          </w:rPr>
          <w:instrText xml:space="preserve"> PAGEREF _Toc496183262 \h </w:instrText>
        </w:r>
        <w:r w:rsidR="000274DA">
          <w:rPr>
            <w:noProof/>
            <w:webHidden/>
          </w:rPr>
        </w:r>
        <w:r w:rsidR="000274DA">
          <w:rPr>
            <w:noProof/>
            <w:webHidden/>
          </w:rPr>
          <w:fldChar w:fldCharType="separate"/>
        </w:r>
        <w:r w:rsidR="001F5377">
          <w:rPr>
            <w:noProof/>
            <w:webHidden/>
          </w:rPr>
          <w:t>27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3" w:history="1">
        <w:r w:rsidR="000274DA" w:rsidRPr="007F5A7B">
          <w:rPr>
            <w:rStyle w:val="Hyperlink"/>
            <w:rFonts w:ascii="VIC SemiBold" w:hAnsi="VIC SemiBold"/>
            <w:noProof/>
          </w:rPr>
          <w:t>4.14</w:t>
        </w:r>
        <w:r w:rsidR="000274DA">
          <w:rPr>
            <w:rFonts w:asciiTheme="minorHAnsi" w:eastAsiaTheme="minorEastAsia" w:hAnsiTheme="minorHAnsi" w:cstheme="minorBidi"/>
            <w:noProof/>
            <w:sz w:val="22"/>
            <w:szCs w:val="22"/>
          </w:rPr>
          <w:tab/>
        </w:r>
        <w:r w:rsidR="000274DA" w:rsidRPr="007F5A7B">
          <w:rPr>
            <w:rStyle w:val="Hyperlink"/>
            <w:noProof/>
          </w:rPr>
          <w:t>Mr Steven Galdes – Submission 41 (C207)</w:t>
        </w:r>
        <w:r w:rsidR="000274DA">
          <w:rPr>
            <w:noProof/>
            <w:webHidden/>
          </w:rPr>
          <w:tab/>
        </w:r>
        <w:r w:rsidR="000274DA">
          <w:rPr>
            <w:noProof/>
            <w:webHidden/>
          </w:rPr>
          <w:fldChar w:fldCharType="begin"/>
        </w:r>
        <w:r w:rsidR="000274DA">
          <w:rPr>
            <w:noProof/>
            <w:webHidden/>
          </w:rPr>
          <w:instrText xml:space="preserve"> PAGEREF _Toc496183263 \h </w:instrText>
        </w:r>
        <w:r w:rsidR="000274DA">
          <w:rPr>
            <w:noProof/>
            <w:webHidden/>
          </w:rPr>
        </w:r>
        <w:r w:rsidR="000274DA">
          <w:rPr>
            <w:noProof/>
            <w:webHidden/>
          </w:rPr>
          <w:fldChar w:fldCharType="separate"/>
        </w:r>
        <w:r w:rsidR="001F5377">
          <w:rPr>
            <w:noProof/>
            <w:webHidden/>
          </w:rPr>
          <w:t>27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4" w:history="1">
        <w:r w:rsidR="000274DA" w:rsidRPr="007F5A7B">
          <w:rPr>
            <w:rStyle w:val="Hyperlink"/>
            <w:rFonts w:ascii="VIC SemiBold" w:hAnsi="VIC SemiBold"/>
            <w:noProof/>
          </w:rPr>
          <w:t>4.15</w:t>
        </w:r>
        <w:r w:rsidR="000274DA">
          <w:rPr>
            <w:rFonts w:asciiTheme="minorHAnsi" w:eastAsiaTheme="minorEastAsia" w:hAnsiTheme="minorHAnsi" w:cstheme="minorBidi"/>
            <w:noProof/>
            <w:sz w:val="22"/>
            <w:szCs w:val="22"/>
          </w:rPr>
          <w:tab/>
        </w:r>
        <w:r w:rsidR="000274DA" w:rsidRPr="007F5A7B">
          <w:rPr>
            <w:rStyle w:val="Hyperlink"/>
            <w:noProof/>
          </w:rPr>
          <w:t>Capitol Property Group – Submission 75 (C207) – See Appendix 3</w:t>
        </w:r>
        <w:r w:rsidR="000274DA">
          <w:rPr>
            <w:noProof/>
            <w:webHidden/>
          </w:rPr>
          <w:tab/>
        </w:r>
        <w:r w:rsidR="000274DA">
          <w:rPr>
            <w:noProof/>
            <w:webHidden/>
          </w:rPr>
          <w:fldChar w:fldCharType="begin"/>
        </w:r>
        <w:r w:rsidR="000274DA">
          <w:rPr>
            <w:noProof/>
            <w:webHidden/>
          </w:rPr>
          <w:instrText xml:space="preserve"> PAGEREF _Toc496183264 \h </w:instrText>
        </w:r>
        <w:r w:rsidR="000274DA">
          <w:rPr>
            <w:noProof/>
            <w:webHidden/>
          </w:rPr>
        </w:r>
        <w:r w:rsidR="000274DA">
          <w:rPr>
            <w:noProof/>
            <w:webHidden/>
          </w:rPr>
          <w:fldChar w:fldCharType="separate"/>
        </w:r>
        <w:r w:rsidR="001F5377">
          <w:rPr>
            <w:noProof/>
            <w:webHidden/>
          </w:rPr>
          <w:t>28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5" w:history="1">
        <w:r w:rsidR="000274DA" w:rsidRPr="007F5A7B">
          <w:rPr>
            <w:rStyle w:val="Hyperlink"/>
            <w:rFonts w:ascii="VIC SemiBold" w:hAnsi="VIC SemiBold"/>
            <w:noProof/>
          </w:rPr>
          <w:t>4.16</w:t>
        </w:r>
        <w:r w:rsidR="000274DA">
          <w:rPr>
            <w:rFonts w:asciiTheme="minorHAnsi" w:eastAsiaTheme="minorEastAsia" w:hAnsiTheme="minorHAnsi" w:cstheme="minorBidi"/>
            <w:noProof/>
            <w:sz w:val="22"/>
            <w:szCs w:val="22"/>
          </w:rPr>
          <w:tab/>
        </w:r>
        <w:r w:rsidR="000274DA" w:rsidRPr="007F5A7B">
          <w:rPr>
            <w:rStyle w:val="Hyperlink"/>
            <w:noProof/>
          </w:rPr>
          <w:t>Wincity Pty Ltd – Submission 46 (C208)</w:t>
        </w:r>
        <w:r w:rsidR="000274DA">
          <w:rPr>
            <w:noProof/>
            <w:webHidden/>
          </w:rPr>
          <w:tab/>
        </w:r>
        <w:r w:rsidR="000274DA">
          <w:rPr>
            <w:noProof/>
            <w:webHidden/>
          </w:rPr>
          <w:fldChar w:fldCharType="begin"/>
        </w:r>
        <w:r w:rsidR="000274DA">
          <w:rPr>
            <w:noProof/>
            <w:webHidden/>
          </w:rPr>
          <w:instrText xml:space="preserve"> PAGEREF _Toc496183265 \h </w:instrText>
        </w:r>
        <w:r w:rsidR="000274DA">
          <w:rPr>
            <w:noProof/>
            <w:webHidden/>
          </w:rPr>
        </w:r>
        <w:r w:rsidR="000274DA">
          <w:rPr>
            <w:noProof/>
            <w:webHidden/>
          </w:rPr>
          <w:fldChar w:fldCharType="separate"/>
        </w:r>
        <w:r w:rsidR="001F5377">
          <w:rPr>
            <w:noProof/>
            <w:webHidden/>
          </w:rPr>
          <w:t>28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6" w:history="1">
        <w:r w:rsidR="000274DA" w:rsidRPr="007F5A7B">
          <w:rPr>
            <w:rStyle w:val="Hyperlink"/>
            <w:rFonts w:ascii="VIC SemiBold" w:hAnsi="VIC SemiBold"/>
            <w:noProof/>
          </w:rPr>
          <w:t>4.17</w:t>
        </w:r>
        <w:r w:rsidR="000274DA">
          <w:rPr>
            <w:rFonts w:asciiTheme="minorHAnsi" w:eastAsiaTheme="minorEastAsia" w:hAnsiTheme="minorHAnsi" w:cstheme="minorBidi"/>
            <w:noProof/>
            <w:sz w:val="22"/>
            <w:szCs w:val="22"/>
          </w:rPr>
          <w:tab/>
        </w:r>
        <w:r w:rsidR="000274DA" w:rsidRPr="007F5A7B">
          <w:rPr>
            <w:rStyle w:val="Hyperlink"/>
            <w:noProof/>
          </w:rPr>
          <w:t>View Grange Pastoral Pty Ltd (Villawood Properties) – Submission 71 (C207) and 71 (C208) – See Appendix 4</w:t>
        </w:r>
        <w:r w:rsidR="000274DA">
          <w:rPr>
            <w:noProof/>
            <w:webHidden/>
          </w:rPr>
          <w:tab/>
        </w:r>
        <w:r w:rsidR="000274DA">
          <w:rPr>
            <w:noProof/>
            <w:webHidden/>
          </w:rPr>
          <w:fldChar w:fldCharType="begin"/>
        </w:r>
        <w:r w:rsidR="000274DA">
          <w:rPr>
            <w:noProof/>
            <w:webHidden/>
          </w:rPr>
          <w:instrText xml:space="preserve"> PAGEREF _Toc496183266 \h </w:instrText>
        </w:r>
        <w:r w:rsidR="000274DA">
          <w:rPr>
            <w:noProof/>
            <w:webHidden/>
          </w:rPr>
        </w:r>
        <w:r w:rsidR="000274DA">
          <w:rPr>
            <w:noProof/>
            <w:webHidden/>
          </w:rPr>
          <w:fldChar w:fldCharType="separate"/>
        </w:r>
        <w:r w:rsidR="001F5377">
          <w:rPr>
            <w:noProof/>
            <w:webHidden/>
          </w:rPr>
          <w:t>29</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7" w:history="1">
        <w:r w:rsidR="000274DA" w:rsidRPr="007F5A7B">
          <w:rPr>
            <w:rStyle w:val="Hyperlink"/>
            <w:rFonts w:ascii="VIC SemiBold" w:hAnsi="VIC SemiBold"/>
            <w:noProof/>
          </w:rPr>
          <w:t>4.18</w:t>
        </w:r>
        <w:r w:rsidR="000274DA">
          <w:rPr>
            <w:rFonts w:asciiTheme="minorHAnsi" w:eastAsiaTheme="minorEastAsia" w:hAnsiTheme="minorHAnsi" w:cstheme="minorBidi"/>
            <w:noProof/>
            <w:sz w:val="22"/>
            <w:szCs w:val="22"/>
          </w:rPr>
          <w:tab/>
        </w:r>
        <w:r w:rsidR="000274DA" w:rsidRPr="007F5A7B">
          <w:rPr>
            <w:rStyle w:val="Hyperlink"/>
            <w:noProof/>
          </w:rPr>
          <w:t>Hi Quality Quarry Projects Pty Ltd and Tranteret Pty Ltd – Submission 61 (C207)</w:t>
        </w:r>
        <w:r w:rsidR="000274DA">
          <w:rPr>
            <w:noProof/>
            <w:webHidden/>
          </w:rPr>
          <w:tab/>
        </w:r>
        <w:r w:rsidR="000274DA">
          <w:rPr>
            <w:noProof/>
            <w:webHidden/>
          </w:rPr>
          <w:fldChar w:fldCharType="begin"/>
        </w:r>
        <w:r w:rsidR="000274DA">
          <w:rPr>
            <w:noProof/>
            <w:webHidden/>
          </w:rPr>
          <w:instrText xml:space="preserve"> PAGEREF _Toc496183267 \h </w:instrText>
        </w:r>
        <w:r w:rsidR="000274DA">
          <w:rPr>
            <w:noProof/>
            <w:webHidden/>
          </w:rPr>
        </w:r>
        <w:r w:rsidR="000274DA">
          <w:rPr>
            <w:noProof/>
            <w:webHidden/>
          </w:rPr>
          <w:fldChar w:fldCharType="separate"/>
        </w:r>
        <w:r w:rsidR="001F5377">
          <w:rPr>
            <w:noProof/>
            <w:webHidden/>
          </w:rPr>
          <w:t>29</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8" w:history="1">
        <w:r w:rsidR="000274DA" w:rsidRPr="007F5A7B">
          <w:rPr>
            <w:rStyle w:val="Hyperlink"/>
            <w:rFonts w:ascii="VIC SemiBold" w:hAnsi="VIC SemiBold"/>
            <w:noProof/>
          </w:rPr>
          <w:t>4.19</w:t>
        </w:r>
        <w:r w:rsidR="000274DA">
          <w:rPr>
            <w:rFonts w:asciiTheme="minorHAnsi" w:eastAsiaTheme="minorEastAsia" w:hAnsiTheme="minorHAnsi" w:cstheme="minorBidi"/>
            <w:noProof/>
            <w:sz w:val="22"/>
            <w:szCs w:val="22"/>
          </w:rPr>
          <w:tab/>
        </w:r>
        <w:r w:rsidR="000274DA" w:rsidRPr="007F5A7B">
          <w:rPr>
            <w:rStyle w:val="Hyperlink"/>
            <w:noProof/>
          </w:rPr>
          <w:t>Mr John Ware – Submission 39 (C207)</w:t>
        </w:r>
        <w:r w:rsidR="000274DA">
          <w:rPr>
            <w:noProof/>
            <w:webHidden/>
          </w:rPr>
          <w:tab/>
        </w:r>
        <w:r w:rsidR="000274DA">
          <w:rPr>
            <w:noProof/>
            <w:webHidden/>
          </w:rPr>
          <w:fldChar w:fldCharType="begin"/>
        </w:r>
        <w:r w:rsidR="000274DA">
          <w:rPr>
            <w:noProof/>
            <w:webHidden/>
          </w:rPr>
          <w:instrText xml:space="preserve"> PAGEREF _Toc496183268 \h </w:instrText>
        </w:r>
        <w:r w:rsidR="000274DA">
          <w:rPr>
            <w:noProof/>
            <w:webHidden/>
          </w:rPr>
        </w:r>
        <w:r w:rsidR="000274DA">
          <w:rPr>
            <w:noProof/>
            <w:webHidden/>
          </w:rPr>
          <w:fldChar w:fldCharType="separate"/>
        </w:r>
        <w:r w:rsidR="001F5377">
          <w:rPr>
            <w:noProof/>
            <w:webHidden/>
          </w:rPr>
          <w:t>32</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69" w:history="1">
        <w:r w:rsidR="000274DA" w:rsidRPr="007F5A7B">
          <w:rPr>
            <w:rStyle w:val="Hyperlink"/>
            <w:rFonts w:ascii="VIC SemiBold" w:hAnsi="VIC SemiBold"/>
            <w:noProof/>
          </w:rPr>
          <w:t>4.20</w:t>
        </w:r>
        <w:r w:rsidR="000274DA">
          <w:rPr>
            <w:rFonts w:asciiTheme="minorHAnsi" w:eastAsiaTheme="minorEastAsia" w:hAnsiTheme="minorHAnsi" w:cstheme="minorBidi"/>
            <w:noProof/>
            <w:sz w:val="22"/>
            <w:szCs w:val="22"/>
          </w:rPr>
          <w:tab/>
        </w:r>
        <w:r w:rsidR="000274DA" w:rsidRPr="007F5A7B">
          <w:rPr>
            <w:rStyle w:val="Hyperlink"/>
            <w:noProof/>
          </w:rPr>
          <w:t>Carmody Family – Submission 65 (C207)</w:t>
        </w:r>
        <w:r w:rsidR="000274DA">
          <w:rPr>
            <w:noProof/>
            <w:webHidden/>
          </w:rPr>
          <w:tab/>
        </w:r>
        <w:r w:rsidR="000274DA">
          <w:rPr>
            <w:noProof/>
            <w:webHidden/>
          </w:rPr>
          <w:fldChar w:fldCharType="begin"/>
        </w:r>
        <w:r w:rsidR="000274DA">
          <w:rPr>
            <w:noProof/>
            <w:webHidden/>
          </w:rPr>
          <w:instrText xml:space="preserve"> PAGEREF _Toc496183269 \h </w:instrText>
        </w:r>
        <w:r w:rsidR="000274DA">
          <w:rPr>
            <w:noProof/>
            <w:webHidden/>
          </w:rPr>
        </w:r>
        <w:r w:rsidR="000274DA">
          <w:rPr>
            <w:noProof/>
            <w:webHidden/>
          </w:rPr>
          <w:fldChar w:fldCharType="separate"/>
        </w:r>
        <w:r w:rsidR="001F5377">
          <w:rPr>
            <w:noProof/>
            <w:webHidden/>
          </w:rPr>
          <w:t>32</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0" w:history="1">
        <w:r w:rsidR="000274DA" w:rsidRPr="007F5A7B">
          <w:rPr>
            <w:rStyle w:val="Hyperlink"/>
            <w:rFonts w:ascii="VIC SemiBold" w:hAnsi="VIC SemiBold"/>
            <w:noProof/>
          </w:rPr>
          <w:t>4.21</w:t>
        </w:r>
        <w:r w:rsidR="000274DA">
          <w:rPr>
            <w:rFonts w:asciiTheme="minorHAnsi" w:eastAsiaTheme="minorEastAsia" w:hAnsiTheme="minorHAnsi" w:cstheme="minorBidi"/>
            <w:noProof/>
            <w:sz w:val="22"/>
            <w:szCs w:val="22"/>
          </w:rPr>
          <w:tab/>
        </w:r>
        <w:r w:rsidR="000274DA" w:rsidRPr="007F5A7B">
          <w:rPr>
            <w:rStyle w:val="Hyperlink"/>
            <w:noProof/>
          </w:rPr>
          <w:t>235 Old Vineyard Road – Submission 62 (C207)</w:t>
        </w:r>
        <w:r w:rsidR="000274DA">
          <w:rPr>
            <w:noProof/>
            <w:webHidden/>
          </w:rPr>
          <w:tab/>
        </w:r>
        <w:r w:rsidR="000274DA">
          <w:rPr>
            <w:noProof/>
            <w:webHidden/>
          </w:rPr>
          <w:fldChar w:fldCharType="begin"/>
        </w:r>
        <w:r w:rsidR="000274DA">
          <w:rPr>
            <w:noProof/>
            <w:webHidden/>
          </w:rPr>
          <w:instrText xml:space="preserve"> PAGEREF _Toc496183270 \h </w:instrText>
        </w:r>
        <w:r w:rsidR="000274DA">
          <w:rPr>
            <w:noProof/>
            <w:webHidden/>
          </w:rPr>
        </w:r>
        <w:r w:rsidR="000274DA">
          <w:rPr>
            <w:noProof/>
            <w:webHidden/>
          </w:rPr>
          <w:fldChar w:fldCharType="separate"/>
        </w:r>
        <w:r w:rsidR="001F5377">
          <w:rPr>
            <w:noProof/>
            <w:webHidden/>
          </w:rPr>
          <w:t>35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1" w:history="1">
        <w:r w:rsidR="000274DA" w:rsidRPr="007F5A7B">
          <w:rPr>
            <w:rStyle w:val="Hyperlink"/>
            <w:rFonts w:ascii="VIC SemiBold" w:hAnsi="VIC SemiBold"/>
            <w:noProof/>
          </w:rPr>
          <w:t>4.22</w:t>
        </w:r>
        <w:r w:rsidR="000274DA">
          <w:rPr>
            <w:rFonts w:asciiTheme="minorHAnsi" w:eastAsiaTheme="minorEastAsia" w:hAnsiTheme="minorHAnsi" w:cstheme="minorBidi"/>
            <w:noProof/>
            <w:sz w:val="22"/>
            <w:szCs w:val="22"/>
          </w:rPr>
          <w:tab/>
        </w:r>
        <w:r w:rsidR="000274DA" w:rsidRPr="007F5A7B">
          <w:rPr>
            <w:rStyle w:val="Hyperlink"/>
            <w:noProof/>
          </w:rPr>
          <w:t>280 Lancefield Road (Spiire) – Submission 60 (C208)</w:t>
        </w:r>
        <w:r w:rsidR="000274DA">
          <w:rPr>
            <w:noProof/>
            <w:webHidden/>
          </w:rPr>
          <w:tab/>
        </w:r>
        <w:r w:rsidR="000274DA">
          <w:rPr>
            <w:noProof/>
            <w:webHidden/>
          </w:rPr>
          <w:fldChar w:fldCharType="begin"/>
        </w:r>
        <w:r w:rsidR="000274DA">
          <w:rPr>
            <w:noProof/>
            <w:webHidden/>
          </w:rPr>
          <w:instrText xml:space="preserve"> PAGEREF _Toc496183271 \h </w:instrText>
        </w:r>
        <w:r w:rsidR="000274DA">
          <w:rPr>
            <w:noProof/>
            <w:webHidden/>
          </w:rPr>
        </w:r>
        <w:r w:rsidR="000274DA">
          <w:rPr>
            <w:noProof/>
            <w:webHidden/>
          </w:rPr>
          <w:fldChar w:fldCharType="separate"/>
        </w:r>
        <w:r w:rsidR="001F5377">
          <w:rPr>
            <w:noProof/>
            <w:webHidden/>
          </w:rPr>
          <w:t>35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2" w:history="1">
        <w:r w:rsidR="000274DA" w:rsidRPr="007F5A7B">
          <w:rPr>
            <w:rStyle w:val="Hyperlink"/>
            <w:rFonts w:ascii="VIC SemiBold" w:hAnsi="VIC SemiBold"/>
            <w:noProof/>
          </w:rPr>
          <w:t>4.23</w:t>
        </w:r>
        <w:r w:rsidR="000274DA">
          <w:rPr>
            <w:rFonts w:asciiTheme="minorHAnsi" w:eastAsiaTheme="minorEastAsia" w:hAnsiTheme="minorHAnsi" w:cstheme="minorBidi"/>
            <w:noProof/>
            <w:sz w:val="22"/>
            <w:szCs w:val="22"/>
          </w:rPr>
          <w:tab/>
        </w:r>
        <w:r w:rsidR="000274DA" w:rsidRPr="007F5A7B">
          <w:rPr>
            <w:rStyle w:val="Hyperlink"/>
            <w:noProof/>
          </w:rPr>
          <w:t>280 Lancefield Road (Insight Planning) – Submission 53 (C208)</w:t>
        </w:r>
        <w:r w:rsidR="000274DA">
          <w:rPr>
            <w:noProof/>
            <w:webHidden/>
          </w:rPr>
          <w:tab/>
        </w:r>
        <w:r w:rsidR="000274DA">
          <w:rPr>
            <w:noProof/>
            <w:webHidden/>
          </w:rPr>
          <w:fldChar w:fldCharType="begin"/>
        </w:r>
        <w:r w:rsidR="000274DA">
          <w:rPr>
            <w:noProof/>
            <w:webHidden/>
          </w:rPr>
          <w:instrText xml:space="preserve"> PAGEREF _Toc496183272 \h </w:instrText>
        </w:r>
        <w:r w:rsidR="000274DA">
          <w:rPr>
            <w:noProof/>
            <w:webHidden/>
          </w:rPr>
        </w:r>
        <w:r w:rsidR="000274DA">
          <w:rPr>
            <w:noProof/>
            <w:webHidden/>
          </w:rPr>
          <w:fldChar w:fldCharType="separate"/>
        </w:r>
        <w:r w:rsidR="001F5377">
          <w:rPr>
            <w:noProof/>
            <w:webHidden/>
          </w:rPr>
          <w:t>36</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3" w:history="1">
        <w:r w:rsidR="000274DA" w:rsidRPr="007F5A7B">
          <w:rPr>
            <w:rStyle w:val="Hyperlink"/>
            <w:rFonts w:ascii="VIC SemiBold" w:hAnsi="VIC SemiBold"/>
            <w:noProof/>
          </w:rPr>
          <w:t>4.24</w:t>
        </w:r>
        <w:r w:rsidR="000274DA">
          <w:rPr>
            <w:rFonts w:asciiTheme="minorHAnsi" w:eastAsiaTheme="minorEastAsia" w:hAnsiTheme="minorHAnsi" w:cstheme="minorBidi"/>
            <w:noProof/>
            <w:sz w:val="22"/>
            <w:szCs w:val="22"/>
          </w:rPr>
          <w:tab/>
        </w:r>
        <w:r w:rsidR="000274DA" w:rsidRPr="007F5A7B">
          <w:rPr>
            <w:rStyle w:val="Hyperlink"/>
            <w:noProof/>
          </w:rPr>
          <w:t>Mr Neil and Ms Robyn Isles – Submission 23 (C207) and 19 (C208)</w:t>
        </w:r>
        <w:r w:rsidR="000274DA">
          <w:rPr>
            <w:noProof/>
            <w:webHidden/>
          </w:rPr>
          <w:tab/>
        </w:r>
        <w:r w:rsidR="000274DA">
          <w:rPr>
            <w:noProof/>
            <w:webHidden/>
          </w:rPr>
          <w:fldChar w:fldCharType="begin"/>
        </w:r>
        <w:r w:rsidR="000274DA">
          <w:rPr>
            <w:noProof/>
            <w:webHidden/>
          </w:rPr>
          <w:instrText xml:space="preserve"> PAGEREF _Toc496183273 \h </w:instrText>
        </w:r>
        <w:r w:rsidR="000274DA">
          <w:rPr>
            <w:noProof/>
            <w:webHidden/>
          </w:rPr>
        </w:r>
        <w:r w:rsidR="000274DA">
          <w:rPr>
            <w:noProof/>
            <w:webHidden/>
          </w:rPr>
          <w:fldChar w:fldCharType="separate"/>
        </w:r>
        <w:r w:rsidR="001F5377">
          <w:rPr>
            <w:noProof/>
            <w:webHidden/>
          </w:rPr>
          <w:t>37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4" w:history="1">
        <w:r w:rsidR="000274DA" w:rsidRPr="007F5A7B">
          <w:rPr>
            <w:rStyle w:val="Hyperlink"/>
            <w:rFonts w:ascii="VIC SemiBold" w:hAnsi="VIC SemiBold"/>
            <w:noProof/>
          </w:rPr>
          <w:t>4.25</w:t>
        </w:r>
        <w:r w:rsidR="000274DA">
          <w:rPr>
            <w:rFonts w:asciiTheme="minorHAnsi" w:eastAsiaTheme="minorEastAsia" w:hAnsiTheme="minorHAnsi" w:cstheme="minorBidi"/>
            <w:noProof/>
            <w:sz w:val="22"/>
            <w:szCs w:val="22"/>
          </w:rPr>
          <w:tab/>
        </w:r>
        <w:r w:rsidR="000274DA" w:rsidRPr="007F5A7B">
          <w:rPr>
            <w:rStyle w:val="Hyperlink"/>
            <w:noProof/>
          </w:rPr>
          <w:t>295 Lancefield Road JV Pty Ltd – Submission 52 (C208)</w:t>
        </w:r>
        <w:r w:rsidR="000274DA">
          <w:rPr>
            <w:noProof/>
            <w:webHidden/>
          </w:rPr>
          <w:tab/>
        </w:r>
        <w:r w:rsidR="000274DA">
          <w:rPr>
            <w:noProof/>
            <w:webHidden/>
          </w:rPr>
          <w:fldChar w:fldCharType="begin"/>
        </w:r>
        <w:r w:rsidR="000274DA">
          <w:rPr>
            <w:noProof/>
            <w:webHidden/>
          </w:rPr>
          <w:instrText xml:space="preserve"> PAGEREF _Toc496183274 \h </w:instrText>
        </w:r>
        <w:r w:rsidR="000274DA">
          <w:rPr>
            <w:noProof/>
            <w:webHidden/>
          </w:rPr>
        </w:r>
        <w:r w:rsidR="000274DA">
          <w:rPr>
            <w:noProof/>
            <w:webHidden/>
          </w:rPr>
          <w:fldChar w:fldCharType="separate"/>
        </w:r>
        <w:r w:rsidR="001F5377">
          <w:rPr>
            <w:noProof/>
            <w:webHidden/>
          </w:rPr>
          <w:t>37</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5" w:history="1">
        <w:r w:rsidR="000274DA" w:rsidRPr="007F5A7B">
          <w:rPr>
            <w:rStyle w:val="Hyperlink"/>
            <w:rFonts w:ascii="VIC SemiBold" w:hAnsi="VIC SemiBold"/>
            <w:noProof/>
          </w:rPr>
          <w:t>4.26</w:t>
        </w:r>
        <w:r w:rsidR="000274DA">
          <w:rPr>
            <w:rFonts w:asciiTheme="minorHAnsi" w:eastAsiaTheme="minorEastAsia" w:hAnsiTheme="minorHAnsi" w:cstheme="minorBidi"/>
            <w:noProof/>
            <w:sz w:val="22"/>
            <w:szCs w:val="22"/>
          </w:rPr>
          <w:tab/>
        </w:r>
        <w:r w:rsidR="000274DA" w:rsidRPr="007F5A7B">
          <w:rPr>
            <w:rStyle w:val="Hyperlink"/>
            <w:noProof/>
          </w:rPr>
          <w:t>Jinding United Sunbury Pty Ltd - Submission 55 (C208)</w:t>
        </w:r>
        <w:r w:rsidR="000274DA">
          <w:rPr>
            <w:noProof/>
            <w:webHidden/>
          </w:rPr>
          <w:tab/>
        </w:r>
        <w:r w:rsidR="000274DA">
          <w:rPr>
            <w:noProof/>
            <w:webHidden/>
          </w:rPr>
          <w:fldChar w:fldCharType="begin"/>
        </w:r>
        <w:r w:rsidR="000274DA">
          <w:rPr>
            <w:noProof/>
            <w:webHidden/>
          </w:rPr>
          <w:instrText xml:space="preserve"> PAGEREF _Toc496183275 \h </w:instrText>
        </w:r>
        <w:r w:rsidR="000274DA">
          <w:rPr>
            <w:noProof/>
            <w:webHidden/>
          </w:rPr>
        </w:r>
        <w:r w:rsidR="000274DA">
          <w:rPr>
            <w:noProof/>
            <w:webHidden/>
          </w:rPr>
          <w:fldChar w:fldCharType="separate"/>
        </w:r>
        <w:r w:rsidR="001F5377">
          <w:rPr>
            <w:noProof/>
            <w:webHidden/>
          </w:rPr>
          <w:t>38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6" w:history="1">
        <w:r w:rsidR="000274DA" w:rsidRPr="007F5A7B">
          <w:rPr>
            <w:rStyle w:val="Hyperlink"/>
            <w:rFonts w:ascii="VIC SemiBold" w:hAnsi="VIC SemiBold"/>
            <w:noProof/>
          </w:rPr>
          <w:t>4.27</w:t>
        </w:r>
        <w:r w:rsidR="000274DA">
          <w:rPr>
            <w:rFonts w:asciiTheme="minorHAnsi" w:eastAsiaTheme="minorEastAsia" w:hAnsiTheme="minorHAnsi" w:cstheme="minorBidi"/>
            <w:noProof/>
            <w:sz w:val="22"/>
            <w:szCs w:val="22"/>
          </w:rPr>
          <w:tab/>
        </w:r>
        <w:r w:rsidR="000274DA" w:rsidRPr="007F5A7B">
          <w:rPr>
            <w:rStyle w:val="Hyperlink"/>
            <w:noProof/>
          </w:rPr>
          <w:t>Kolceg Family – Submission 84 (C207)</w:t>
        </w:r>
        <w:r w:rsidR="000274DA">
          <w:rPr>
            <w:noProof/>
            <w:webHidden/>
          </w:rPr>
          <w:tab/>
        </w:r>
        <w:r w:rsidR="000274DA">
          <w:rPr>
            <w:noProof/>
            <w:webHidden/>
          </w:rPr>
          <w:fldChar w:fldCharType="begin"/>
        </w:r>
        <w:r w:rsidR="000274DA">
          <w:rPr>
            <w:noProof/>
            <w:webHidden/>
          </w:rPr>
          <w:instrText xml:space="preserve"> PAGEREF _Toc496183276 \h </w:instrText>
        </w:r>
        <w:r w:rsidR="000274DA">
          <w:rPr>
            <w:noProof/>
            <w:webHidden/>
          </w:rPr>
        </w:r>
        <w:r w:rsidR="000274DA">
          <w:rPr>
            <w:noProof/>
            <w:webHidden/>
          </w:rPr>
          <w:fldChar w:fldCharType="separate"/>
        </w:r>
        <w:r w:rsidR="001F5377">
          <w:rPr>
            <w:noProof/>
            <w:webHidden/>
          </w:rPr>
          <w:t>39</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7" w:history="1">
        <w:r w:rsidR="000274DA" w:rsidRPr="007F5A7B">
          <w:rPr>
            <w:rStyle w:val="Hyperlink"/>
            <w:rFonts w:ascii="VIC SemiBold" w:hAnsi="VIC SemiBold"/>
            <w:noProof/>
          </w:rPr>
          <w:t>4.28</w:t>
        </w:r>
        <w:r w:rsidR="000274DA">
          <w:rPr>
            <w:rFonts w:asciiTheme="minorHAnsi" w:eastAsiaTheme="minorEastAsia" w:hAnsiTheme="minorHAnsi" w:cstheme="minorBidi"/>
            <w:noProof/>
            <w:sz w:val="22"/>
            <w:szCs w:val="22"/>
          </w:rPr>
          <w:tab/>
        </w:r>
        <w:r w:rsidR="000274DA" w:rsidRPr="007F5A7B">
          <w:rPr>
            <w:rStyle w:val="Hyperlink"/>
            <w:noProof/>
          </w:rPr>
          <w:t>QOD Property Group Pty Ltd – Submission 59 (C208)</w:t>
        </w:r>
        <w:r w:rsidR="000274DA">
          <w:rPr>
            <w:noProof/>
            <w:webHidden/>
          </w:rPr>
          <w:tab/>
        </w:r>
        <w:r w:rsidR="000274DA">
          <w:rPr>
            <w:noProof/>
            <w:webHidden/>
          </w:rPr>
          <w:fldChar w:fldCharType="begin"/>
        </w:r>
        <w:r w:rsidR="000274DA">
          <w:rPr>
            <w:noProof/>
            <w:webHidden/>
          </w:rPr>
          <w:instrText xml:space="preserve"> PAGEREF _Toc496183277 \h </w:instrText>
        </w:r>
        <w:r w:rsidR="000274DA">
          <w:rPr>
            <w:noProof/>
            <w:webHidden/>
          </w:rPr>
        </w:r>
        <w:r w:rsidR="000274DA">
          <w:rPr>
            <w:noProof/>
            <w:webHidden/>
          </w:rPr>
          <w:fldChar w:fldCharType="separate"/>
        </w:r>
        <w:r w:rsidR="001F5377">
          <w:rPr>
            <w:noProof/>
            <w:webHidden/>
          </w:rPr>
          <w:t>39</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8" w:history="1">
        <w:r w:rsidR="000274DA" w:rsidRPr="007F5A7B">
          <w:rPr>
            <w:rStyle w:val="Hyperlink"/>
            <w:rFonts w:ascii="VIC SemiBold" w:hAnsi="VIC SemiBold"/>
            <w:noProof/>
          </w:rPr>
          <w:t>4.29</w:t>
        </w:r>
        <w:r w:rsidR="000274DA">
          <w:rPr>
            <w:rFonts w:asciiTheme="minorHAnsi" w:eastAsiaTheme="minorEastAsia" w:hAnsiTheme="minorHAnsi" w:cstheme="minorBidi"/>
            <w:noProof/>
            <w:sz w:val="22"/>
            <w:szCs w:val="22"/>
          </w:rPr>
          <w:tab/>
        </w:r>
        <w:r w:rsidR="000274DA" w:rsidRPr="007F5A7B">
          <w:rPr>
            <w:rStyle w:val="Hyperlink"/>
            <w:noProof/>
          </w:rPr>
          <w:t>Ive, Danica, Nikola and Ljubica Kolceg – Submission 85 (C207)</w:t>
        </w:r>
        <w:r w:rsidR="000274DA">
          <w:rPr>
            <w:noProof/>
            <w:webHidden/>
          </w:rPr>
          <w:tab/>
        </w:r>
        <w:r w:rsidR="000274DA">
          <w:rPr>
            <w:noProof/>
            <w:webHidden/>
          </w:rPr>
          <w:fldChar w:fldCharType="begin"/>
        </w:r>
        <w:r w:rsidR="000274DA">
          <w:rPr>
            <w:noProof/>
            <w:webHidden/>
          </w:rPr>
          <w:instrText xml:space="preserve"> PAGEREF _Toc496183278 \h </w:instrText>
        </w:r>
        <w:r w:rsidR="000274DA">
          <w:rPr>
            <w:noProof/>
            <w:webHidden/>
          </w:rPr>
        </w:r>
        <w:r w:rsidR="000274DA">
          <w:rPr>
            <w:noProof/>
            <w:webHidden/>
          </w:rPr>
          <w:fldChar w:fldCharType="separate"/>
        </w:r>
        <w:r w:rsidR="001F5377">
          <w:rPr>
            <w:noProof/>
            <w:webHidden/>
          </w:rPr>
          <w:t>39</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79" w:history="1">
        <w:r w:rsidR="000274DA" w:rsidRPr="007F5A7B">
          <w:rPr>
            <w:rStyle w:val="Hyperlink"/>
            <w:rFonts w:ascii="VIC SemiBold" w:hAnsi="VIC SemiBold"/>
            <w:noProof/>
          </w:rPr>
          <w:t>4.30</w:t>
        </w:r>
        <w:r w:rsidR="000274DA">
          <w:rPr>
            <w:rFonts w:asciiTheme="minorHAnsi" w:eastAsiaTheme="minorEastAsia" w:hAnsiTheme="minorHAnsi" w:cstheme="minorBidi"/>
            <w:noProof/>
            <w:sz w:val="22"/>
            <w:szCs w:val="22"/>
          </w:rPr>
          <w:tab/>
        </w:r>
        <w:r w:rsidR="000274DA" w:rsidRPr="007F5A7B">
          <w:rPr>
            <w:rStyle w:val="Hyperlink"/>
            <w:noProof/>
          </w:rPr>
          <w:t>National Trust of Australia (Victoria) – Submission 61 (C208)</w:t>
        </w:r>
        <w:r w:rsidR="000274DA">
          <w:rPr>
            <w:noProof/>
            <w:webHidden/>
          </w:rPr>
          <w:tab/>
        </w:r>
        <w:r w:rsidR="000274DA">
          <w:rPr>
            <w:noProof/>
            <w:webHidden/>
          </w:rPr>
          <w:fldChar w:fldCharType="begin"/>
        </w:r>
        <w:r w:rsidR="000274DA">
          <w:rPr>
            <w:noProof/>
            <w:webHidden/>
          </w:rPr>
          <w:instrText xml:space="preserve"> PAGEREF _Toc496183279 \h </w:instrText>
        </w:r>
        <w:r w:rsidR="000274DA">
          <w:rPr>
            <w:noProof/>
            <w:webHidden/>
          </w:rPr>
        </w:r>
        <w:r w:rsidR="000274DA">
          <w:rPr>
            <w:noProof/>
            <w:webHidden/>
          </w:rPr>
          <w:fldChar w:fldCharType="separate"/>
        </w:r>
        <w:r w:rsidR="001F5377">
          <w:rPr>
            <w:noProof/>
            <w:webHidden/>
          </w:rPr>
          <w:t>40</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0" w:history="1">
        <w:r w:rsidR="000274DA" w:rsidRPr="007F5A7B">
          <w:rPr>
            <w:rStyle w:val="Hyperlink"/>
            <w:rFonts w:ascii="VIC SemiBold" w:hAnsi="VIC SemiBold"/>
            <w:noProof/>
          </w:rPr>
          <w:t>4.31</w:t>
        </w:r>
        <w:r w:rsidR="000274DA">
          <w:rPr>
            <w:rFonts w:asciiTheme="minorHAnsi" w:eastAsiaTheme="minorEastAsia" w:hAnsiTheme="minorHAnsi" w:cstheme="minorBidi"/>
            <w:noProof/>
            <w:sz w:val="22"/>
            <w:szCs w:val="22"/>
          </w:rPr>
          <w:tab/>
        </w:r>
        <w:r w:rsidR="000274DA" w:rsidRPr="007F5A7B">
          <w:rPr>
            <w:rStyle w:val="Hyperlink"/>
            <w:noProof/>
          </w:rPr>
          <w:t>Foschia Family – Submission 91 (C208)</w:t>
        </w:r>
        <w:r w:rsidR="000274DA">
          <w:rPr>
            <w:noProof/>
            <w:webHidden/>
          </w:rPr>
          <w:tab/>
        </w:r>
        <w:r w:rsidR="000274DA">
          <w:rPr>
            <w:noProof/>
            <w:webHidden/>
          </w:rPr>
          <w:fldChar w:fldCharType="begin"/>
        </w:r>
        <w:r w:rsidR="000274DA">
          <w:rPr>
            <w:noProof/>
            <w:webHidden/>
          </w:rPr>
          <w:instrText xml:space="preserve"> PAGEREF _Toc496183280 \h </w:instrText>
        </w:r>
        <w:r w:rsidR="000274DA">
          <w:rPr>
            <w:noProof/>
            <w:webHidden/>
          </w:rPr>
        </w:r>
        <w:r w:rsidR="000274DA">
          <w:rPr>
            <w:noProof/>
            <w:webHidden/>
          </w:rPr>
          <w:fldChar w:fldCharType="separate"/>
        </w:r>
        <w:r w:rsidR="001F5377">
          <w:rPr>
            <w:noProof/>
            <w:webHidden/>
          </w:rPr>
          <w:t>42</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1" w:history="1">
        <w:r w:rsidR="000274DA" w:rsidRPr="007F5A7B">
          <w:rPr>
            <w:rStyle w:val="Hyperlink"/>
            <w:rFonts w:ascii="VIC SemiBold" w:hAnsi="VIC SemiBold"/>
            <w:noProof/>
          </w:rPr>
          <w:t>4.32</w:t>
        </w:r>
        <w:r w:rsidR="000274DA">
          <w:rPr>
            <w:rFonts w:asciiTheme="minorHAnsi" w:eastAsiaTheme="minorEastAsia" w:hAnsiTheme="minorHAnsi" w:cstheme="minorBidi"/>
            <w:noProof/>
            <w:sz w:val="22"/>
            <w:szCs w:val="22"/>
          </w:rPr>
          <w:tab/>
        </w:r>
        <w:r w:rsidR="000274DA" w:rsidRPr="007F5A7B">
          <w:rPr>
            <w:rStyle w:val="Hyperlink"/>
            <w:noProof/>
          </w:rPr>
          <w:t>Asia-Pacific Property Pty Ltd – Submission 39 (C207)</w:t>
        </w:r>
        <w:r w:rsidR="000274DA">
          <w:rPr>
            <w:noProof/>
            <w:webHidden/>
          </w:rPr>
          <w:tab/>
        </w:r>
        <w:r w:rsidR="000274DA">
          <w:rPr>
            <w:noProof/>
            <w:webHidden/>
          </w:rPr>
          <w:fldChar w:fldCharType="begin"/>
        </w:r>
        <w:r w:rsidR="000274DA">
          <w:rPr>
            <w:noProof/>
            <w:webHidden/>
          </w:rPr>
          <w:instrText xml:space="preserve"> PAGEREF _Toc496183281 \h </w:instrText>
        </w:r>
        <w:r w:rsidR="000274DA">
          <w:rPr>
            <w:noProof/>
            <w:webHidden/>
          </w:rPr>
        </w:r>
        <w:r w:rsidR="000274DA">
          <w:rPr>
            <w:noProof/>
            <w:webHidden/>
          </w:rPr>
          <w:fldChar w:fldCharType="separate"/>
        </w:r>
        <w:r w:rsidR="001F5377">
          <w:rPr>
            <w:noProof/>
            <w:webHidden/>
          </w:rPr>
          <w:t>42</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2" w:history="1">
        <w:r w:rsidR="000274DA" w:rsidRPr="007F5A7B">
          <w:rPr>
            <w:rStyle w:val="Hyperlink"/>
            <w:rFonts w:ascii="VIC SemiBold" w:hAnsi="VIC SemiBold"/>
            <w:noProof/>
          </w:rPr>
          <w:t>4.33</w:t>
        </w:r>
        <w:r w:rsidR="000274DA">
          <w:rPr>
            <w:rFonts w:asciiTheme="minorHAnsi" w:eastAsiaTheme="minorEastAsia" w:hAnsiTheme="minorHAnsi" w:cstheme="minorBidi"/>
            <w:noProof/>
            <w:sz w:val="22"/>
            <w:szCs w:val="22"/>
          </w:rPr>
          <w:tab/>
        </w:r>
        <w:r w:rsidR="000274DA" w:rsidRPr="007F5A7B">
          <w:rPr>
            <w:rStyle w:val="Hyperlink"/>
            <w:noProof/>
          </w:rPr>
          <w:t>Catholic Education Melbourne – Submission 56 (C207)</w:t>
        </w:r>
        <w:r w:rsidR="000274DA">
          <w:rPr>
            <w:noProof/>
            <w:webHidden/>
          </w:rPr>
          <w:tab/>
        </w:r>
        <w:r w:rsidR="000274DA">
          <w:rPr>
            <w:noProof/>
            <w:webHidden/>
          </w:rPr>
          <w:fldChar w:fldCharType="begin"/>
        </w:r>
        <w:r w:rsidR="000274DA">
          <w:rPr>
            <w:noProof/>
            <w:webHidden/>
          </w:rPr>
          <w:instrText xml:space="preserve"> PAGEREF _Toc496183282 \h </w:instrText>
        </w:r>
        <w:r w:rsidR="000274DA">
          <w:rPr>
            <w:noProof/>
            <w:webHidden/>
          </w:rPr>
        </w:r>
        <w:r w:rsidR="000274DA">
          <w:rPr>
            <w:noProof/>
            <w:webHidden/>
          </w:rPr>
          <w:fldChar w:fldCharType="separate"/>
        </w:r>
        <w:r w:rsidR="001F5377">
          <w:rPr>
            <w:noProof/>
            <w:webHidden/>
          </w:rPr>
          <w:t>42</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3" w:history="1">
        <w:r w:rsidR="000274DA" w:rsidRPr="007F5A7B">
          <w:rPr>
            <w:rStyle w:val="Hyperlink"/>
            <w:rFonts w:ascii="VIC SemiBold" w:hAnsi="VIC SemiBold"/>
            <w:noProof/>
          </w:rPr>
          <w:t>4.34</w:t>
        </w:r>
        <w:r w:rsidR="000274DA">
          <w:rPr>
            <w:rFonts w:asciiTheme="minorHAnsi" w:eastAsiaTheme="minorEastAsia" w:hAnsiTheme="minorHAnsi" w:cstheme="minorBidi"/>
            <w:noProof/>
            <w:sz w:val="22"/>
            <w:szCs w:val="22"/>
          </w:rPr>
          <w:tab/>
        </w:r>
        <w:r w:rsidR="000274DA" w:rsidRPr="007F5A7B">
          <w:rPr>
            <w:rStyle w:val="Hyperlink"/>
            <w:noProof/>
          </w:rPr>
          <w:t>Mr Trevor Dance – Submission 83 (C207) and 84 (C208)</w:t>
        </w:r>
        <w:r w:rsidR="000274DA">
          <w:rPr>
            <w:noProof/>
            <w:webHidden/>
          </w:rPr>
          <w:tab/>
        </w:r>
        <w:r w:rsidR="000274DA">
          <w:rPr>
            <w:noProof/>
            <w:webHidden/>
          </w:rPr>
          <w:fldChar w:fldCharType="begin"/>
        </w:r>
        <w:r w:rsidR="000274DA">
          <w:rPr>
            <w:noProof/>
            <w:webHidden/>
          </w:rPr>
          <w:instrText xml:space="preserve"> PAGEREF _Toc496183283 \h </w:instrText>
        </w:r>
        <w:r w:rsidR="000274DA">
          <w:rPr>
            <w:noProof/>
            <w:webHidden/>
          </w:rPr>
        </w:r>
        <w:r w:rsidR="000274DA">
          <w:rPr>
            <w:noProof/>
            <w:webHidden/>
          </w:rPr>
          <w:fldChar w:fldCharType="separate"/>
        </w:r>
        <w:r w:rsidR="001F5377">
          <w:rPr>
            <w:noProof/>
            <w:webHidden/>
          </w:rPr>
          <w:t>43</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4" w:history="1">
        <w:r w:rsidR="000274DA" w:rsidRPr="007F5A7B">
          <w:rPr>
            <w:rStyle w:val="Hyperlink"/>
            <w:rFonts w:ascii="VIC SemiBold" w:hAnsi="VIC SemiBold"/>
            <w:noProof/>
          </w:rPr>
          <w:t>4.35</w:t>
        </w:r>
        <w:r w:rsidR="000274DA">
          <w:rPr>
            <w:rFonts w:asciiTheme="minorHAnsi" w:eastAsiaTheme="minorEastAsia" w:hAnsiTheme="minorHAnsi" w:cstheme="minorBidi"/>
            <w:noProof/>
            <w:sz w:val="22"/>
            <w:szCs w:val="22"/>
          </w:rPr>
          <w:tab/>
        </w:r>
        <w:r w:rsidR="000274DA" w:rsidRPr="007F5A7B">
          <w:rPr>
            <w:rStyle w:val="Hyperlink"/>
            <w:noProof/>
          </w:rPr>
          <w:t>Mr Doug Manning – Submission 20 (C208)</w:t>
        </w:r>
        <w:r w:rsidR="000274DA">
          <w:rPr>
            <w:noProof/>
            <w:webHidden/>
          </w:rPr>
          <w:tab/>
        </w:r>
        <w:r w:rsidR="000274DA">
          <w:rPr>
            <w:noProof/>
            <w:webHidden/>
          </w:rPr>
          <w:fldChar w:fldCharType="begin"/>
        </w:r>
        <w:r w:rsidR="000274DA">
          <w:rPr>
            <w:noProof/>
            <w:webHidden/>
          </w:rPr>
          <w:instrText xml:space="preserve"> PAGEREF _Toc496183284 \h </w:instrText>
        </w:r>
        <w:r w:rsidR="000274DA">
          <w:rPr>
            <w:noProof/>
            <w:webHidden/>
          </w:rPr>
        </w:r>
        <w:r w:rsidR="000274DA">
          <w:rPr>
            <w:noProof/>
            <w:webHidden/>
          </w:rPr>
          <w:fldChar w:fldCharType="separate"/>
        </w:r>
        <w:r w:rsidR="001F5377">
          <w:rPr>
            <w:noProof/>
            <w:webHidden/>
          </w:rPr>
          <w:t>45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5" w:history="1">
        <w:r w:rsidR="000274DA" w:rsidRPr="007F5A7B">
          <w:rPr>
            <w:rStyle w:val="Hyperlink"/>
            <w:rFonts w:ascii="VIC SemiBold" w:hAnsi="VIC SemiBold"/>
            <w:noProof/>
          </w:rPr>
          <w:t>4.36</w:t>
        </w:r>
        <w:r w:rsidR="000274DA">
          <w:rPr>
            <w:rFonts w:asciiTheme="minorHAnsi" w:eastAsiaTheme="minorEastAsia" w:hAnsiTheme="minorHAnsi" w:cstheme="minorBidi"/>
            <w:noProof/>
            <w:sz w:val="22"/>
            <w:szCs w:val="22"/>
          </w:rPr>
          <w:tab/>
        </w:r>
        <w:r w:rsidR="000274DA" w:rsidRPr="007F5A7B">
          <w:rPr>
            <w:rStyle w:val="Hyperlink"/>
            <w:noProof/>
          </w:rPr>
          <w:t>Mr John McKerrow – Submission 6 (C208)</w:t>
        </w:r>
        <w:r w:rsidR="000274DA">
          <w:rPr>
            <w:noProof/>
            <w:webHidden/>
          </w:rPr>
          <w:tab/>
        </w:r>
        <w:r w:rsidR="000274DA">
          <w:rPr>
            <w:noProof/>
            <w:webHidden/>
          </w:rPr>
          <w:fldChar w:fldCharType="begin"/>
        </w:r>
        <w:r w:rsidR="000274DA">
          <w:rPr>
            <w:noProof/>
            <w:webHidden/>
          </w:rPr>
          <w:instrText xml:space="preserve"> PAGEREF _Toc496183285 \h </w:instrText>
        </w:r>
        <w:r w:rsidR="000274DA">
          <w:rPr>
            <w:noProof/>
            <w:webHidden/>
          </w:rPr>
        </w:r>
        <w:r w:rsidR="000274DA">
          <w:rPr>
            <w:noProof/>
            <w:webHidden/>
          </w:rPr>
          <w:fldChar w:fldCharType="separate"/>
        </w:r>
        <w:r w:rsidR="001F5377">
          <w:rPr>
            <w:noProof/>
            <w:webHidden/>
          </w:rPr>
          <w:t>45</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6" w:history="1">
        <w:r w:rsidR="000274DA" w:rsidRPr="007F5A7B">
          <w:rPr>
            <w:rStyle w:val="Hyperlink"/>
            <w:rFonts w:ascii="VIC SemiBold" w:hAnsi="VIC SemiBold"/>
            <w:noProof/>
          </w:rPr>
          <w:t>4.37</w:t>
        </w:r>
        <w:r w:rsidR="000274DA">
          <w:rPr>
            <w:rFonts w:asciiTheme="minorHAnsi" w:eastAsiaTheme="minorEastAsia" w:hAnsiTheme="minorHAnsi" w:cstheme="minorBidi"/>
            <w:noProof/>
            <w:sz w:val="22"/>
            <w:szCs w:val="22"/>
          </w:rPr>
          <w:tab/>
        </w:r>
        <w:r w:rsidR="000274DA" w:rsidRPr="007F5A7B">
          <w:rPr>
            <w:rStyle w:val="Hyperlink"/>
            <w:noProof/>
          </w:rPr>
          <w:t>Mr Anthony Menhennit – Submission 27 (C208)</w:t>
        </w:r>
        <w:r w:rsidR="000274DA">
          <w:rPr>
            <w:noProof/>
            <w:webHidden/>
          </w:rPr>
          <w:tab/>
        </w:r>
        <w:r w:rsidR="000274DA">
          <w:rPr>
            <w:noProof/>
            <w:webHidden/>
          </w:rPr>
          <w:fldChar w:fldCharType="begin"/>
        </w:r>
        <w:r w:rsidR="000274DA">
          <w:rPr>
            <w:noProof/>
            <w:webHidden/>
          </w:rPr>
          <w:instrText xml:space="preserve"> PAGEREF _Toc496183286 \h </w:instrText>
        </w:r>
        <w:r w:rsidR="000274DA">
          <w:rPr>
            <w:noProof/>
            <w:webHidden/>
          </w:rPr>
        </w:r>
        <w:r w:rsidR="000274DA">
          <w:rPr>
            <w:noProof/>
            <w:webHidden/>
          </w:rPr>
          <w:fldChar w:fldCharType="separate"/>
        </w:r>
        <w:r w:rsidR="001F5377">
          <w:rPr>
            <w:noProof/>
            <w:webHidden/>
          </w:rPr>
          <w:t>46</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7" w:history="1">
        <w:r w:rsidR="000274DA" w:rsidRPr="007F5A7B">
          <w:rPr>
            <w:rStyle w:val="Hyperlink"/>
            <w:rFonts w:ascii="VIC SemiBold" w:hAnsi="VIC SemiBold"/>
            <w:noProof/>
          </w:rPr>
          <w:t>4.38</w:t>
        </w:r>
        <w:r w:rsidR="000274DA">
          <w:rPr>
            <w:rFonts w:asciiTheme="minorHAnsi" w:eastAsiaTheme="minorEastAsia" w:hAnsiTheme="minorHAnsi" w:cstheme="minorBidi"/>
            <w:noProof/>
            <w:sz w:val="22"/>
            <w:szCs w:val="22"/>
          </w:rPr>
          <w:tab/>
        </w:r>
        <w:r w:rsidR="000274DA" w:rsidRPr="007F5A7B">
          <w:rPr>
            <w:rStyle w:val="Hyperlink"/>
            <w:noProof/>
          </w:rPr>
          <w:t>Ms Margaret Gray – Submission 77 (C208)</w:t>
        </w:r>
        <w:r w:rsidR="000274DA">
          <w:rPr>
            <w:noProof/>
            <w:webHidden/>
          </w:rPr>
          <w:tab/>
        </w:r>
        <w:r w:rsidR="000274DA">
          <w:rPr>
            <w:noProof/>
            <w:webHidden/>
          </w:rPr>
          <w:fldChar w:fldCharType="begin"/>
        </w:r>
        <w:r w:rsidR="000274DA">
          <w:rPr>
            <w:noProof/>
            <w:webHidden/>
          </w:rPr>
          <w:instrText xml:space="preserve"> PAGEREF _Toc496183287 \h </w:instrText>
        </w:r>
        <w:r w:rsidR="000274DA">
          <w:rPr>
            <w:noProof/>
            <w:webHidden/>
          </w:rPr>
        </w:r>
        <w:r w:rsidR="000274DA">
          <w:rPr>
            <w:noProof/>
            <w:webHidden/>
          </w:rPr>
          <w:fldChar w:fldCharType="separate"/>
        </w:r>
        <w:r w:rsidR="001F5377">
          <w:rPr>
            <w:noProof/>
            <w:webHidden/>
          </w:rPr>
          <w:t>46</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8" w:history="1">
        <w:r w:rsidR="000274DA" w:rsidRPr="007F5A7B">
          <w:rPr>
            <w:rStyle w:val="Hyperlink"/>
            <w:rFonts w:ascii="VIC SemiBold" w:hAnsi="VIC SemiBold"/>
            <w:noProof/>
          </w:rPr>
          <w:t>4.39</w:t>
        </w:r>
        <w:r w:rsidR="000274DA">
          <w:rPr>
            <w:rFonts w:asciiTheme="minorHAnsi" w:eastAsiaTheme="minorEastAsia" w:hAnsiTheme="minorHAnsi" w:cstheme="minorBidi"/>
            <w:noProof/>
            <w:sz w:val="22"/>
            <w:szCs w:val="22"/>
          </w:rPr>
          <w:tab/>
        </w:r>
        <w:r w:rsidR="000274DA" w:rsidRPr="007F5A7B">
          <w:rPr>
            <w:rStyle w:val="Hyperlink"/>
            <w:noProof/>
          </w:rPr>
          <w:t>Mr Ross and Ms Rosa Mezzatesta – Submission 48 (C207)</w:t>
        </w:r>
        <w:r w:rsidR="000274DA">
          <w:rPr>
            <w:noProof/>
            <w:webHidden/>
          </w:rPr>
          <w:tab/>
        </w:r>
        <w:r w:rsidR="000274DA">
          <w:rPr>
            <w:noProof/>
            <w:webHidden/>
          </w:rPr>
          <w:fldChar w:fldCharType="begin"/>
        </w:r>
        <w:r w:rsidR="000274DA">
          <w:rPr>
            <w:noProof/>
            <w:webHidden/>
          </w:rPr>
          <w:instrText xml:space="preserve"> PAGEREF _Toc496183288 \h </w:instrText>
        </w:r>
        <w:r w:rsidR="000274DA">
          <w:rPr>
            <w:noProof/>
            <w:webHidden/>
          </w:rPr>
        </w:r>
        <w:r w:rsidR="000274DA">
          <w:rPr>
            <w:noProof/>
            <w:webHidden/>
          </w:rPr>
          <w:fldChar w:fldCharType="separate"/>
        </w:r>
        <w:r w:rsidR="001F5377">
          <w:rPr>
            <w:noProof/>
            <w:webHidden/>
          </w:rPr>
          <w:t>46</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89" w:history="1">
        <w:r w:rsidR="000274DA" w:rsidRPr="007F5A7B">
          <w:rPr>
            <w:rStyle w:val="Hyperlink"/>
            <w:rFonts w:ascii="VIC SemiBold" w:hAnsi="VIC SemiBold"/>
            <w:noProof/>
          </w:rPr>
          <w:t>4.40</w:t>
        </w:r>
        <w:r w:rsidR="000274DA">
          <w:rPr>
            <w:rFonts w:asciiTheme="minorHAnsi" w:eastAsiaTheme="minorEastAsia" w:hAnsiTheme="minorHAnsi" w:cstheme="minorBidi"/>
            <w:noProof/>
            <w:sz w:val="22"/>
            <w:szCs w:val="22"/>
          </w:rPr>
          <w:tab/>
        </w:r>
        <w:r w:rsidR="000274DA" w:rsidRPr="007F5A7B">
          <w:rPr>
            <w:rStyle w:val="Hyperlink"/>
            <w:noProof/>
          </w:rPr>
          <w:t>Jacksons Creek EcoNetwork, Friends of Holden Flora Reserve, Friends of Emu Bottom Wetlands – Submission 36 (C207) and 37 (C208)</w:t>
        </w:r>
        <w:r w:rsidR="000274DA">
          <w:rPr>
            <w:noProof/>
            <w:webHidden/>
          </w:rPr>
          <w:tab/>
        </w:r>
        <w:r w:rsidR="000274DA">
          <w:rPr>
            <w:noProof/>
            <w:webHidden/>
          </w:rPr>
          <w:fldChar w:fldCharType="begin"/>
        </w:r>
        <w:r w:rsidR="000274DA">
          <w:rPr>
            <w:noProof/>
            <w:webHidden/>
          </w:rPr>
          <w:instrText xml:space="preserve"> PAGEREF _Toc496183289 \h </w:instrText>
        </w:r>
        <w:r w:rsidR="000274DA">
          <w:rPr>
            <w:noProof/>
            <w:webHidden/>
          </w:rPr>
        </w:r>
        <w:r w:rsidR="000274DA">
          <w:rPr>
            <w:noProof/>
            <w:webHidden/>
          </w:rPr>
          <w:fldChar w:fldCharType="separate"/>
        </w:r>
        <w:r w:rsidR="001F5377">
          <w:rPr>
            <w:noProof/>
            <w:webHidden/>
          </w:rPr>
          <w:t>47</w:t>
        </w:r>
        <w:r w:rsidR="000274DA">
          <w:rPr>
            <w:noProof/>
            <w:webHidden/>
          </w:rPr>
          <w:fldChar w:fldCharType="end"/>
        </w:r>
      </w:hyperlink>
    </w:p>
    <w:p w:rsidR="000274DA" w:rsidRDefault="00A10E6F">
      <w:pPr>
        <w:pStyle w:val="TOC1"/>
        <w:tabs>
          <w:tab w:val="left" w:pos="360"/>
          <w:tab w:val="right" w:leader="dot" w:pos="8488"/>
        </w:tabs>
        <w:rPr>
          <w:rFonts w:asciiTheme="minorHAnsi" w:eastAsiaTheme="minorEastAsia" w:hAnsiTheme="minorHAnsi" w:cstheme="minorBidi"/>
          <w:noProof/>
          <w:sz w:val="22"/>
          <w:szCs w:val="22"/>
        </w:rPr>
      </w:pPr>
      <w:hyperlink w:anchor="_Toc496183290" w:history="1">
        <w:r w:rsidR="000274DA" w:rsidRPr="007F5A7B">
          <w:rPr>
            <w:rStyle w:val="Hyperlink"/>
            <w:rFonts w:ascii="VIC SemiBold" w:hAnsi="VIC SemiBold"/>
            <w:noProof/>
          </w:rPr>
          <w:t>5</w:t>
        </w:r>
        <w:r w:rsidR="000274DA">
          <w:rPr>
            <w:rFonts w:asciiTheme="minorHAnsi" w:eastAsiaTheme="minorEastAsia" w:hAnsiTheme="minorHAnsi" w:cstheme="minorBidi"/>
            <w:noProof/>
            <w:sz w:val="22"/>
            <w:szCs w:val="22"/>
          </w:rPr>
          <w:tab/>
        </w:r>
        <w:r w:rsidR="000274DA" w:rsidRPr="007F5A7B">
          <w:rPr>
            <w:rStyle w:val="Hyperlink"/>
            <w:noProof/>
          </w:rPr>
          <w:t>Submitters not appearing before panel</w:t>
        </w:r>
        <w:r w:rsidR="000274DA">
          <w:rPr>
            <w:noProof/>
            <w:webHidden/>
          </w:rPr>
          <w:tab/>
        </w:r>
        <w:r w:rsidR="000274DA">
          <w:rPr>
            <w:noProof/>
            <w:webHidden/>
          </w:rPr>
          <w:fldChar w:fldCharType="begin"/>
        </w:r>
        <w:r w:rsidR="000274DA">
          <w:rPr>
            <w:noProof/>
            <w:webHidden/>
          </w:rPr>
          <w:instrText xml:space="preserve"> PAGEREF _Toc496183290 \h </w:instrText>
        </w:r>
        <w:r w:rsidR="000274DA">
          <w:rPr>
            <w:noProof/>
            <w:webHidden/>
          </w:rPr>
        </w:r>
        <w:r w:rsidR="000274DA">
          <w:rPr>
            <w:noProof/>
            <w:webHidden/>
          </w:rPr>
          <w:fldChar w:fldCharType="separate"/>
        </w:r>
        <w:r w:rsidR="001F5377">
          <w:rPr>
            <w:noProof/>
            <w:webHidden/>
          </w:rPr>
          <w:t>48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91" w:history="1">
        <w:r w:rsidR="000274DA" w:rsidRPr="007F5A7B">
          <w:rPr>
            <w:rStyle w:val="Hyperlink"/>
            <w:rFonts w:ascii="VIC SemiBold" w:hAnsi="VIC SemiBold"/>
            <w:noProof/>
          </w:rPr>
          <w:t>5.1</w:t>
        </w:r>
        <w:r w:rsidR="000274DA">
          <w:rPr>
            <w:rFonts w:asciiTheme="minorHAnsi" w:eastAsiaTheme="minorEastAsia" w:hAnsiTheme="minorHAnsi" w:cstheme="minorBidi"/>
            <w:noProof/>
            <w:sz w:val="22"/>
            <w:szCs w:val="22"/>
          </w:rPr>
          <w:tab/>
        </w:r>
        <w:r w:rsidR="000274DA" w:rsidRPr="007F5A7B">
          <w:rPr>
            <w:rStyle w:val="Hyperlink"/>
            <w:noProof/>
          </w:rPr>
          <w:t>Marantali Pty Ltd – Submission 18 (C207)</w:t>
        </w:r>
        <w:r w:rsidR="000274DA">
          <w:rPr>
            <w:noProof/>
            <w:webHidden/>
          </w:rPr>
          <w:tab/>
        </w:r>
        <w:r w:rsidR="000274DA">
          <w:rPr>
            <w:noProof/>
            <w:webHidden/>
          </w:rPr>
          <w:fldChar w:fldCharType="begin"/>
        </w:r>
        <w:r w:rsidR="000274DA">
          <w:rPr>
            <w:noProof/>
            <w:webHidden/>
          </w:rPr>
          <w:instrText xml:space="preserve"> PAGEREF _Toc496183291 \h </w:instrText>
        </w:r>
        <w:r w:rsidR="000274DA">
          <w:rPr>
            <w:noProof/>
            <w:webHidden/>
          </w:rPr>
        </w:r>
        <w:r w:rsidR="000274DA">
          <w:rPr>
            <w:noProof/>
            <w:webHidden/>
          </w:rPr>
          <w:fldChar w:fldCharType="separate"/>
        </w:r>
        <w:r w:rsidR="001F5377">
          <w:rPr>
            <w:noProof/>
            <w:webHidden/>
          </w:rPr>
          <w:t>48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92" w:history="1">
        <w:r w:rsidR="000274DA" w:rsidRPr="007F5A7B">
          <w:rPr>
            <w:rStyle w:val="Hyperlink"/>
            <w:rFonts w:ascii="VIC SemiBold" w:hAnsi="VIC SemiBold"/>
            <w:noProof/>
          </w:rPr>
          <w:t>5.2</w:t>
        </w:r>
        <w:r w:rsidR="000274DA">
          <w:rPr>
            <w:rFonts w:asciiTheme="minorHAnsi" w:eastAsiaTheme="minorEastAsia" w:hAnsiTheme="minorHAnsi" w:cstheme="minorBidi"/>
            <w:noProof/>
            <w:sz w:val="22"/>
            <w:szCs w:val="22"/>
          </w:rPr>
          <w:tab/>
        </w:r>
        <w:r w:rsidR="000274DA" w:rsidRPr="007F5A7B">
          <w:rPr>
            <w:rStyle w:val="Hyperlink"/>
            <w:noProof/>
          </w:rPr>
          <w:t>Charles Lloyd Property Group – Submission 88 (C207)</w:t>
        </w:r>
        <w:r w:rsidR="000274DA">
          <w:rPr>
            <w:noProof/>
            <w:webHidden/>
          </w:rPr>
          <w:tab/>
        </w:r>
        <w:r w:rsidR="000274DA">
          <w:rPr>
            <w:noProof/>
            <w:webHidden/>
          </w:rPr>
          <w:fldChar w:fldCharType="begin"/>
        </w:r>
        <w:r w:rsidR="000274DA">
          <w:rPr>
            <w:noProof/>
            <w:webHidden/>
          </w:rPr>
          <w:instrText xml:space="preserve"> PAGEREF _Toc496183292 \h </w:instrText>
        </w:r>
        <w:r w:rsidR="000274DA">
          <w:rPr>
            <w:noProof/>
            <w:webHidden/>
          </w:rPr>
        </w:r>
        <w:r w:rsidR="000274DA">
          <w:rPr>
            <w:noProof/>
            <w:webHidden/>
          </w:rPr>
          <w:fldChar w:fldCharType="separate"/>
        </w:r>
        <w:r w:rsidR="001F5377">
          <w:rPr>
            <w:noProof/>
            <w:webHidden/>
          </w:rPr>
          <w:t>48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93" w:history="1">
        <w:r w:rsidR="000274DA" w:rsidRPr="007F5A7B">
          <w:rPr>
            <w:rStyle w:val="Hyperlink"/>
            <w:rFonts w:ascii="VIC SemiBold" w:hAnsi="VIC SemiBold"/>
            <w:noProof/>
          </w:rPr>
          <w:t>5.3</w:t>
        </w:r>
        <w:r w:rsidR="000274DA">
          <w:rPr>
            <w:rFonts w:asciiTheme="minorHAnsi" w:eastAsiaTheme="minorEastAsia" w:hAnsiTheme="minorHAnsi" w:cstheme="minorBidi"/>
            <w:noProof/>
            <w:sz w:val="22"/>
            <w:szCs w:val="22"/>
          </w:rPr>
          <w:tab/>
        </w:r>
        <w:r w:rsidR="000274DA" w:rsidRPr="007F5A7B">
          <w:rPr>
            <w:rStyle w:val="Hyperlink"/>
            <w:noProof/>
          </w:rPr>
          <w:t>Andraos and Salem – Submission 37 (C207)</w:t>
        </w:r>
        <w:r w:rsidR="000274DA">
          <w:rPr>
            <w:noProof/>
            <w:webHidden/>
          </w:rPr>
          <w:tab/>
        </w:r>
        <w:r w:rsidR="000274DA">
          <w:rPr>
            <w:noProof/>
            <w:webHidden/>
          </w:rPr>
          <w:fldChar w:fldCharType="begin"/>
        </w:r>
        <w:r w:rsidR="000274DA">
          <w:rPr>
            <w:noProof/>
            <w:webHidden/>
          </w:rPr>
          <w:instrText xml:space="preserve"> PAGEREF _Toc496183293 \h </w:instrText>
        </w:r>
        <w:r w:rsidR="000274DA">
          <w:rPr>
            <w:noProof/>
            <w:webHidden/>
          </w:rPr>
        </w:r>
        <w:r w:rsidR="000274DA">
          <w:rPr>
            <w:noProof/>
            <w:webHidden/>
          </w:rPr>
          <w:fldChar w:fldCharType="separate"/>
        </w:r>
        <w:r w:rsidR="001F5377">
          <w:rPr>
            <w:noProof/>
            <w:webHidden/>
          </w:rPr>
          <w:t>48</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94" w:history="1">
        <w:r w:rsidR="000274DA" w:rsidRPr="007F5A7B">
          <w:rPr>
            <w:rStyle w:val="Hyperlink"/>
            <w:rFonts w:ascii="VIC SemiBold" w:hAnsi="VIC SemiBold"/>
            <w:noProof/>
          </w:rPr>
          <w:t>5.4</w:t>
        </w:r>
        <w:r w:rsidR="000274DA">
          <w:rPr>
            <w:rFonts w:asciiTheme="minorHAnsi" w:eastAsiaTheme="minorEastAsia" w:hAnsiTheme="minorHAnsi" w:cstheme="minorBidi"/>
            <w:noProof/>
            <w:sz w:val="22"/>
            <w:szCs w:val="22"/>
          </w:rPr>
          <w:tab/>
        </w:r>
        <w:r w:rsidR="000274DA" w:rsidRPr="007F5A7B">
          <w:rPr>
            <w:rStyle w:val="Hyperlink"/>
            <w:noProof/>
          </w:rPr>
          <w:t>Landowner of 275 Lancefield Road – Submission 93 (C208)</w:t>
        </w:r>
        <w:r w:rsidR="000274DA">
          <w:rPr>
            <w:noProof/>
            <w:webHidden/>
          </w:rPr>
          <w:tab/>
        </w:r>
        <w:r w:rsidR="000274DA">
          <w:rPr>
            <w:noProof/>
            <w:webHidden/>
          </w:rPr>
          <w:fldChar w:fldCharType="begin"/>
        </w:r>
        <w:r w:rsidR="000274DA">
          <w:rPr>
            <w:noProof/>
            <w:webHidden/>
          </w:rPr>
          <w:instrText xml:space="preserve"> PAGEREF _Toc496183294 \h </w:instrText>
        </w:r>
        <w:r w:rsidR="000274DA">
          <w:rPr>
            <w:noProof/>
            <w:webHidden/>
          </w:rPr>
        </w:r>
        <w:r w:rsidR="000274DA">
          <w:rPr>
            <w:noProof/>
            <w:webHidden/>
          </w:rPr>
          <w:fldChar w:fldCharType="separate"/>
        </w:r>
        <w:r w:rsidR="001F5377">
          <w:rPr>
            <w:noProof/>
            <w:webHidden/>
          </w:rPr>
          <w:t>49</w:t>
        </w:r>
        <w:r w:rsidR="000274DA">
          <w:rPr>
            <w:noProof/>
            <w:webHidden/>
          </w:rPr>
          <w:fldChar w:fldCharType="end"/>
        </w:r>
      </w:hyperlink>
    </w:p>
    <w:p w:rsidR="000274DA" w:rsidRDefault="00A10E6F">
      <w:pPr>
        <w:pStyle w:val="TOC2"/>
        <w:tabs>
          <w:tab w:val="right" w:leader="dot" w:pos="8488"/>
        </w:tabs>
        <w:rPr>
          <w:rFonts w:asciiTheme="minorHAnsi" w:eastAsiaTheme="minorEastAsia" w:hAnsiTheme="minorHAnsi" w:cstheme="minorBidi"/>
          <w:noProof/>
          <w:sz w:val="22"/>
          <w:szCs w:val="22"/>
        </w:rPr>
      </w:pPr>
      <w:hyperlink w:anchor="_Toc496183295" w:history="1">
        <w:r w:rsidR="000274DA" w:rsidRPr="007F5A7B">
          <w:rPr>
            <w:rStyle w:val="Hyperlink"/>
            <w:noProof/>
          </w:rPr>
          <w:t>35-65 Fox Hollow Drive – Submission 62 (C207)</w:t>
        </w:r>
        <w:r w:rsidR="000274DA">
          <w:rPr>
            <w:noProof/>
            <w:webHidden/>
          </w:rPr>
          <w:tab/>
        </w:r>
        <w:r w:rsidR="000274DA">
          <w:rPr>
            <w:noProof/>
            <w:webHidden/>
          </w:rPr>
          <w:fldChar w:fldCharType="begin"/>
        </w:r>
        <w:r w:rsidR="000274DA">
          <w:rPr>
            <w:noProof/>
            <w:webHidden/>
          </w:rPr>
          <w:instrText xml:space="preserve"> PAGEREF _Toc496183295 \h </w:instrText>
        </w:r>
        <w:r w:rsidR="000274DA">
          <w:rPr>
            <w:noProof/>
            <w:webHidden/>
          </w:rPr>
        </w:r>
        <w:r w:rsidR="000274DA">
          <w:rPr>
            <w:noProof/>
            <w:webHidden/>
          </w:rPr>
          <w:fldChar w:fldCharType="separate"/>
        </w:r>
        <w:r w:rsidR="001F5377">
          <w:rPr>
            <w:noProof/>
            <w:webHidden/>
          </w:rPr>
          <w:t>49</w:t>
        </w:r>
        <w:r w:rsidR="000274DA">
          <w:rPr>
            <w:noProof/>
            <w:webHidden/>
          </w:rPr>
          <w:fldChar w:fldCharType="end"/>
        </w:r>
      </w:hyperlink>
    </w:p>
    <w:p w:rsidR="000274DA" w:rsidRDefault="00A10E6F">
      <w:pPr>
        <w:pStyle w:val="TOC2"/>
        <w:tabs>
          <w:tab w:val="left" w:pos="880"/>
          <w:tab w:val="right" w:leader="dot" w:pos="8488"/>
        </w:tabs>
        <w:rPr>
          <w:rFonts w:asciiTheme="minorHAnsi" w:eastAsiaTheme="minorEastAsia" w:hAnsiTheme="minorHAnsi" w:cstheme="minorBidi"/>
          <w:noProof/>
          <w:sz w:val="22"/>
          <w:szCs w:val="22"/>
        </w:rPr>
      </w:pPr>
      <w:hyperlink w:anchor="_Toc496183296" w:history="1">
        <w:r w:rsidR="000274DA" w:rsidRPr="007F5A7B">
          <w:rPr>
            <w:rStyle w:val="Hyperlink"/>
            <w:rFonts w:ascii="VIC SemiBold" w:hAnsi="VIC SemiBold"/>
            <w:noProof/>
          </w:rPr>
          <w:t>5.5</w:t>
        </w:r>
        <w:r w:rsidR="000274DA">
          <w:rPr>
            <w:rFonts w:asciiTheme="minorHAnsi" w:eastAsiaTheme="minorEastAsia" w:hAnsiTheme="minorHAnsi" w:cstheme="minorBidi"/>
            <w:noProof/>
            <w:sz w:val="22"/>
            <w:szCs w:val="22"/>
          </w:rPr>
          <w:tab/>
        </w:r>
        <w:r w:rsidR="000274DA" w:rsidRPr="007F5A7B">
          <w:rPr>
            <w:rStyle w:val="Hyperlink"/>
            <w:noProof/>
          </w:rPr>
          <w:t>SB Capital – Submission 56 (C207)</w:t>
        </w:r>
        <w:r w:rsidR="000274DA">
          <w:rPr>
            <w:noProof/>
            <w:webHidden/>
          </w:rPr>
          <w:tab/>
        </w:r>
        <w:r w:rsidR="000274DA">
          <w:rPr>
            <w:noProof/>
            <w:webHidden/>
          </w:rPr>
          <w:fldChar w:fldCharType="begin"/>
        </w:r>
        <w:r w:rsidR="000274DA">
          <w:rPr>
            <w:noProof/>
            <w:webHidden/>
          </w:rPr>
          <w:instrText xml:space="preserve"> PAGEREF _Toc496183296 \h </w:instrText>
        </w:r>
        <w:r w:rsidR="000274DA">
          <w:rPr>
            <w:noProof/>
            <w:webHidden/>
          </w:rPr>
        </w:r>
        <w:r w:rsidR="000274DA">
          <w:rPr>
            <w:noProof/>
            <w:webHidden/>
          </w:rPr>
          <w:fldChar w:fldCharType="separate"/>
        </w:r>
        <w:r w:rsidR="001F5377">
          <w:rPr>
            <w:noProof/>
            <w:webHidden/>
          </w:rPr>
          <w:t>49</w:t>
        </w:r>
        <w:r w:rsidR="000274DA">
          <w:rPr>
            <w:noProof/>
            <w:webHidden/>
          </w:rPr>
          <w:fldChar w:fldCharType="end"/>
        </w:r>
      </w:hyperlink>
    </w:p>
    <w:p w:rsidR="000274DA" w:rsidRDefault="00A10E6F">
      <w:pPr>
        <w:pStyle w:val="TOC2"/>
        <w:tabs>
          <w:tab w:val="right" w:leader="dot" w:pos="8488"/>
        </w:tabs>
        <w:rPr>
          <w:rFonts w:asciiTheme="minorHAnsi" w:eastAsiaTheme="minorEastAsia" w:hAnsiTheme="minorHAnsi" w:cstheme="minorBidi"/>
          <w:noProof/>
          <w:sz w:val="22"/>
          <w:szCs w:val="22"/>
        </w:rPr>
      </w:pPr>
      <w:hyperlink w:anchor="_Toc496183297" w:history="1">
        <w:r w:rsidR="000274DA" w:rsidRPr="007F5A7B">
          <w:rPr>
            <w:rStyle w:val="Hyperlink"/>
            <w:noProof/>
          </w:rPr>
          <w:t>Mr Anthony Stafford – Submission 59 (C208)</w:t>
        </w:r>
        <w:r w:rsidR="000274DA">
          <w:rPr>
            <w:noProof/>
            <w:webHidden/>
          </w:rPr>
          <w:tab/>
        </w:r>
        <w:r w:rsidR="000274DA">
          <w:rPr>
            <w:noProof/>
            <w:webHidden/>
          </w:rPr>
          <w:fldChar w:fldCharType="begin"/>
        </w:r>
        <w:r w:rsidR="000274DA">
          <w:rPr>
            <w:noProof/>
            <w:webHidden/>
          </w:rPr>
          <w:instrText xml:space="preserve"> PAGEREF _Toc496183297 \h </w:instrText>
        </w:r>
        <w:r w:rsidR="000274DA">
          <w:rPr>
            <w:noProof/>
            <w:webHidden/>
          </w:rPr>
        </w:r>
        <w:r w:rsidR="000274DA">
          <w:rPr>
            <w:noProof/>
            <w:webHidden/>
          </w:rPr>
          <w:fldChar w:fldCharType="separate"/>
        </w:r>
        <w:r w:rsidR="001F5377">
          <w:rPr>
            <w:noProof/>
            <w:webHidden/>
          </w:rPr>
          <w:t>49</w:t>
        </w:r>
        <w:r w:rsidR="000274DA">
          <w:rPr>
            <w:noProof/>
            <w:webHidden/>
          </w:rPr>
          <w:fldChar w:fldCharType="end"/>
        </w:r>
      </w:hyperlink>
    </w:p>
    <w:p w:rsidR="000274DA" w:rsidRDefault="00A10E6F">
      <w:pPr>
        <w:pStyle w:val="TOC2"/>
        <w:tabs>
          <w:tab w:val="right" w:leader="dot" w:pos="8488"/>
        </w:tabs>
        <w:rPr>
          <w:rFonts w:asciiTheme="minorHAnsi" w:eastAsiaTheme="minorEastAsia" w:hAnsiTheme="minorHAnsi" w:cstheme="minorBidi"/>
          <w:noProof/>
          <w:sz w:val="22"/>
          <w:szCs w:val="22"/>
        </w:rPr>
      </w:pPr>
      <w:hyperlink w:anchor="_Toc496183298" w:history="1">
        <w:r w:rsidR="000274DA" w:rsidRPr="007F5A7B">
          <w:rPr>
            <w:rStyle w:val="Hyperlink"/>
            <w:noProof/>
          </w:rPr>
          <w:t>Elaine Brogan OAM – Submission 24 (C207) and 17 (C208)</w:t>
        </w:r>
        <w:r w:rsidR="000274DA">
          <w:rPr>
            <w:noProof/>
            <w:webHidden/>
          </w:rPr>
          <w:tab/>
        </w:r>
        <w:r w:rsidR="000274DA">
          <w:rPr>
            <w:noProof/>
            <w:webHidden/>
          </w:rPr>
          <w:fldChar w:fldCharType="begin"/>
        </w:r>
        <w:r w:rsidR="000274DA">
          <w:rPr>
            <w:noProof/>
            <w:webHidden/>
          </w:rPr>
          <w:instrText xml:space="preserve"> PAGEREF _Toc496183298 \h </w:instrText>
        </w:r>
        <w:r w:rsidR="000274DA">
          <w:rPr>
            <w:noProof/>
            <w:webHidden/>
          </w:rPr>
        </w:r>
        <w:r w:rsidR="000274DA">
          <w:rPr>
            <w:noProof/>
            <w:webHidden/>
          </w:rPr>
          <w:fldChar w:fldCharType="separate"/>
        </w:r>
        <w:r w:rsidR="001F5377">
          <w:rPr>
            <w:noProof/>
            <w:webHidden/>
          </w:rPr>
          <w:t>49</w:t>
        </w:r>
        <w:r w:rsidR="000274DA">
          <w:rPr>
            <w:noProof/>
            <w:webHidden/>
          </w:rPr>
          <w:fldChar w:fldCharType="end"/>
        </w:r>
      </w:hyperlink>
    </w:p>
    <w:p w:rsidR="000274DA" w:rsidRDefault="00A10E6F">
      <w:pPr>
        <w:pStyle w:val="TOC2"/>
        <w:tabs>
          <w:tab w:val="right" w:leader="dot" w:pos="8488"/>
        </w:tabs>
        <w:rPr>
          <w:rFonts w:asciiTheme="minorHAnsi" w:eastAsiaTheme="minorEastAsia" w:hAnsiTheme="minorHAnsi" w:cstheme="minorBidi"/>
          <w:noProof/>
          <w:sz w:val="22"/>
          <w:szCs w:val="22"/>
        </w:rPr>
      </w:pPr>
      <w:hyperlink w:anchor="_Toc496183299" w:history="1">
        <w:r w:rsidR="000274DA" w:rsidRPr="007F5A7B">
          <w:rPr>
            <w:rStyle w:val="Hyperlink"/>
            <w:noProof/>
          </w:rPr>
          <w:t>Mr Amit Khairajani – Submission 9 (C207)</w:t>
        </w:r>
        <w:r w:rsidR="000274DA">
          <w:rPr>
            <w:noProof/>
            <w:webHidden/>
          </w:rPr>
          <w:tab/>
        </w:r>
        <w:r w:rsidR="000274DA">
          <w:rPr>
            <w:noProof/>
            <w:webHidden/>
          </w:rPr>
          <w:fldChar w:fldCharType="begin"/>
        </w:r>
        <w:r w:rsidR="000274DA">
          <w:rPr>
            <w:noProof/>
            <w:webHidden/>
          </w:rPr>
          <w:instrText xml:space="preserve"> PAGEREF _Toc496183299 \h </w:instrText>
        </w:r>
        <w:r w:rsidR="000274DA">
          <w:rPr>
            <w:noProof/>
            <w:webHidden/>
          </w:rPr>
        </w:r>
        <w:r w:rsidR="000274DA">
          <w:rPr>
            <w:noProof/>
            <w:webHidden/>
          </w:rPr>
          <w:fldChar w:fldCharType="separate"/>
        </w:r>
        <w:r w:rsidR="001F5377">
          <w:rPr>
            <w:noProof/>
            <w:webHidden/>
          </w:rPr>
          <w:t>49</w:t>
        </w:r>
        <w:r w:rsidR="000274DA">
          <w:rPr>
            <w:noProof/>
            <w:webHidden/>
          </w:rPr>
          <w:fldChar w:fldCharType="end"/>
        </w:r>
      </w:hyperlink>
    </w:p>
    <w:p w:rsidR="000274DA" w:rsidRDefault="00A10E6F">
      <w:pPr>
        <w:pStyle w:val="TOC1"/>
        <w:tabs>
          <w:tab w:val="left" w:pos="360"/>
          <w:tab w:val="right" w:leader="dot" w:pos="8488"/>
        </w:tabs>
        <w:rPr>
          <w:rFonts w:asciiTheme="minorHAnsi" w:eastAsiaTheme="minorEastAsia" w:hAnsiTheme="minorHAnsi" w:cstheme="minorBidi"/>
          <w:noProof/>
          <w:sz w:val="22"/>
          <w:szCs w:val="22"/>
        </w:rPr>
      </w:pPr>
      <w:hyperlink w:anchor="_Toc496183300" w:history="1">
        <w:r w:rsidR="000274DA" w:rsidRPr="007F5A7B">
          <w:rPr>
            <w:rStyle w:val="Hyperlink"/>
            <w:rFonts w:ascii="VIC SemiBold" w:hAnsi="VIC SemiBold"/>
            <w:noProof/>
          </w:rPr>
          <w:t>6</w:t>
        </w:r>
        <w:r w:rsidR="000274DA">
          <w:rPr>
            <w:rFonts w:asciiTheme="minorHAnsi" w:eastAsiaTheme="minorEastAsia" w:hAnsiTheme="minorHAnsi" w:cstheme="minorBidi"/>
            <w:noProof/>
            <w:sz w:val="22"/>
            <w:szCs w:val="22"/>
          </w:rPr>
          <w:tab/>
        </w:r>
        <w:r w:rsidR="000274DA" w:rsidRPr="007F5A7B">
          <w:rPr>
            <w:rStyle w:val="Hyperlink"/>
            <w:noProof/>
          </w:rPr>
          <w:t>Appendices</w:t>
        </w:r>
        <w:r w:rsidR="000274DA">
          <w:rPr>
            <w:noProof/>
            <w:webHidden/>
          </w:rPr>
          <w:tab/>
        </w:r>
        <w:r w:rsidR="000274DA">
          <w:rPr>
            <w:noProof/>
            <w:webHidden/>
          </w:rPr>
          <w:fldChar w:fldCharType="begin"/>
        </w:r>
        <w:r w:rsidR="000274DA">
          <w:rPr>
            <w:noProof/>
            <w:webHidden/>
          </w:rPr>
          <w:instrText xml:space="preserve"> PAGEREF _Toc496183300 \h </w:instrText>
        </w:r>
        <w:r w:rsidR="000274DA">
          <w:rPr>
            <w:noProof/>
            <w:webHidden/>
          </w:rPr>
        </w:r>
        <w:r w:rsidR="000274DA">
          <w:rPr>
            <w:noProof/>
            <w:webHidden/>
          </w:rPr>
          <w:fldChar w:fldCharType="separate"/>
        </w:r>
        <w:r w:rsidR="001F5377">
          <w:rPr>
            <w:noProof/>
            <w:webHidden/>
          </w:rPr>
          <w:t>50</w:t>
        </w:r>
        <w:r w:rsidR="000274DA">
          <w:rPr>
            <w:noProof/>
            <w:webHidden/>
          </w:rPr>
          <w:fldChar w:fldCharType="end"/>
        </w:r>
      </w:hyperlink>
    </w:p>
    <w:p w:rsidR="00937364" w:rsidRDefault="00937364" w:rsidP="00C74D4A">
      <w:pPr>
        <w:pStyle w:val="HeadingContents"/>
      </w:pPr>
      <w:r>
        <w:rPr>
          <w:rFonts w:ascii="Calibri" w:hAnsi="Calibri"/>
          <w:sz w:val="22"/>
          <w:lang w:val="en-US" w:eastAsia="en-AU"/>
        </w:rPr>
        <w:fldChar w:fldCharType="end"/>
      </w:r>
    </w:p>
    <w:p w:rsidR="00937364" w:rsidRPr="00A116B6" w:rsidRDefault="00937364" w:rsidP="00937364">
      <w:pPr>
        <w:rPr>
          <w:i/>
          <w:vanish/>
          <w:color w:val="9CA0A3" w:themeColor="accent4"/>
          <w:lang w:val="en-US" w:eastAsia="en-US"/>
        </w:rPr>
      </w:pPr>
      <w:r w:rsidRPr="00A116B6">
        <w:rPr>
          <w:i/>
          <w:vanish/>
          <w:color w:val="9CA0A3" w:themeColor="accent4"/>
          <w:lang w:val="en-US" w:eastAsia="en-US"/>
        </w:rPr>
        <w:t>Second page for table &amp; content overflow</w:t>
      </w:r>
    </w:p>
    <w:p w:rsidR="00937364" w:rsidRPr="00D035FF" w:rsidRDefault="00937364" w:rsidP="00937364">
      <w:pPr>
        <w:rPr>
          <w:vanish/>
          <w:color w:val="9CA0A3" w:themeColor="accent4"/>
          <w:lang w:val="en-US" w:eastAsia="en-US"/>
        </w:rPr>
      </w:pPr>
      <w:r w:rsidRPr="00D035FF">
        <w:rPr>
          <w:vanish/>
          <w:color w:val="9CA0A3" w:themeColor="accent4"/>
          <w:lang w:val="en-US" w:eastAsia="en-US"/>
        </w:rPr>
        <w:t xml:space="preserve">(leave section break for pagination) </w:t>
      </w:r>
    </w:p>
    <w:p w:rsidR="00937364" w:rsidRDefault="00937364" w:rsidP="00937364"/>
    <w:p w:rsidR="00937364" w:rsidRDefault="00937364" w:rsidP="00987CB7">
      <w:pPr>
        <w:sectPr w:rsidR="00937364" w:rsidSect="00337B9D">
          <w:headerReference w:type="even" r:id="rId9"/>
          <w:headerReference w:type="default" r:id="rId10"/>
          <w:footerReference w:type="even" r:id="rId11"/>
          <w:footerReference w:type="default" r:id="rId12"/>
          <w:pgSz w:w="11901" w:h="16846" w:code="9"/>
          <w:pgMar w:top="1701" w:right="1418" w:bottom="851" w:left="1985" w:header="284" w:footer="0" w:gutter="0"/>
          <w:cols w:space="720"/>
          <w:docGrid w:linePitch="299"/>
        </w:sectPr>
      </w:pPr>
    </w:p>
    <w:p w:rsidR="00937364" w:rsidRPr="009F44C7" w:rsidRDefault="00FE25CF" w:rsidP="00937364">
      <w:pPr>
        <w:pStyle w:val="Heading1"/>
        <w:spacing w:line="240" w:lineRule="auto"/>
      </w:pPr>
      <w:bookmarkStart w:id="1" w:name="_Toc496183233"/>
      <w:r>
        <w:t>Introduction</w:t>
      </w:r>
      <w:bookmarkEnd w:id="1"/>
    </w:p>
    <w:p w:rsidR="00FE25CF" w:rsidRDefault="00FE25CF" w:rsidP="007B2637">
      <w:pPr>
        <w:rPr>
          <w:lang w:eastAsia="en-US"/>
        </w:rPr>
      </w:pPr>
      <w:bookmarkStart w:id="2" w:name="_Toc491417209"/>
      <w:r>
        <w:rPr>
          <w:lang w:eastAsia="en-US"/>
        </w:rPr>
        <w:t>These closing submissions are made on behalf of the Victorian Planning Authority (</w:t>
      </w:r>
      <w:r w:rsidRPr="00A06589">
        <w:rPr>
          <w:b/>
          <w:lang w:eastAsia="en-US"/>
        </w:rPr>
        <w:t>VPA</w:t>
      </w:r>
      <w:r>
        <w:rPr>
          <w:lang w:eastAsia="en-US"/>
        </w:rPr>
        <w:t xml:space="preserve">) </w:t>
      </w:r>
      <w:r w:rsidR="008963E3">
        <w:rPr>
          <w:lang w:eastAsia="en-US"/>
        </w:rPr>
        <w:t xml:space="preserve">to </w:t>
      </w:r>
      <w:r>
        <w:rPr>
          <w:lang w:eastAsia="en-US"/>
        </w:rPr>
        <w:t xml:space="preserve">the Panel hearing considering Amendment C207 and C208 to the Hume Planning Scheme, the Sunbury South and Lancefield Road PSPs. </w:t>
      </w:r>
    </w:p>
    <w:p w:rsidR="00FE25CF" w:rsidRDefault="00FE25CF" w:rsidP="007B2637">
      <w:pPr>
        <w:rPr>
          <w:lang w:eastAsia="en-US"/>
        </w:rPr>
      </w:pPr>
      <w:r>
        <w:rPr>
          <w:lang w:eastAsia="en-US"/>
        </w:rPr>
        <w:t xml:space="preserve">The Panel is in receipt of over 30 expert testimonies and submissions in respect of discrete matters concerning the amendments. </w:t>
      </w:r>
      <w:r w:rsidR="007B2637">
        <w:rPr>
          <w:lang w:eastAsia="en-US"/>
        </w:rPr>
        <w:t>T</w:t>
      </w:r>
      <w:r>
        <w:rPr>
          <w:lang w:eastAsia="en-US"/>
        </w:rPr>
        <w:t>here is strong support for the amendments and their general form. These closing submissions highlight areas where:</w:t>
      </w:r>
    </w:p>
    <w:p w:rsidR="00FE25CF" w:rsidRDefault="00FE25CF" w:rsidP="007B2637">
      <w:pPr>
        <w:pStyle w:val="List1bullet"/>
      </w:pPr>
      <w:r>
        <w:t xml:space="preserve">There exists outstanding further information; </w:t>
      </w:r>
    </w:p>
    <w:p w:rsidR="00FE25CF" w:rsidRDefault="00FE25CF" w:rsidP="007B2637">
      <w:pPr>
        <w:pStyle w:val="List1bullet"/>
      </w:pPr>
      <w:r>
        <w:t xml:space="preserve">Further information is required to supplement or alter the position of the VPA following receipt of evidence and submissions; or </w:t>
      </w:r>
    </w:p>
    <w:p w:rsidR="00FE25CF" w:rsidRDefault="00FE25CF" w:rsidP="007B2637">
      <w:pPr>
        <w:pStyle w:val="List1bullet"/>
      </w:pPr>
      <w:r>
        <w:t xml:space="preserve">New issues or positions have emerged. </w:t>
      </w:r>
    </w:p>
    <w:p w:rsidR="00180990" w:rsidRDefault="00180990" w:rsidP="00180990"/>
    <w:p w:rsidR="00180990" w:rsidRDefault="00180990" w:rsidP="00180990">
      <w:pPr>
        <w:pStyle w:val="Heading1"/>
      </w:pPr>
      <w:bookmarkStart w:id="3" w:name="_Toc496183234"/>
      <w:r>
        <w:t>Panel Queries Arising through the Hearing</w:t>
      </w:r>
      <w:bookmarkEnd w:id="3"/>
    </w:p>
    <w:p w:rsidR="00180990" w:rsidRDefault="00C74D4A" w:rsidP="00180990">
      <w:pPr>
        <w:rPr>
          <w:lang w:eastAsia="en-US"/>
        </w:rPr>
      </w:pPr>
      <w:r>
        <w:rPr>
          <w:lang w:eastAsia="en-US"/>
        </w:rPr>
        <w:t xml:space="preserve">Throughout the Panel hearing the Panel have made a number of queries to the VPA. Most of these are addressed through responses to submissions later, however there are a number of discreet matters that we will address below. </w:t>
      </w:r>
    </w:p>
    <w:p w:rsidR="00180990" w:rsidRDefault="00180990" w:rsidP="00180990">
      <w:pPr>
        <w:rPr>
          <w:rFonts w:ascii="VIC" w:hAnsi="VIC" w:cs="Arial"/>
          <w:color w:val="005EA1" w:themeColor="accent1"/>
          <w:sz w:val="22"/>
          <w:szCs w:val="22"/>
          <w:lang w:eastAsia="en-US"/>
        </w:rPr>
      </w:pPr>
      <w:r>
        <w:rPr>
          <w:rFonts w:ascii="VIC" w:hAnsi="VIC" w:cs="Arial"/>
          <w:color w:val="005EA1" w:themeColor="accent1"/>
          <w:sz w:val="22"/>
          <w:szCs w:val="22"/>
          <w:lang w:eastAsia="en-US"/>
        </w:rPr>
        <w:t xml:space="preserve">Restrictive </w:t>
      </w:r>
      <w:r w:rsidRPr="00180990">
        <w:rPr>
          <w:rFonts w:ascii="VIC" w:hAnsi="VIC" w:cs="Arial"/>
          <w:color w:val="005EA1" w:themeColor="accent1"/>
          <w:sz w:val="22"/>
          <w:szCs w:val="22"/>
          <w:lang w:eastAsia="en-US"/>
        </w:rPr>
        <w:t>Covenants</w:t>
      </w:r>
    </w:p>
    <w:p w:rsidR="0000726E" w:rsidRDefault="008963E3" w:rsidP="0000726E">
      <w:pPr>
        <w:pStyle w:val="List1bullet"/>
        <w:numPr>
          <w:ilvl w:val="0"/>
          <w:numId w:val="0"/>
        </w:numPr>
        <w:rPr>
          <w:lang w:val="en-US"/>
        </w:rPr>
      </w:pPr>
      <w:r>
        <w:rPr>
          <w:lang w:val="en-US"/>
        </w:rPr>
        <w:t>The P</w:t>
      </w:r>
      <w:r w:rsidR="0000726E">
        <w:rPr>
          <w:lang w:val="en-US"/>
        </w:rPr>
        <w:t xml:space="preserve">anel has requested that the VPA provide confirmation that Development Victoria do not oppose the removal of the restrictive covenants in Stockwell Drive in the Balbethan estate. </w:t>
      </w:r>
    </w:p>
    <w:p w:rsidR="0000726E" w:rsidRDefault="008963E3" w:rsidP="0000726E">
      <w:pPr>
        <w:pStyle w:val="List1bullet"/>
        <w:numPr>
          <w:ilvl w:val="0"/>
          <w:numId w:val="0"/>
        </w:numPr>
        <w:rPr>
          <w:lang w:val="en-US"/>
        </w:rPr>
      </w:pPr>
      <w:r>
        <w:rPr>
          <w:lang w:val="en-US"/>
        </w:rPr>
        <w:t>Enclosed in the P</w:t>
      </w:r>
      <w:r w:rsidR="0000726E">
        <w:rPr>
          <w:lang w:val="en-US"/>
        </w:rPr>
        <w:t xml:space="preserve">anel’s materials is written confirmation of this fact. </w:t>
      </w:r>
      <w:r>
        <w:rPr>
          <w:lang w:val="en-US"/>
        </w:rPr>
        <w:t>The VPA now considers that the P</w:t>
      </w:r>
      <w:r w:rsidR="0000726E">
        <w:rPr>
          <w:lang w:val="en-US"/>
        </w:rPr>
        <w:t xml:space="preserve">anel is in receipt of sufficient information concerning the strategic justification and the interests of affected persons to found a recommendation by it that the covenants </w:t>
      </w:r>
      <w:r w:rsidR="001F5377">
        <w:rPr>
          <w:lang w:val="en-US"/>
        </w:rPr>
        <w:t>ought to</w:t>
      </w:r>
      <w:r w:rsidR="0000726E">
        <w:rPr>
          <w:lang w:val="en-US"/>
        </w:rPr>
        <w:t xml:space="preserve"> be removed.</w:t>
      </w:r>
    </w:p>
    <w:p w:rsidR="00180990" w:rsidRDefault="00180990" w:rsidP="00180990">
      <w:r>
        <w:t>A letter from Development Victoria is containe</w:t>
      </w:r>
      <w:r w:rsidRPr="00C74D4A">
        <w:t xml:space="preserve">d in </w:t>
      </w:r>
      <w:r w:rsidR="00C74D4A" w:rsidRPr="00C74D4A">
        <w:t>Appendix 1</w:t>
      </w:r>
      <w:r w:rsidRPr="00C74D4A">
        <w:t xml:space="preserve"> which confirms their position that they have no opposition to the removal of the restrictive covenants from these T</w:t>
      </w:r>
      <w:r>
        <w:t xml:space="preserve">itles. </w:t>
      </w:r>
    </w:p>
    <w:p w:rsidR="00180990" w:rsidRDefault="005224E6" w:rsidP="00180990">
      <w:pPr>
        <w:rPr>
          <w:rFonts w:ascii="VIC" w:hAnsi="VIC" w:cs="Arial"/>
          <w:color w:val="005EA1" w:themeColor="accent1"/>
          <w:sz w:val="22"/>
          <w:szCs w:val="22"/>
          <w:lang w:eastAsia="en-US"/>
        </w:rPr>
      </w:pPr>
      <w:r>
        <w:rPr>
          <w:rFonts w:ascii="VIC" w:hAnsi="VIC" w:cs="Arial"/>
          <w:color w:val="005EA1" w:themeColor="accent1"/>
          <w:sz w:val="22"/>
          <w:szCs w:val="22"/>
          <w:lang w:eastAsia="en-US"/>
        </w:rPr>
        <w:t>Infrastructure Contributions towards existing facilities</w:t>
      </w:r>
    </w:p>
    <w:p w:rsidR="00B02AB2" w:rsidRDefault="00B02AB2" w:rsidP="00180990">
      <w:r w:rsidRPr="00B02AB2">
        <w:t xml:space="preserve">The </w:t>
      </w:r>
      <w:r w:rsidR="005224E6">
        <w:t xml:space="preserve">Panel queried whether the Infrastructure Contributions Plan framework allows for the delivery of sports fields outside of the precinct. </w:t>
      </w:r>
    </w:p>
    <w:p w:rsidR="002727C3" w:rsidRDefault="002727C3" w:rsidP="002727C3">
      <w:r>
        <w:t>The VPA confirm that the ICP does have the ability to fund the improvement of sports fields outside of the precinct if there is a nexus shown between the facility and the new community. In other words, works on sporting fields outside the precinct can be funded through the ICP, provided there are clear plans for the scope of such works, and a clear nexus between those works and the new community within the precinct that the ICP will apply to.</w:t>
      </w:r>
    </w:p>
    <w:p w:rsidR="002727C3" w:rsidRDefault="002727C3" w:rsidP="002727C3">
      <w:r>
        <w:t>In the instance of the East Sunbury sporting grounds at Goonawarra, it is understood that these have been substantially developed, and that Hume City Council do not propose further improvements to service the new community in the Lancefield Road PSP. It is therefore not proposed to fund improvement works through the ICP.</w:t>
      </w:r>
    </w:p>
    <w:p w:rsidR="0000726E" w:rsidRPr="00CC34EE" w:rsidRDefault="00F2026B" w:rsidP="00180990">
      <w:pPr>
        <w:rPr>
          <w:rFonts w:ascii="VIC" w:hAnsi="VIC" w:cs="Arial"/>
          <w:color w:val="005EA1" w:themeColor="accent1"/>
          <w:sz w:val="22"/>
          <w:szCs w:val="22"/>
          <w:lang w:eastAsia="en-US"/>
        </w:rPr>
      </w:pPr>
      <w:r w:rsidRPr="00CC34EE">
        <w:rPr>
          <w:rFonts w:ascii="VIC" w:hAnsi="VIC" w:cs="Arial"/>
          <w:color w:val="005EA1" w:themeColor="accent1"/>
          <w:sz w:val="22"/>
          <w:szCs w:val="22"/>
          <w:lang w:eastAsia="en-US"/>
        </w:rPr>
        <w:t>Town Centre Concept Plans – Mixed Use</w:t>
      </w:r>
    </w:p>
    <w:p w:rsidR="00F2026B" w:rsidRDefault="00F2026B" w:rsidP="00180990">
      <w:r>
        <w:t xml:space="preserve">The Panel queried the use of the term </w:t>
      </w:r>
      <w:r w:rsidR="00CC34EE">
        <w:t xml:space="preserve">‘mixed use’ on a number of the town centre concept plans, and queried whether this implied that mixed use zoning would be applied to these sites. </w:t>
      </w:r>
    </w:p>
    <w:p w:rsidR="00CC34EE" w:rsidRDefault="00CC34EE" w:rsidP="00180990">
      <w:r>
        <w:t xml:space="preserve">The VPA clarify that the intent of these areas is to show where it is envisaged that residences will be appropriately located above commercial and retail uses at the ground floor. The applied zone will be Commercial 1 Zone, consistent with the rest of the town centre. </w:t>
      </w:r>
    </w:p>
    <w:p w:rsidR="00CC34EE" w:rsidRDefault="00CC34EE" w:rsidP="00180990">
      <w:r>
        <w:t xml:space="preserve">The VPA will amend the town centre concept plans for the legend to read “Residential above commercial / retail” rather than “mixed use”. </w:t>
      </w:r>
    </w:p>
    <w:p w:rsidR="00CC34EE" w:rsidRDefault="00CC34EE" w:rsidP="00CC34EE">
      <w:pPr>
        <w:rPr>
          <w:rFonts w:ascii="VIC" w:hAnsi="VIC" w:cs="Arial"/>
          <w:color w:val="005EA1" w:themeColor="accent1"/>
          <w:sz w:val="22"/>
          <w:szCs w:val="22"/>
          <w:lang w:eastAsia="en-US"/>
        </w:rPr>
      </w:pPr>
      <w:r w:rsidRPr="00CC34EE">
        <w:rPr>
          <w:rFonts w:ascii="VIC" w:hAnsi="VIC" w:cs="Arial"/>
          <w:color w:val="005EA1" w:themeColor="accent1"/>
          <w:sz w:val="22"/>
          <w:szCs w:val="22"/>
          <w:lang w:eastAsia="en-US"/>
        </w:rPr>
        <w:t>Terramatrix Bushfire Report</w:t>
      </w:r>
    </w:p>
    <w:p w:rsidR="00806FDB" w:rsidRDefault="00806FDB" w:rsidP="00CC34EE">
      <w:r w:rsidRPr="00C74D4A">
        <w:t xml:space="preserve">The </w:t>
      </w:r>
      <w:r w:rsidR="00C74D4A" w:rsidRPr="00C74D4A">
        <w:t>VPA and Hume City Council have jointly engaged Terramatrix to undertake a Bushfire assessment of the two precincts. The</w:t>
      </w:r>
      <w:r w:rsidR="00C74D4A">
        <w:t xml:space="preserve"> VPA had been hopeful of being able to provide this assessment to the Panel during the hearing, however it is not yet finalised. </w:t>
      </w:r>
    </w:p>
    <w:p w:rsidR="00C74D4A" w:rsidRDefault="00C74D4A" w:rsidP="00CC34EE">
      <w:r>
        <w:t xml:space="preserve">The VPA’s position on bushfire risk is still as outlined in Section 10 of the Part B Submission – Site Specific Issues, and do not consider that the report will have any impact upon the requirements and guidelines within the PSP. </w:t>
      </w:r>
    </w:p>
    <w:p w:rsidR="008963E3" w:rsidRPr="00806FDB" w:rsidRDefault="008963E3" w:rsidP="00CC34EE">
      <w:r>
        <w:t>The VPA is accepting of the recommendation that the ultimate report is received and considered prior to gazettal.</w:t>
      </w:r>
    </w:p>
    <w:bookmarkEnd w:id="2"/>
    <w:p w:rsidR="009124B2" w:rsidRDefault="009124B2" w:rsidP="009124B2"/>
    <w:p w:rsidR="009124B2" w:rsidRDefault="009124B2" w:rsidP="009124B2">
      <w:pPr>
        <w:pStyle w:val="Heading1"/>
      </w:pPr>
      <w:bookmarkStart w:id="4" w:name="_Toc496183235"/>
      <w:r>
        <w:t>Key Issues</w:t>
      </w:r>
      <w:bookmarkEnd w:id="4"/>
    </w:p>
    <w:p w:rsidR="00BD0BD8" w:rsidRPr="00374326" w:rsidRDefault="00BD0BD8" w:rsidP="000079DA">
      <w:pPr>
        <w:pStyle w:val="Heading2"/>
      </w:pPr>
      <w:bookmarkStart w:id="5" w:name="_Toc496183236"/>
      <w:r w:rsidRPr="00374326">
        <w:t>Northern Jacksons Creek Crossing</w:t>
      </w:r>
      <w:bookmarkEnd w:id="5"/>
    </w:p>
    <w:p w:rsidR="00374326" w:rsidRDefault="00374326" w:rsidP="00374326">
      <w:r>
        <w:t>The Panel has heard a range of submissions in relation to the Northern Jacksons Creek Crossing, and the VPA provided a supplementary submission on the Northern Crossing on 21 September 2017 (Tabled Document 110). This supplementary submission specifically addressed the strategic transport need for the crossing, visual impact considerations, and the refinement of the preliminary design to minimise impact on the Racecourse Road 96A subdivision application.</w:t>
      </w:r>
    </w:p>
    <w:p w:rsidR="00374326" w:rsidRDefault="00374326" w:rsidP="00374326">
      <w:r>
        <w:t xml:space="preserve">The VPA do not intend in closing to revisit all of the matters addressed in this document and opening submissions, but rather to address a number of matters as they relate to the Northern Crossing that have been raised over the latter part of the Panel Hearing. </w:t>
      </w:r>
    </w:p>
    <w:p w:rsidR="00240A75" w:rsidRPr="00240A75" w:rsidRDefault="00240A75" w:rsidP="00240A75">
      <w:pPr>
        <w:rPr>
          <w:rFonts w:ascii="VIC" w:hAnsi="VIC" w:cs="Arial"/>
          <w:color w:val="005EA1" w:themeColor="accent1"/>
          <w:sz w:val="22"/>
          <w:szCs w:val="22"/>
          <w:lang w:eastAsia="en-US"/>
        </w:rPr>
      </w:pPr>
      <w:r w:rsidRPr="00240A75">
        <w:rPr>
          <w:rFonts w:ascii="VIC" w:hAnsi="VIC" w:cs="Arial"/>
          <w:color w:val="005EA1" w:themeColor="accent1"/>
          <w:sz w:val="22"/>
          <w:szCs w:val="22"/>
          <w:lang w:eastAsia="en-US"/>
        </w:rPr>
        <w:t>Gradient of Bridge</w:t>
      </w:r>
    </w:p>
    <w:p w:rsidR="00240A75" w:rsidRDefault="00240A75" w:rsidP="00240A75">
      <w:pPr>
        <w:rPr>
          <w:lang w:val="en-US"/>
        </w:rPr>
      </w:pPr>
      <w:r>
        <w:rPr>
          <w:lang w:val="en-US"/>
        </w:rPr>
        <w:t xml:space="preserve">The Hume City Council has expressed a concern regarding the gradient on the proposed northern crossing of Jackson's Creek. </w:t>
      </w:r>
    </w:p>
    <w:p w:rsidR="00240A75" w:rsidRDefault="00240A75" w:rsidP="00240A75">
      <w:pPr>
        <w:rPr>
          <w:lang w:val="en-US"/>
        </w:rPr>
      </w:pPr>
      <w:r>
        <w:rPr>
          <w:lang w:val="en-US"/>
        </w:rPr>
        <w:t>Mr Steve Hunt of Ratio Consultants provided traffic evidence in relation to the gradient on the bridge. It was his evidence that the gradient on the bridge is acceptable from both the perspective of cyclists and of public transport n</w:t>
      </w:r>
      <w:r w:rsidR="008963E3">
        <w:rPr>
          <w:lang w:val="en-US"/>
        </w:rPr>
        <w:t>eeds. The question before this P</w:t>
      </w:r>
      <w:r>
        <w:rPr>
          <w:lang w:val="en-US"/>
        </w:rPr>
        <w:t>anel is not one of whether the detailed design is acce</w:t>
      </w:r>
      <w:r w:rsidR="008963E3">
        <w:rPr>
          <w:lang w:val="en-US"/>
        </w:rPr>
        <w:t>ptable for there is none. This P</w:t>
      </w:r>
      <w:r>
        <w:rPr>
          <w:lang w:val="en-US"/>
        </w:rPr>
        <w:t xml:space="preserve">anel must determine whether or not there are any matters that would entirely stop or render inappropriate the northern crossing. It was Mr Hunt's clear evidence that none exist on the material available and that safety </w:t>
      </w:r>
      <w:r w:rsidR="008963E3">
        <w:rPr>
          <w:lang w:val="en-US"/>
        </w:rPr>
        <w:t>implications</w:t>
      </w:r>
      <w:r>
        <w:rPr>
          <w:lang w:val="en-US"/>
        </w:rPr>
        <w:t xml:space="preserve"> associated with gradient is a matter for detailed design in the future when this long-term infrastructure item is in fact delivered.</w:t>
      </w:r>
    </w:p>
    <w:p w:rsidR="00240A75" w:rsidRPr="00240A75" w:rsidRDefault="00240A75" w:rsidP="00240A75">
      <w:pPr>
        <w:rPr>
          <w:rFonts w:ascii="VIC" w:hAnsi="VIC" w:cs="Arial"/>
          <w:color w:val="005EA1" w:themeColor="accent1"/>
          <w:sz w:val="22"/>
          <w:szCs w:val="22"/>
          <w:lang w:eastAsia="en-US"/>
        </w:rPr>
      </w:pPr>
      <w:r w:rsidRPr="00240A75">
        <w:rPr>
          <w:rFonts w:ascii="VIC" w:hAnsi="VIC" w:cs="Arial"/>
          <w:color w:val="005EA1" w:themeColor="accent1"/>
          <w:sz w:val="22"/>
          <w:szCs w:val="22"/>
          <w:lang w:eastAsia="en-US"/>
        </w:rPr>
        <w:t>Visual Impact</w:t>
      </w:r>
    </w:p>
    <w:p w:rsidR="008963E3" w:rsidRDefault="008963E3" w:rsidP="00240A75">
      <w:pPr>
        <w:rPr>
          <w:lang w:val="en-US"/>
        </w:rPr>
      </w:pPr>
      <w:r>
        <w:rPr>
          <w:lang w:val="en-US"/>
        </w:rPr>
        <w:t>Various submitters have expressed concern regarding the visual impact of this infrastructure. The P</w:t>
      </w:r>
      <w:r w:rsidR="00240A75">
        <w:rPr>
          <w:lang w:val="en-US"/>
        </w:rPr>
        <w:t>anel has the benefit of evidence from Mr Czarny and Mr Murphy concerning assessment of the visual impact of the bridge on the Ja</w:t>
      </w:r>
      <w:r>
        <w:rPr>
          <w:lang w:val="en-US"/>
        </w:rPr>
        <w:t>cksons Creek environments. The P</w:t>
      </w:r>
      <w:r w:rsidR="00240A75">
        <w:rPr>
          <w:lang w:val="en-US"/>
        </w:rPr>
        <w:t xml:space="preserve">anel now also has the benefit of the work undertaken by GTA </w:t>
      </w:r>
      <w:r>
        <w:rPr>
          <w:lang w:val="en-US"/>
        </w:rPr>
        <w:t xml:space="preserve">(Document III) </w:t>
      </w:r>
      <w:r w:rsidR="00240A75">
        <w:rPr>
          <w:lang w:val="en-US"/>
        </w:rPr>
        <w:t xml:space="preserve">to identify the proposed crossing location which indicated clearly that in selecting a crossing point visual impact has been considered. </w:t>
      </w:r>
    </w:p>
    <w:p w:rsidR="00240A75" w:rsidRDefault="00240A75" w:rsidP="00240A75">
      <w:pPr>
        <w:rPr>
          <w:lang w:val="en-US"/>
        </w:rPr>
      </w:pPr>
      <w:r>
        <w:rPr>
          <w:lang w:val="en-US"/>
        </w:rPr>
        <w:t>Both Mr Czarny and Mr Murphy agree that the time for undertaking a visual impact assessment is the time when there in fact exists a proposed bridge structure that can be assessed and its environs. Both also agree that the appropriate environs is the environs at that time which the VPA submits will include the Sherwood Heights estate.</w:t>
      </w:r>
    </w:p>
    <w:p w:rsidR="00240A75" w:rsidRDefault="00240A75" w:rsidP="00240A75">
      <w:pPr>
        <w:rPr>
          <w:lang w:val="en-US"/>
        </w:rPr>
      </w:pPr>
      <w:r>
        <w:rPr>
          <w:lang w:val="en-US"/>
        </w:rPr>
        <w:t>The VPA maintains its position that it is not necessary for the PSP to include requirements or guidelines concerning the need for a visual impact assessment of the bridge when designed as the PSP does not include design parameters for other funded ICP items and in the context the need for a sensitive design and visual assessment thereof is fundamentally self-evident.</w:t>
      </w:r>
    </w:p>
    <w:p w:rsidR="00240A75" w:rsidRPr="00240A75" w:rsidRDefault="00240A75" w:rsidP="00240A75">
      <w:pPr>
        <w:rPr>
          <w:rFonts w:ascii="VIC" w:hAnsi="VIC" w:cs="Arial"/>
          <w:color w:val="005EA1" w:themeColor="accent1"/>
          <w:sz w:val="22"/>
          <w:szCs w:val="22"/>
          <w:lang w:eastAsia="en-US"/>
        </w:rPr>
      </w:pPr>
      <w:r w:rsidRPr="00240A75">
        <w:rPr>
          <w:rFonts w:ascii="VIC" w:hAnsi="VIC" w:cs="Arial"/>
          <w:color w:val="005EA1" w:themeColor="accent1"/>
          <w:sz w:val="22"/>
          <w:szCs w:val="22"/>
          <w:lang w:eastAsia="en-US"/>
        </w:rPr>
        <w:t>Settlement Road Creek Crossing</w:t>
      </w:r>
    </w:p>
    <w:p w:rsidR="00240A75" w:rsidRDefault="00240A75" w:rsidP="00240A75">
      <w:r w:rsidRPr="00742CB0">
        <w:t>Mr Trevor Dance</w:t>
      </w:r>
      <w:r>
        <w:t xml:space="preserve"> submitted that the Northern Crossing may not be a strategically necessary part of the growth area transport network, on the basis that a creek crossing already exists at Settlement Road to the north. </w:t>
      </w:r>
    </w:p>
    <w:p w:rsidR="00240A75" w:rsidRPr="009452C9" w:rsidRDefault="00240A75" w:rsidP="00240A75">
      <w:pPr>
        <w:rPr>
          <w:color w:val="FFC000"/>
        </w:rPr>
      </w:pPr>
      <w:r>
        <w:t>The Jacksons Creek bridge at Settlement Road is a single lane structure, and the road itself leading up the bridge is a crushed rock, rural road. It would require expensive upgrades to accommodate any increase in traffic volumes.</w:t>
      </w:r>
    </w:p>
    <w:p w:rsidR="00240A75" w:rsidRDefault="00240A75" w:rsidP="00240A75">
      <w:pPr>
        <w:rPr>
          <w:lang w:val="en-US"/>
        </w:rPr>
      </w:pPr>
      <w:r>
        <w:rPr>
          <w:lang w:val="en-US"/>
        </w:rPr>
        <w:t xml:space="preserve">The VPA has considered the alternative northern crossing proposed by Mr Dance. Settlement Road is in the far north of the area and traverses an area within the </w:t>
      </w:r>
      <w:r w:rsidR="008963E3">
        <w:rPr>
          <w:lang w:val="en-US"/>
        </w:rPr>
        <w:t>Green Wedge Zone</w:t>
      </w:r>
      <w:r>
        <w:rPr>
          <w:lang w:val="en-US"/>
        </w:rPr>
        <w:t xml:space="preserve">. Using Google Earth the VPA has undertaken a rudimentary assessment of the distance from Lancefield Road to the Sunbury town centre via Settlement Road. It is noted that there </w:t>
      </w:r>
      <w:r w:rsidR="008963E3">
        <w:rPr>
          <w:lang w:val="en-US"/>
        </w:rPr>
        <w:t>is no direct extension between R</w:t>
      </w:r>
      <w:r>
        <w:rPr>
          <w:lang w:val="en-US"/>
        </w:rPr>
        <w:t xml:space="preserve">acecourse Road </w:t>
      </w:r>
      <w:r w:rsidR="008963E3">
        <w:rPr>
          <w:lang w:val="en-US"/>
        </w:rPr>
        <w:t>and S</w:t>
      </w:r>
      <w:r>
        <w:rPr>
          <w:lang w:val="en-US"/>
        </w:rPr>
        <w:t>ettlement Road and that therefore it is necessary to travel some way north west to reach Settlement Road.</w:t>
      </w:r>
    </w:p>
    <w:p w:rsidR="00240A75" w:rsidRDefault="00240A75" w:rsidP="00240A75">
      <w:r>
        <w:t>The Settlement Road crossing is located approximately 4km from the northern boundary of the Sunbury North PSP (and hence from the UGB). Further it is located over 7km north of the proposed Yellow Gum local town centre, and in excess of 10km north of the current Jacksons Creek crossing at Sunbury Road. A journey from the northern boundary of the Sunbury North PSP to the Sunbury Town Centre via Settlement Road would be approximately 21km</w:t>
      </w:r>
      <w:r w:rsidR="00BA7F2F">
        <w:t>.</w:t>
      </w:r>
      <w:r>
        <w:t xml:space="preserve"> </w:t>
      </w:r>
      <w:r w:rsidR="00BA7F2F">
        <w:rPr>
          <w:lang w:val="en-US"/>
        </w:rPr>
        <w:t>This analysis is depicted on the diagrams below.</w:t>
      </w:r>
    </w:p>
    <w:p w:rsidR="00240A75" w:rsidRDefault="00240A75" w:rsidP="00240A75">
      <w:r>
        <w:t>The VPA do not consider that the Settlement Road creek crossing can provide any reasonable transport utility for future residents within the Sunbury growth area.</w:t>
      </w:r>
    </w:p>
    <w:p w:rsidR="00240A75" w:rsidRDefault="00240A75" w:rsidP="00240A75">
      <w:pPr>
        <w:rPr>
          <w:rFonts w:cs="Arial"/>
          <w:color w:val="000000"/>
          <w:sz w:val="20"/>
          <w:szCs w:val="20"/>
          <w:lang w:val="en-US"/>
        </w:rPr>
      </w:pPr>
      <w:r>
        <w:rPr>
          <w:rFonts w:cs="Arial"/>
          <w:noProof/>
          <w:color w:val="000000"/>
          <w:sz w:val="20"/>
          <w:szCs w:val="20"/>
        </w:rPr>
        <w:drawing>
          <wp:anchor distT="0" distB="0" distL="114300" distR="114300" simplePos="0" relativeHeight="251663360" behindDoc="0" locked="0" layoutInCell="1" allowOverlap="1">
            <wp:simplePos x="0" y="0"/>
            <wp:positionH relativeFrom="margin">
              <wp:posOffset>146304</wp:posOffset>
            </wp:positionH>
            <wp:positionV relativeFrom="paragraph">
              <wp:posOffset>124460</wp:posOffset>
            </wp:positionV>
            <wp:extent cx="4940300" cy="3825240"/>
            <wp:effectExtent l="0" t="0" r="0" b="3810"/>
            <wp:wrapSquare wrapText="bothSides"/>
            <wp:docPr id="5" name="Picture 5" descr="cid:image002.png@01D348B5.5808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48B5.5808847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940300"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r>
        <w:rPr>
          <w:rFonts w:cs="Arial"/>
          <w:noProof/>
          <w:color w:val="000000"/>
          <w:sz w:val="20"/>
          <w:szCs w:val="20"/>
        </w:rPr>
        <w:drawing>
          <wp:anchor distT="0" distB="0" distL="114300" distR="114300" simplePos="0" relativeHeight="251660288" behindDoc="0" locked="0" layoutInCell="1" allowOverlap="1">
            <wp:simplePos x="0" y="0"/>
            <wp:positionH relativeFrom="margin">
              <wp:posOffset>-263347</wp:posOffset>
            </wp:positionH>
            <wp:positionV relativeFrom="paragraph">
              <wp:posOffset>1068959</wp:posOffset>
            </wp:positionV>
            <wp:extent cx="2702560" cy="2860040"/>
            <wp:effectExtent l="0" t="0" r="2540" b="0"/>
            <wp:wrapSquare wrapText="bothSides"/>
            <wp:docPr id="4" name="Picture 4" descr="cid:image003.png@01D348B5.5808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48B5.5808847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0256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240A75">
      <w:pPr>
        <w:rPr>
          <w:rFonts w:cs="Arial"/>
          <w:color w:val="000000"/>
          <w:sz w:val="20"/>
          <w:szCs w:val="20"/>
          <w:lang w:val="en-US"/>
        </w:rPr>
      </w:pPr>
    </w:p>
    <w:p w:rsidR="00240A75" w:rsidRDefault="00240A75" w:rsidP="00374326"/>
    <w:p w:rsidR="00240A75" w:rsidRDefault="00240A75" w:rsidP="00374326"/>
    <w:p w:rsidR="00240A75" w:rsidRDefault="00240A75" w:rsidP="00374326">
      <w:pPr>
        <w:rPr>
          <w:rFonts w:ascii="VIC" w:hAnsi="VIC" w:cs="Arial"/>
          <w:color w:val="005EA1" w:themeColor="accent1"/>
          <w:sz w:val="22"/>
          <w:szCs w:val="22"/>
          <w:lang w:eastAsia="en-US"/>
        </w:rPr>
      </w:pPr>
    </w:p>
    <w:p w:rsidR="00240A75" w:rsidRDefault="00240A75" w:rsidP="00374326">
      <w:pPr>
        <w:rPr>
          <w:rFonts w:ascii="VIC" w:hAnsi="VIC" w:cs="Arial"/>
          <w:color w:val="005EA1" w:themeColor="accent1"/>
          <w:sz w:val="22"/>
          <w:szCs w:val="22"/>
          <w:lang w:eastAsia="en-US"/>
        </w:rPr>
      </w:pPr>
    </w:p>
    <w:p w:rsidR="00240A75" w:rsidRDefault="00240A75" w:rsidP="00374326">
      <w:pPr>
        <w:rPr>
          <w:rFonts w:ascii="VIC" w:hAnsi="VIC" w:cs="Arial"/>
          <w:color w:val="005EA1" w:themeColor="accent1"/>
          <w:sz w:val="22"/>
          <w:szCs w:val="22"/>
          <w:lang w:eastAsia="en-US"/>
        </w:rPr>
      </w:pPr>
    </w:p>
    <w:p w:rsidR="00240A75" w:rsidRDefault="00240A75" w:rsidP="00374326">
      <w:pPr>
        <w:rPr>
          <w:rFonts w:ascii="VIC" w:hAnsi="VIC" w:cs="Arial"/>
          <w:color w:val="005EA1" w:themeColor="accent1"/>
          <w:sz w:val="22"/>
          <w:szCs w:val="22"/>
          <w:lang w:eastAsia="en-US"/>
        </w:rPr>
      </w:pPr>
    </w:p>
    <w:p w:rsidR="00240A75" w:rsidRDefault="00240A75" w:rsidP="00374326">
      <w:pPr>
        <w:rPr>
          <w:rFonts w:ascii="VIC" w:hAnsi="VIC" w:cs="Arial"/>
          <w:color w:val="005EA1" w:themeColor="accent1"/>
          <w:sz w:val="22"/>
          <w:szCs w:val="22"/>
          <w:lang w:eastAsia="en-US"/>
        </w:rPr>
      </w:pPr>
    </w:p>
    <w:p w:rsidR="00240A75" w:rsidRDefault="00240A75" w:rsidP="00374326">
      <w:pPr>
        <w:rPr>
          <w:rFonts w:ascii="VIC" w:hAnsi="VIC" w:cs="Arial"/>
          <w:color w:val="005EA1" w:themeColor="accent1"/>
          <w:sz w:val="22"/>
          <w:szCs w:val="22"/>
          <w:lang w:eastAsia="en-US"/>
        </w:rPr>
      </w:pPr>
    </w:p>
    <w:p w:rsidR="00BA7F2F" w:rsidRDefault="00BA7F2F" w:rsidP="00374326">
      <w:pPr>
        <w:rPr>
          <w:rFonts w:ascii="VIC" w:hAnsi="VIC" w:cs="Arial"/>
          <w:color w:val="005EA1" w:themeColor="accent1"/>
          <w:sz w:val="22"/>
          <w:szCs w:val="22"/>
          <w:lang w:eastAsia="en-US"/>
        </w:rPr>
      </w:pPr>
    </w:p>
    <w:p w:rsidR="00374326" w:rsidRPr="00240A75" w:rsidRDefault="00374326" w:rsidP="00374326">
      <w:pPr>
        <w:rPr>
          <w:rFonts w:ascii="VIC" w:hAnsi="VIC" w:cs="Arial"/>
          <w:color w:val="005EA1" w:themeColor="accent1"/>
          <w:sz w:val="22"/>
          <w:szCs w:val="22"/>
          <w:lang w:eastAsia="en-US"/>
        </w:rPr>
      </w:pPr>
      <w:r w:rsidRPr="00240A75">
        <w:rPr>
          <w:rFonts w:ascii="VIC" w:hAnsi="VIC" w:cs="Arial"/>
          <w:color w:val="005EA1" w:themeColor="accent1"/>
          <w:sz w:val="22"/>
          <w:szCs w:val="22"/>
          <w:lang w:eastAsia="en-US"/>
        </w:rPr>
        <w:t>Sunningdale Avenue/Francis Boulevard connection</w:t>
      </w:r>
    </w:p>
    <w:p w:rsidR="00374326" w:rsidRDefault="00374326" w:rsidP="00374326">
      <w:r>
        <w:t xml:space="preserve">Mr Neil Isles submitted the VPA Supplementary Submission on the Northern Jacksons Creek Crossing misrepresented the existing road network, as an alternative shorter connection between north-eastern Sunbury and the Sunbury Town Centre already exists. </w:t>
      </w:r>
    </w:p>
    <w:p w:rsidR="00374326" w:rsidRDefault="00374326" w:rsidP="00374326">
      <w:r>
        <w:t xml:space="preserve">The VPA agrees that this connection, via Sunningdale Avenue and Francis Boulevard, would represent a logical ‘short cut’ between the north-eastern part of the Sunbury growth area and the Sunbury town centre under current conditions, as it is approximate 1.5km shorter than the equivalent journey via the Lancefield Road/Sunbury Road intersection. </w:t>
      </w:r>
    </w:p>
    <w:p w:rsidR="00374326" w:rsidRDefault="00374326" w:rsidP="00374326">
      <w:r>
        <w:t>The VPA submits however, that both Sunningdale Avenue and Francis Boulevard are ‘connector roads’. They are not designed to accommodate the traffic volumes that can reasonably be expected with the development of the Lancefield Road and future Sunbury North precinct. Nor would it be appropriate to expect these volumes to be accommodated, given their role in providing local access to existing communities.</w:t>
      </w:r>
    </w:p>
    <w:p w:rsidR="00374326" w:rsidRDefault="00374326" w:rsidP="00374326">
      <w:r>
        <w:t xml:space="preserve">The strategic transport modelling undertaken by GTA Consultants on behalf of the VPA as part of the preparation of the PSPs indicates that Francis Boulevard is currently experiencing daily volumes of around 8,000 vehicles immediately north of Sunbury Road, and around 6,000 vehicles immediately south of Sunningdale Avenue. These figures already </w:t>
      </w:r>
      <w:r w:rsidR="008963E3">
        <w:t>approach</w:t>
      </w:r>
      <w:r>
        <w:t xml:space="preserve"> the theoretical capacity of a connector road, and the VPA considers that as connector roads, there is limited additional to accommodate the planned growth to the north-east of Sunbury.</w:t>
      </w:r>
    </w:p>
    <w:p w:rsidR="00315482" w:rsidRPr="00315482" w:rsidRDefault="00315482" w:rsidP="00315482">
      <w:pPr>
        <w:pStyle w:val="Heading2"/>
      </w:pPr>
      <w:bookmarkStart w:id="6" w:name="_Toc496183237"/>
      <w:r>
        <w:t>Southern Jacksons Creek Crossing</w:t>
      </w:r>
      <w:bookmarkEnd w:id="6"/>
    </w:p>
    <w:p w:rsidR="00347642" w:rsidRDefault="00347642" w:rsidP="00347642">
      <w:r>
        <w:t>The Panel has heard from a range of submitters as to the strategic importance of the delivery of the southern crossing to the Jacksons Creek.</w:t>
      </w:r>
    </w:p>
    <w:p w:rsidR="00347642" w:rsidRDefault="00347642" w:rsidP="00347642">
      <w:r>
        <w:t>The VPA agrees with these submitters, and much of the evidence before the Panel, that the early delivery of the southern crossing (as part of a package of works providing a connection between Sunbury Road and the Calder Freeway) provides critical network capacity to support the earliest stages of development. This is particularly true if the Bulla Bypass and associated upgrades to Sunbury Road are not delivered over the short term.</w:t>
      </w:r>
    </w:p>
    <w:p w:rsidR="00347642" w:rsidRDefault="00347642" w:rsidP="00347642">
      <w:r>
        <w:t>The VPA is also satisfied that, having regard for the likely development staging and associated roll out of ICP-funded projects, there should be sufficient capacity to deliver that part of the Southern Link connecting Sunbury Road to the Calder Freeway within 25% build-out of the two precincts. It is appropriate that the PSPs appropriately reflect this strategic objective.</w:t>
      </w:r>
    </w:p>
    <w:p w:rsidR="00347642" w:rsidRDefault="00347642" w:rsidP="00347642">
      <w:r>
        <w:t>The VPA also agrees with Council, however, that the relative strategic priority of the southern creek crossing will shift in the event that an early commitment to Bulla Bypass/Sunbury Road upgrades is made. Whilst the southern crossing will still form a critically important connection within the Growth Area, the regional network capacity it provides may not be required prior to 25% development of the precincts in the event that this additional capacity is provided in the Sunbury Road corridor. The PSPs should equally reflect the potential for circumstances regarding the delivery of this project to change.</w:t>
      </w:r>
    </w:p>
    <w:p w:rsidR="00347642" w:rsidRPr="00347642" w:rsidRDefault="00347642" w:rsidP="00347642">
      <w:pPr>
        <w:rPr>
          <w:rFonts w:ascii="VIC" w:hAnsi="VIC" w:cs="Arial"/>
          <w:color w:val="005EA1" w:themeColor="accent1"/>
          <w:sz w:val="22"/>
          <w:szCs w:val="22"/>
          <w:lang w:eastAsia="en-US"/>
        </w:rPr>
      </w:pPr>
      <w:r w:rsidRPr="00347642">
        <w:rPr>
          <w:rFonts w:ascii="VIC" w:hAnsi="VIC" w:cs="Arial"/>
          <w:color w:val="005EA1" w:themeColor="accent1"/>
          <w:sz w:val="22"/>
          <w:szCs w:val="22"/>
          <w:lang w:eastAsia="en-US"/>
        </w:rPr>
        <w:t>PSP Recognition of Priority for the Southern Crossing</w:t>
      </w:r>
    </w:p>
    <w:p w:rsidR="00347642" w:rsidRDefault="00347642" w:rsidP="00347642">
      <w:r>
        <w:t>In their further submission to the Panel of 17 October 2017, Capitol Projects set out a package of PSP changes to give strategic recognition to the potential need to prioritise early delivery of the Southern Link (at section 2.6 of the submission).</w:t>
      </w:r>
    </w:p>
    <w:p w:rsidR="00347642" w:rsidRDefault="00347642" w:rsidP="00347642">
      <w:r>
        <w:t>The VPA has not been able to fully review these proposed additions to the PSP.  Based upon a preliminary assessment, however, they seem to be a relatively measured and clear way of illustrating the strategic importance of the early delivery of this project, having regard for the potential for priorities to shift through the early delivery of the Bulla Bypass/Sunbury Road upgrade.</w:t>
      </w:r>
    </w:p>
    <w:p w:rsidR="00347642" w:rsidRDefault="00347642" w:rsidP="00347642">
      <w:r>
        <w:t xml:space="preserve">The VPA would </w:t>
      </w:r>
      <w:r w:rsidR="008963E3">
        <w:t>question</w:t>
      </w:r>
      <w:r>
        <w:t xml:space="preserve"> the statutory effect of the proposed new Requirement (R61), given the principle role of the PSP in providing guidance to Council in the consideration of planning permit applications. In any event, the VPA would urge caution in adopting these provisions without further consideration, particularly given the need for mandatory compliance with Requirements within PSPs.</w:t>
      </w:r>
    </w:p>
    <w:p w:rsidR="00347642" w:rsidRDefault="00347642" w:rsidP="00347642">
      <w:r>
        <w:t>The VPA submits that the Panel should recommend that the principle of greater priority for the early delivery of the Southern Crossing should be expanded within the PSP, and that the VPA should engage with Hume City Council and relevant landowner stakeholders to define an appropriate package of PSP additions.</w:t>
      </w:r>
    </w:p>
    <w:p w:rsidR="00585A2E" w:rsidRPr="00AD0140" w:rsidRDefault="00585A2E" w:rsidP="00585A2E">
      <w:pPr>
        <w:pStyle w:val="Heading2"/>
      </w:pPr>
      <w:bookmarkStart w:id="7" w:name="_Toc496183238"/>
      <w:r w:rsidRPr="00AD0140">
        <w:t>Racecourse Road Controls</w:t>
      </w:r>
      <w:bookmarkEnd w:id="7"/>
    </w:p>
    <w:p w:rsidR="00F36BA4" w:rsidRPr="00AD0140" w:rsidRDefault="00F36BA4" w:rsidP="00F36BA4">
      <w:pPr>
        <w:rPr>
          <w:lang w:eastAsia="en-US"/>
        </w:rPr>
      </w:pPr>
      <w:r w:rsidRPr="00AD0140">
        <w:rPr>
          <w:lang w:eastAsia="en-US"/>
        </w:rPr>
        <w:t>In response to submissions and to assist the assessment of housing design guidelines required under the Urban Growth Zone, the VPA tabled proposed design controls on 2 August 2017 for the land on Racecourse Road west of Jacksons Creek. The controls generally sought a development outcome that would ensure a suitable response to the site’s setting and its high visibility from adjacent open space areas. The controls envisaged the application of conventional development management techniques including setbacks, height and site coverage controls and landscaping.</w:t>
      </w:r>
    </w:p>
    <w:p w:rsidR="00F36BA4" w:rsidRPr="00AD0140" w:rsidRDefault="00F36BA4" w:rsidP="00F36BA4">
      <w:pPr>
        <w:rPr>
          <w:lang w:eastAsia="en-US"/>
        </w:rPr>
      </w:pPr>
      <w:r w:rsidRPr="00AD0140">
        <w:rPr>
          <w:lang w:eastAsia="en-US"/>
        </w:rPr>
        <w:t>On 21 September 2017, the owner of the land and permit applicant, Villawood Properties submitted an analysis and response of VPA’s proposal and proposed their own changes as well as a draft ‘Sherwood Heights Design Guidelines, September 2017’.</w:t>
      </w:r>
    </w:p>
    <w:p w:rsidR="00F36BA4" w:rsidRPr="00AD0140" w:rsidRDefault="00F36BA4" w:rsidP="00F36BA4">
      <w:pPr>
        <w:rPr>
          <w:lang w:eastAsia="en-US"/>
        </w:rPr>
      </w:pPr>
      <w:r w:rsidRPr="00AD0140">
        <w:rPr>
          <w:lang w:eastAsia="en-US"/>
        </w:rPr>
        <w:t xml:space="preserve">The VPA considers Villawood’s response, informed by an analysis of the practical implications of the </w:t>
      </w:r>
      <w:r w:rsidR="008963E3">
        <w:rPr>
          <w:lang w:eastAsia="en-US"/>
        </w:rPr>
        <w:t xml:space="preserve">VPA </w:t>
      </w:r>
      <w:r w:rsidRPr="00AD0140">
        <w:rPr>
          <w:lang w:eastAsia="en-US"/>
        </w:rPr>
        <w:t>proposed controls, to be generally acceptable with some exceptions. Noting that a further meeting is to be held today between VPA and Villawood Properties’ designers to refine the controls, the VPA currently suggest the following changes based on the Villawood Properties response:</w:t>
      </w:r>
    </w:p>
    <w:p w:rsidR="00F36BA4" w:rsidRPr="00AD0140" w:rsidRDefault="00F36BA4" w:rsidP="00F36BA4">
      <w:pPr>
        <w:pStyle w:val="List1bullet"/>
        <w:rPr>
          <w:lang w:eastAsia="en-US"/>
        </w:rPr>
      </w:pPr>
      <w:r w:rsidRPr="00AD0140">
        <w:rPr>
          <w:lang w:eastAsia="en-US"/>
        </w:rPr>
        <w:t>Maintain a maximum building heights of 8m, with up to 9m on &gt;5% slope;</w:t>
      </w:r>
    </w:p>
    <w:p w:rsidR="00F36BA4" w:rsidRPr="00AD0140" w:rsidRDefault="00F36BA4" w:rsidP="00F36BA4">
      <w:pPr>
        <w:pStyle w:val="List1bullet"/>
        <w:rPr>
          <w:lang w:eastAsia="en-US"/>
        </w:rPr>
      </w:pPr>
      <w:r w:rsidRPr="00AD0140">
        <w:rPr>
          <w:lang w:eastAsia="en-US"/>
        </w:rPr>
        <w:t>On lots 18m or greater in width increase the 1.2m side setback to 1.5m to achieve, when combined with the 3m setback on the other side, a possible 4.5m setback between some dwellings maximising the potential for the establishment and growth of canopy trees between buildings;</w:t>
      </w:r>
    </w:p>
    <w:p w:rsidR="00F36BA4" w:rsidRPr="00AD0140" w:rsidRDefault="00F36BA4" w:rsidP="00F36BA4">
      <w:pPr>
        <w:pStyle w:val="List1bullet"/>
        <w:rPr>
          <w:lang w:eastAsia="en-US"/>
        </w:rPr>
      </w:pPr>
      <w:r w:rsidRPr="00AD0140">
        <w:rPr>
          <w:lang w:eastAsia="en-US"/>
        </w:rPr>
        <w:t>On lots less than 18m in width increase side setbacks to 1m on one side and 2m on the other side to maintain visual separation between buildings.</w:t>
      </w:r>
    </w:p>
    <w:p w:rsidR="00F36BA4" w:rsidRPr="00AD0140" w:rsidRDefault="00F36BA4" w:rsidP="00F36BA4">
      <w:pPr>
        <w:pStyle w:val="List1bullet"/>
        <w:rPr>
          <w:lang w:eastAsia="en-US"/>
        </w:rPr>
      </w:pPr>
      <w:r w:rsidRPr="00AD0140">
        <w:rPr>
          <w:lang w:eastAsia="en-US"/>
        </w:rPr>
        <w:t>On lots less than 18m in width some provision for building insets from side setbacks to provide spaces open to the sky e.g. no more than a certain percentage of a side wall may extend to the nominated setback.</w:t>
      </w:r>
    </w:p>
    <w:p w:rsidR="00F36BA4" w:rsidRPr="00AD0140" w:rsidRDefault="00F36BA4" w:rsidP="00F36BA4">
      <w:pPr>
        <w:pStyle w:val="List1bullet"/>
        <w:rPr>
          <w:lang w:eastAsia="en-US"/>
        </w:rPr>
      </w:pPr>
      <w:r w:rsidRPr="00AD0140">
        <w:rPr>
          <w:lang w:eastAsia="en-US"/>
        </w:rPr>
        <w:t>The 50% site coverage maximum remains in place so that on lots less than 18m in width will not take up all of the setbacks.</w:t>
      </w:r>
    </w:p>
    <w:p w:rsidR="00F36BA4" w:rsidRPr="00AD0140" w:rsidRDefault="00F36BA4" w:rsidP="00F36BA4">
      <w:pPr>
        <w:rPr>
          <w:lang w:eastAsia="en-US"/>
        </w:rPr>
      </w:pPr>
      <w:r w:rsidRPr="00AD0140">
        <w:rPr>
          <w:lang w:eastAsia="en-US"/>
        </w:rPr>
        <w:t>The VPA acknowledges that the outcome of these controls will result in the appearance of urban residential street where dwellings sit adjacent each other. The generous spaces to the front and rear of buildings and the ability for tree planning in side setbacks will provide opportunities for tree planting; albeit the VPA acknowledges that it neither desirable or practical to mandate and enforce on lot planting. However, when combined with the street layout and the ability of contour aligned streets to provide screening tree cover, the development will provide for a site responsive outcome and provide a cohesive design character for the neighbourhood.</w:t>
      </w:r>
    </w:p>
    <w:p w:rsidR="00F36BA4" w:rsidRPr="00AD0140" w:rsidRDefault="00F36BA4" w:rsidP="00F36BA4">
      <w:pPr>
        <w:rPr>
          <w:lang w:eastAsia="en-US"/>
        </w:rPr>
      </w:pPr>
      <w:r w:rsidRPr="00AD0140">
        <w:rPr>
          <w:lang w:eastAsia="en-US"/>
        </w:rPr>
        <w:t>The VPA is cognisant that garages may abut some side boundaries. This is an acceptable outcome as garages must be setback behind dwelling walls, will form part of the overall building design, and in some instances are likely to be reduced in visual prominence through being located as an undercroft to the dwelling.</w:t>
      </w:r>
    </w:p>
    <w:p w:rsidR="00F36BA4" w:rsidRPr="00AD0140" w:rsidRDefault="00F36BA4" w:rsidP="00F36BA4">
      <w:pPr>
        <w:rPr>
          <w:lang w:eastAsia="en-US"/>
        </w:rPr>
      </w:pPr>
      <w:r w:rsidRPr="00AD0140">
        <w:rPr>
          <w:lang w:eastAsia="en-US"/>
        </w:rPr>
        <w:t xml:space="preserve">VPA also notes that the site while visually exposed will still be set beside a very large expanse of dramatically formed open space of the Jacksons Creek valley. The valley will still dominate the visual landscape on this area. As the site is transformed into a new neighbourhood, it will undergo physical alternations that detract from its appearance. However, the VPA is satisfied that, when completed, the proposal in the current permit application development including public landscaping and open spaces will settle </w:t>
      </w:r>
      <w:r w:rsidR="008963E3">
        <w:rPr>
          <w:lang w:eastAsia="en-US"/>
        </w:rPr>
        <w:t>acceptably</w:t>
      </w:r>
      <w:r w:rsidRPr="00AD0140">
        <w:rPr>
          <w:lang w:eastAsia="en-US"/>
        </w:rPr>
        <w:t xml:space="preserve"> into the landscape.</w:t>
      </w:r>
    </w:p>
    <w:p w:rsidR="00BD0BD8" w:rsidRPr="00433D66" w:rsidRDefault="00BD0BD8" w:rsidP="000079DA">
      <w:pPr>
        <w:pStyle w:val="Heading2"/>
      </w:pPr>
      <w:bookmarkStart w:id="8" w:name="_Toc496183239"/>
      <w:r w:rsidRPr="00433D66">
        <w:t>Redstone Hill District Park</w:t>
      </w:r>
      <w:bookmarkEnd w:id="8"/>
    </w:p>
    <w:p w:rsidR="00E95BCB" w:rsidRDefault="00E95BCB" w:rsidP="00E95BCB">
      <w:r w:rsidRPr="00433D66">
        <w:t>View Grange Pastoral (Villawood Properties) submitted to the Panel that the exhibited Sunbury South PSP did not sufficiently reflect the important strategic future role of the proposed Redstone Hill Regional Park, and sought a number of additional changes to the PSP which they submitted would better provide for the activation of the Redstone Hill.</w:t>
      </w:r>
    </w:p>
    <w:p w:rsidR="00E95BCB" w:rsidRDefault="00E95BCB" w:rsidP="00E95BCB">
      <w:r>
        <w:t>This suite of controls comprised three key components, as follows:</w:t>
      </w:r>
    </w:p>
    <w:p w:rsidR="00E95BCB" w:rsidRDefault="00E95BCB" w:rsidP="00E95BCB">
      <w:pPr>
        <w:pStyle w:val="List1bullet"/>
      </w:pPr>
      <w:r>
        <w:t>An Incorporated Document, providing for the preparation of a Development Plan, and allowing for a range of uses to occur ‘as of right’.</w:t>
      </w:r>
    </w:p>
    <w:p w:rsidR="00E95BCB" w:rsidRDefault="00E95BCB" w:rsidP="00E95BCB">
      <w:pPr>
        <w:pStyle w:val="List1bullet"/>
      </w:pPr>
      <w:r>
        <w:t>Inclusion of a Concept Plan for the hilltop in the PSP</w:t>
      </w:r>
    </w:p>
    <w:p w:rsidR="00E95BCB" w:rsidRDefault="00E95BCB" w:rsidP="00E95BCB">
      <w:pPr>
        <w:pStyle w:val="List1bullet"/>
      </w:pPr>
      <w:r>
        <w:t>Recognition in the Open Space table (public land contribution) and the PIP table (funding for embellishment) of part of the Redstone Hill parkland (an open space area of approximately 2.5-3ha).</w:t>
      </w:r>
    </w:p>
    <w:p w:rsidR="00E95BCB" w:rsidRDefault="00E95BCB" w:rsidP="00E95BCB">
      <w:r>
        <w:t>The VPA’s response to each of these elements is, as follows:</w:t>
      </w:r>
    </w:p>
    <w:p w:rsidR="00E95BCB" w:rsidRDefault="00E95BCB" w:rsidP="00E95BCB">
      <w:r>
        <w:rPr>
          <w:rFonts w:ascii="VIC" w:hAnsi="VIC" w:cs="Arial"/>
          <w:color w:val="005EA1" w:themeColor="accent1"/>
          <w:sz w:val="22"/>
          <w:szCs w:val="22"/>
          <w:lang w:eastAsia="en-US"/>
        </w:rPr>
        <w:t>Incorporated Document</w:t>
      </w:r>
    </w:p>
    <w:p w:rsidR="00E95BCB" w:rsidRDefault="00E95BCB" w:rsidP="00E95BCB">
      <w:r>
        <w:t xml:space="preserve">The VPA consider that the existing Rural Conservation Zone makes provision for a range of uses (either ‘as of right’ or subject to a planning permit’) that are considered consistent with the collective vision for the future role of the Redstone Hill District Park. The VPA do not consider that there is a need for a re-zoning or an incorporated document to deliver a district park, and therefore do not support the inclusion of an Incorporated Document as part of Amendment C207. </w:t>
      </w:r>
    </w:p>
    <w:p w:rsidR="00E95BCB" w:rsidRPr="00E95BCB" w:rsidRDefault="00E95BCB" w:rsidP="00E95BCB">
      <w:pPr>
        <w:rPr>
          <w:rFonts w:ascii="VIC" w:hAnsi="VIC" w:cs="Arial"/>
          <w:color w:val="005EA1" w:themeColor="accent1"/>
          <w:sz w:val="22"/>
          <w:szCs w:val="22"/>
          <w:lang w:eastAsia="en-US"/>
        </w:rPr>
      </w:pPr>
      <w:r w:rsidRPr="00E95BCB">
        <w:rPr>
          <w:rFonts w:ascii="VIC" w:hAnsi="VIC" w:cs="Arial"/>
          <w:color w:val="005EA1" w:themeColor="accent1"/>
          <w:sz w:val="22"/>
          <w:szCs w:val="22"/>
          <w:lang w:eastAsia="en-US"/>
        </w:rPr>
        <w:t>Redstone Hill District Park Concept Plan</w:t>
      </w:r>
    </w:p>
    <w:p w:rsidR="00E95BCB" w:rsidRDefault="00E95BCB" w:rsidP="00E95BCB">
      <w:r>
        <w:t>The VPA support the notion of including a concept plan for Redstone Hill District Park within the Sunbury South PSP to provide strategic guidance for the future development of the hilltop. This would be a high level concept plan, which would s</w:t>
      </w:r>
      <w:r w:rsidR="003A78D9">
        <w:t>erve to outline in very general terms the part of the hilltop that would be developed, and for what purposes. This would likely include</w:t>
      </w:r>
      <w:r>
        <w:t xml:space="preserve"> a playground, amphitheatre, restaurant/café and other uses permitted under the R</w:t>
      </w:r>
      <w:r w:rsidR="003A78D9">
        <w:t xml:space="preserve">CZ and as agreed by all parties. The concept plan will be accompanied by a note which foreshadows the intention to </w:t>
      </w:r>
      <w:r w:rsidR="00C771B5">
        <w:t xml:space="preserve">prepare a future master plan for the hilltop, which may include potential for compatible commercial uses. </w:t>
      </w:r>
    </w:p>
    <w:p w:rsidR="00E95BCB" w:rsidRDefault="00E95BCB" w:rsidP="00E95BCB">
      <w:r>
        <w:t>Should Villawood and Hume City Council determine in the future that there is strategic merit in pursuing uses on the hilltop which are not permissible under the RCZ, a subsequent approvals process (i.e. a planning scheme amendment) would be required.</w:t>
      </w:r>
      <w:r w:rsidR="003A78D9">
        <w:t xml:space="preserve"> </w:t>
      </w:r>
    </w:p>
    <w:p w:rsidR="00E95BCB" w:rsidRDefault="00E95BCB" w:rsidP="00E95BCB">
      <w:r>
        <w:t>Uses which are not permissible under the RCZ (such as other general uses that fall under place of assemb</w:t>
      </w:r>
      <w:r w:rsidR="003A78D9">
        <w:t>ly definition) would not be provided for in the Concept Plan in the PSP</w:t>
      </w:r>
      <w:r>
        <w:t xml:space="preserve">.  </w:t>
      </w:r>
    </w:p>
    <w:p w:rsidR="00E95BCB" w:rsidRPr="00E95BCB" w:rsidRDefault="00E95BCB" w:rsidP="00E95BCB">
      <w:pPr>
        <w:rPr>
          <w:rFonts w:ascii="VIC" w:hAnsi="VIC" w:cs="Arial"/>
          <w:color w:val="005EA1" w:themeColor="accent1"/>
          <w:sz w:val="22"/>
          <w:szCs w:val="22"/>
          <w:lang w:eastAsia="en-US"/>
        </w:rPr>
      </w:pPr>
      <w:r w:rsidRPr="00E95BCB">
        <w:rPr>
          <w:rFonts w:ascii="VIC" w:hAnsi="VIC" w:cs="Arial"/>
          <w:color w:val="005EA1" w:themeColor="accent1"/>
          <w:sz w:val="22"/>
          <w:szCs w:val="22"/>
          <w:lang w:eastAsia="en-US"/>
        </w:rPr>
        <w:t>Sports Reserves and Open Space Delivery Guide (Table 6)</w:t>
      </w:r>
    </w:p>
    <w:p w:rsidR="003A78D9" w:rsidRDefault="003A78D9" w:rsidP="003A78D9">
      <w:r>
        <w:t xml:space="preserve">The VPA support Villawood’s request to recognise the utility of the hilltop as district open space, and to recognise a defined area of approximately 2.5 – 3ha as ‘public land’. </w:t>
      </w:r>
    </w:p>
    <w:p w:rsidR="00E95BCB" w:rsidRDefault="00E95BCB" w:rsidP="00E95BCB">
      <w:r w:rsidRPr="00E95BCB">
        <w:rPr>
          <w:rFonts w:ascii="VIC" w:hAnsi="VIC" w:cs="Arial"/>
          <w:color w:val="005EA1" w:themeColor="accent1"/>
          <w:sz w:val="22"/>
          <w:szCs w:val="22"/>
          <w:lang w:eastAsia="en-US"/>
        </w:rPr>
        <w:t>Precinct Infrastructure Plan and ICP funding for works</w:t>
      </w:r>
    </w:p>
    <w:p w:rsidR="00E95BCB" w:rsidRDefault="003A78D9" w:rsidP="003A78D9">
      <w:r>
        <w:t>The VPA s</w:t>
      </w:r>
      <w:r w:rsidR="00E95BCB">
        <w:t xml:space="preserve">upport </w:t>
      </w:r>
      <w:r>
        <w:t>the i</w:t>
      </w:r>
      <w:r w:rsidR="00E95BCB">
        <w:t>nclusion</w:t>
      </w:r>
      <w:r>
        <w:t xml:space="preserve"> of identification of the Redstone Hill Park in the Precinct Infrastructure Plan</w:t>
      </w:r>
      <w:r w:rsidR="00E95BCB">
        <w:t>,</w:t>
      </w:r>
      <w:r>
        <w:t xml:space="preserve"> and</w:t>
      </w:r>
      <w:r w:rsidR="00E95BCB">
        <w:t xml:space="preserve"> support</w:t>
      </w:r>
      <w:r>
        <w:t xml:space="preserve"> the </w:t>
      </w:r>
      <w:r w:rsidR="00E95BCB">
        <w:t xml:space="preserve">funding </w:t>
      </w:r>
      <w:r>
        <w:t xml:space="preserve">of </w:t>
      </w:r>
      <w:r w:rsidR="00E95BCB">
        <w:t>land for ‘local park’ component of the site between the connector road and Jacksons Creek</w:t>
      </w:r>
      <w:r>
        <w:t xml:space="preserve">, as well as a 0.75ha portion of open space on the hilltop itself, within the Infrastructure Contribution Plan (ICP). The VPA </w:t>
      </w:r>
      <w:r w:rsidR="00E95BCB">
        <w:t xml:space="preserve">do not support </w:t>
      </w:r>
      <w:r>
        <w:t xml:space="preserve">the provision of ICP funding for embellishment of the hilltop park, as the VPA does not consider that this is an allowable item under the ICP guidelines. </w:t>
      </w:r>
    </w:p>
    <w:p w:rsidR="00C74D4A" w:rsidRDefault="00C74D4A" w:rsidP="003A78D9"/>
    <w:p w:rsidR="00E95BCB" w:rsidRDefault="00E95BCB" w:rsidP="00E95BCB">
      <w:pPr>
        <w:pStyle w:val="PlainText"/>
      </w:pPr>
    </w:p>
    <w:p w:rsidR="00E95BCB" w:rsidRPr="00E95BCB" w:rsidRDefault="00E95BCB" w:rsidP="00E95BCB">
      <w:pPr>
        <w:pStyle w:val="PlainText"/>
        <w:rPr>
          <w:rFonts w:ascii="VIC" w:eastAsia="Times" w:hAnsi="VIC" w:cs="Arial"/>
          <w:color w:val="005EA1" w:themeColor="accent1"/>
          <w:szCs w:val="22"/>
        </w:rPr>
      </w:pPr>
      <w:r w:rsidRPr="00E95BCB">
        <w:rPr>
          <w:rFonts w:ascii="VIC" w:eastAsia="Times" w:hAnsi="VIC" w:cs="Arial"/>
          <w:color w:val="005EA1" w:themeColor="accent1"/>
          <w:szCs w:val="22"/>
        </w:rPr>
        <w:t>Further changes proposed by VPA</w:t>
      </w:r>
    </w:p>
    <w:p w:rsidR="00E95BCB" w:rsidRDefault="003A78D9" w:rsidP="00C771B5">
      <w:r>
        <w:t xml:space="preserve">The VPA </w:t>
      </w:r>
      <w:r w:rsidR="00C771B5">
        <w:t>propose the i</w:t>
      </w:r>
      <w:r w:rsidR="00E95BCB">
        <w:t xml:space="preserve">nclusion of </w:t>
      </w:r>
      <w:r w:rsidR="00C771B5">
        <w:t xml:space="preserve">an </w:t>
      </w:r>
      <w:r w:rsidR="00E95BCB">
        <w:t>additional Requirement at 3.6.3 Subdivision Works (under the heading of Open Space Delivery) defining the extent of works required for the Redstone Hill</w:t>
      </w:r>
      <w:r w:rsidR="00C771B5">
        <w:t xml:space="preserve">. The VPA proposes to work with Hume City Council and Villawood to determine the agreed content for this Requirement. </w:t>
      </w:r>
    </w:p>
    <w:p w:rsidR="00E95BCB" w:rsidRDefault="00E95BCB" w:rsidP="00E95BCB">
      <w:pPr>
        <w:pStyle w:val="PlainText"/>
      </w:pPr>
    </w:p>
    <w:p w:rsidR="00E95BCB" w:rsidRPr="00E95BCB" w:rsidRDefault="00E95BCB" w:rsidP="00E95BCB">
      <w:pPr>
        <w:pStyle w:val="PlainText"/>
        <w:rPr>
          <w:rFonts w:ascii="VIC" w:eastAsia="Times" w:hAnsi="VIC" w:cs="Arial"/>
          <w:color w:val="005EA1" w:themeColor="accent1"/>
          <w:szCs w:val="22"/>
        </w:rPr>
      </w:pPr>
      <w:r w:rsidRPr="00E95BCB">
        <w:rPr>
          <w:rFonts w:ascii="VIC" w:eastAsia="Times" w:hAnsi="VIC" w:cs="Arial"/>
          <w:color w:val="005EA1" w:themeColor="accent1"/>
          <w:szCs w:val="22"/>
        </w:rPr>
        <w:t>Recommendation sought from Panel</w:t>
      </w:r>
    </w:p>
    <w:p w:rsidR="00E95BCB" w:rsidRDefault="00E95BCB" w:rsidP="00E95BCB">
      <w:r>
        <w:t>That the VPA work with Hume City Council and Villawood to:</w:t>
      </w:r>
    </w:p>
    <w:p w:rsidR="00E95BCB" w:rsidRDefault="00E95BCB" w:rsidP="00C771B5">
      <w:pPr>
        <w:pStyle w:val="List1bullet"/>
      </w:pPr>
      <w:r>
        <w:t>Identify amendments to the vision/objectives within the PSP to appropriately reflect the future strategic role of the Redstone Hill District Park</w:t>
      </w:r>
    </w:p>
    <w:p w:rsidR="00E95BCB" w:rsidRDefault="00E95BCB" w:rsidP="00C771B5">
      <w:pPr>
        <w:pStyle w:val="List1bullet"/>
      </w:pPr>
      <w:r>
        <w:t>Prepare a concept plan for inclusion within the PSP, consistent with this strategic role</w:t>
      </w:r>
    </w:p>
    <w:p w:rsidR="00E95BCB" w:rsidRDefault="00E95BCB" w:rsidP="00C771B5">
      <w:pPr>
        <w:pStyle w:val="List1bullet"/>
      </w:pPr>
      <w:r>
        <w:t>Identify the appropriate scope of preliminary improvement works consistent with this strategic role, to form the basis of a new requirement in the PSP.</w:t>
      </w:r>
    </w:p>
    <w:p w:rsidR="00C771B5" w:rsidRPr="00E95BCB" w:rsidRDefault="00C771B5" w:rsidP="00C771B5">
      <w:pPr>
        <w:pStyle w:val="List1bullet"/>
        <w:rPr>
          <w:lang w:eastAsia="en-US"/>
        </w:rPr>
      </w:pPr>
      <w:r>
        <w:t xml:space="preserve">Amend the </w:t>
      </w:r>
      <w:r w:rsidRPr="00E95BCB">
        <w:rPr>
          <w:lang w:eastAsia="en-US"/>
        </w:rPr>
        <w:t>Sports Reserves and Open Space Delivery Guide (Table 6)</w:t>
      </w:r>
      <w:r>
        <w:rPr>
          <w:lang w:eastAsia="en-US"/>
        </w:rPr>
        <w:t xml:space="preserve"> to include the Redstone Hill District Park</w:t>
      </w:r>
    </w:p>
    <w:p w:rsidR="00C771B5" w:rsidRDefault="00C771B5" w:rsidP="00C771B5">
      <w:pPr>
        <w:pStyle w:val="List1bullet"/>
      </w:pPr>
      <w:r>
        <w:t xml:space="preserve">Amend the Precinct Infrastructure Plan to include reference to the Redstone Hill District Park and foreshadow the inclusion of the funding of a portion of the land within the ICP. </w:t>
      </w:r>
    </w:p>
    <w:p w:rsidR="00BD0BD8" w:rsidRDefault="00BD0BD8" w:rsidP="004A62FB">
      <w:pPr>
        <w:pStyle w:val="Heading2"/>
      </w:pPr>
      <w:bookmarkStart w:id="9" w:name="_Toc496183240"/>
      <w:r>
        <w:t>Hi Quality site – Buffers</w:t>
      </w:r>
      <w:bookmarkEnd w:id="9"/>
    </w:p>
    <w:p w:rsidR="007B69D6" w:rsidRDefault="007B69D6" w:rsidP="007B69D6">
      <w:pPr>
        <w:rPr>
          <w:lang w:val="en-US"/>
        </w:rPr>
      </w:pPr>
      <w:r>
        <w:rPr>
          <w:lang w:val="en-US"/>
        </w:rPr>
        <w:t>A promine</w:t>
      </w:r>
      <w:r w:rsidR="008963E3">
        <w:rPr>
          <w:lang w:val="en-US"/>
        </w:rPr>
        <w:t>nt issue in the conduct of the P</w:t>
      </w:r>
      <w:r>
        <w:rPr>
          <w:lang w:val="en-US"/>
        </w:rPr>
        <w:t xml:space="preserve">anel hearing has been the application of various buffers surrounding the existing Hi Quality quarry and landfilling operations. Included within these buffer issues has been the appropriate treatment thereof of the Veolia </w:t>
      </w:r>
      <w:r w:rsidR="008963E3">
        <w:rPr>
          <w:lang w:val="en-US"/>
        </w:rPr>
        <w:t xml:space="preserve">composting </w:t>
      </w:r>
      <w:r>
        <w:rPr>
          <w:lang w:val="en-US"/>
        </w:rPr>
        <w:t xml:space="preserve">buffer associated with the green waste facility. The VPA has previously addressed its position on buffers for these facilities in all of the Part A submission, the </w:t>
      </w:r>
      <w:r>
        <w:rPr>
          <w:lang w:val="en-US"/>
        </w:rPr>
        <w:br/>
        <w:t>P</w:t>
      </w:r>
      <w:r w:rsidRPr="00F16E4A">
        <w:rPr>
          <w:lang w:val="en-US"/>
        </w:rPr>
        <w:t>art B submission, and a supplementary submission provided to the panel o</w:t>
      </w:r>
      <w:r w:rsidR="00240A75" w:rsidRPr="00F16E4A">
        <w:rPr>
          <w:lang w:val="en-US"/>
        </w:rPr>
        <w:t>n 4 September (Tabled Document</w:t>
      </w:r>
      <w:r w:rsidR="00F16E4A" w:rsidRPr="00F16E4A">
        <w:rPr>
          <w:lang w:val="en-US"/>
        </w:rPr>
        <w:t xml:space="preserve"> 48)</w:t>
      </w:r>
      <w:r w:rsidRPr="00F16E4A">
        <w:rPr>
          <w:lang w:val="en-US"/>
        </w:rPr>
        <w:t xml:space="preserve">. </w:t>
      </w:r>
      <w:r w:rsidR="008963E3">
        <w:rPr>
          <w:lang w:val="en-US"/>
        </w:rPr>
        <w:t>Largely</w:t>
      </w:r>
      <w:r>
        <w:rPr>
          <w:lang w:val="en-US"/>
        </w:rPr>
        <w:t xml:space="preserve"> the position of the VPA is unchanged and can be summarized as thus:</w:t>
      </w:r>
    </w:p>
    <w:p w:rsidR="007B69D6" w:rsidRDefault="007B69D6" w:rsidP="007B69D6">
      <w:pPr>
        <w:pStyle w:val="List1bullet"/>
        <w:rPr>
          <w:rFonts w:eastAsia="Times New Roman"/>
          <w:lang w:val="en-US"/>
        </w:rPr>
      </w:pPr>
      <w:r>
        <w:rPr>
          <w:rFonts w:eastAsia="Times New Roman"/>
          <w:lang w:val="en-US"/>
        </w:rPr>
        <w:t>the VPA accepts that the land within the buffer areas can be zoned within an applied zone appropriate to its end use notwithstanding that where this end use is a sensitive use it is necessary that the ordinance place constraints on the end use in the short to medium term.</w:t>
      </w:r>
    </w:p>
    <w:p w:rsidR="007B69D6" w:rsidRDefault="007B69D6" w:rsidP="007B69D6">
      <w:pPr>
        <w:pStyle w:val="List1bullet"/>
        <w:rPr>
          <w:rFonts w:eastAsia="Times New Roman"/>
          <w:lang w:val="en-US"/>
        </w:rPr>
      </w:pPr>
      <w:r>
        <w:rPr>
          <w:rFonts w:eastAsia="Times New Roman"/>
          <w:lang w:val="en-US"/>
        </w:rPr>
        <w:t>The VPA submits, supported by evidence from in particular Mr Barlow, that the appropriate repository for controls upon the end use of land within buffers is within the schedule to the UGZ rather than within an overlay under a separate control such as, for instance, the environmental significance overlay.</w:t>
      </w:r>
    </w:p>
    <w:p w:rsidR="007B69D6" w:rsidRDefault="007B69D6" w:rsidP="007B69D6">
      <w:pPr>
        <w:pStyle w:val="List1bullet"/>
        <w:rPr>
          <w:rFonts w:eastAsia="Times New Roman"/>
          <w:lang w:val="en-US"/>
        </w:rPr>
      </w:pPr>
      <w:r>
        <w:rPr>
          <w:rFonts w:eastAsia="Times New Roman"/>
          <w:lang w:val="en-US"/>
        </w:rPr>
        <w:t>The w</w:t>
      </w:r>
      <w:r w:rsidR="008963E3">
        <w:rPr>
          <w:rFonts w:eastAsia="Times New Roman"/>
          <w:lang w:val="en-US"/>
        </w:rPr>
        <w:t>eight of evidence before the P</w:t>
      </w:r>
      <w:r>
        <w:rPr>
          <w:rFonts w:eastAsia="Times New Roman"/>
          <w:lang w:val="en-US"/>
        </w:rPr>
        <w:t>anel does not support the EPA's conclusion that the Veolia buffer should be 1400 m as opposed to the unanimous position of experts at 1300 m.</w:t>
      </w:r>
    </w:p>
    <w:p w:rsidR="007B69D6" w:rsidRDefault="007B69D6" w:rsidP="007B69D6">
      <w:pPr>
        <w:pStyle w:val="List1bullet"/>
        <w:rPr>
          <w:rFonts w:eastAsia="Times New Roman"/>
          <w:lang w:val="en-US"/>
        </w:rPr>
      </w:pPr>
      <w:r>
        <w:rPr>
          <w:rFonts w:eastAsia="Times New Roman"/>
          <w:lang w:val="en-US"/>
        </w:rPr>
        <w:t>Consistent with the advice of the EPA's landfill gas specialist a section 53V environmental audit can be completed at any time after the closure of the cells most proximate to the sensitive uses and it is not necessary for the audit process to wait until closure of all landfill cells and final rehabilitation. It follows that the order of progression of landfill cells within the Hi-Quality will influence the availability of land.</w:t>
      </w:r>
    </w:p>
    <w:p w:rsidR="007B69D6" w:rsidRDefault="007B69D6" w:rsidP="007B69D6">
      <w:pPr>
        <w:pStyle w:val="List1bullet"/>
        <w:rPr>
          <w:rFonts w:eastAsia="Times New Roman"/>
          <w:lang w:val="en-US"/>
        </w:rPr>
      </w:pPr>
      <w:r>
        <w:rPr>
          <w:rFonts w:eastAsia="Times New Roman"/>
          <w:lang w:val="en-US"/>
        </w:rPr>
        <w:t>The</w:t>
      </w:r>
      <w:r w:rsidR="008963E3">
        <w:rPr>
          <w:rFonts w:eastAsia="Times New Roman"/>
          <w:lang w:val="en-US"/>
        </w:rPr>
        <w:t xml:space="preserve"> weight of evidence before the P</w:t>
      </w:r>
      <w:r>
        <w:rPr>
          <w:rFonts w:eastAsia="Times New Roman"/>
          <w:lang w:val="en-US"/>
        </w:rPr>
        <w:t>anel confirms that it is not possible to reliably undertake a section 53V environmental audit of composting odour absent the participation (in the sense of the provision of information) of Veolia. It is necessary that the planning scheme ordinance address the reality that Veolia may elect not to actively participate in an audit process, thus frustrating strategic intent of the PSP.</w:t>
      </w:r>
    </w:p>
    <w:p w:rsidR="007B69D6" w:rsidRDefault="007B69D6" w:rsidP="007B69D6">
      <w:pPr>
        <w:pStyle w:val="List1bullet"/>
        <w:rPr>
          <w:rFonts w:eastAsia="Times New Roman"/>
          <w:lang w:val="en-US"/>
        </w:rPr>
      </w:pPr>
      <w:r>
        <w:rPr>
          <w:rFonts w:eastAsia="Times New Roman"/>
          <w:lang w:val="en-US"/>
        </w:rPr>
        <w:t>It is the evidence of Mr Assal that there exists current technology that if applied to the Veolia site would reduce the applicable buffer and that notwithstanding the written evidence he prepared there has been no planning cost benefit analysis of the application of this technology to that site. Absent a comprehensive assessment of these i</w:t>
      </w:r>
      <w:r w:rsidR="008963E3">
        <w:rPr>
          <w:rFonts w:eastAsia="Times New Roman"/>
          <w:lang w:val="en-US"/>
        </w:rPr>
        <w:t>ssues it is reasonable for the P</w:t>
      </w:r>
      <w:r>
        <w:rPr>
          <w:rFonts w:eastAsia="Times New Roman"/>
          <w:lang w:val="en-US"/>
        </w:rPr>
        <w:t>anel to conclude that even in circumstances of Veolia's ongoing operation for the term of its leasehold or longer there is a real possibility that some of the land currently affected by buffer can be used for sensitive and uses. This is of course subject to appropriate analysis and risk assessment.</w:t>
      </w:r>
    </w:p>
    <w:p w:rsidR="00BD0BD8" w:rsidRPr="00217D0A" w:rsidRDefault="00BD0BD8" w:rsidP="004A62FB">
      <w:pPr>
        <w:pStyle w:val="Heading2"/>
      </w:pPr>
      <w:bookmarkStart w:id="10" w:name="_Toc496183241"/>
      <w:r w:rsidRPr="00217D0A">
        <w:t>Gas Pipeline Measurement Length</w:t>
      </w:r>
      <w:bookmarkEnd w:id="10"/>
    </w:p>
    <w:p w:rsidR="00BD0BD8" w:rsidRPr="00217D0A" w:rsidRDefault="00BD0BD8" w:rsidP="00585A2E">
      <w:pPr>
        <w:rPr>
          <w:rFonts w:ascii="VIC" w:hAnsi="VIC" w:cs="Arial"/>
          <w:color w:val="005EA1" w:themeColor="accent1"/>
          <w:sz w:val="22"/>
          <w:szCs w:val="22"/>
          <w:lang w:eastAsia="en-US"/>
        </w:rPr>
      </w:pPr>
      <w:r w:rsidRPr="00217D0A">
        <w:rPr>
          <w:rFonts w:ascii="VIC" w:hAnsi="VIC" w:cs="Arial"/>
          <w:color w:val="005EA1" w:themeColor="accent1"/>
          <w:sz w:val="22"/>
          <w:szCs w:val="22"/>
          <w:lang w:eastAsia="en-US"/>
        </w:rPr>
        <w:t>Housing Density</w:t>
      </w:r>
    </w:p>
    <w:p w:rsidR="00E25178" w:rsidRDefault="00E25178" w:rsidP="00217D0A">
      <w:pPr>
        <w:rPr>
          <w:lang w:val="en-US"/>
        </w:rPr>
      </w:pPr>
      <w:r w:rsidRPr="00217D0A">
        <w:rPr>
          <w:lang w:val="en-US"/>
        </w:rPr>
        <w:t>The planning controls proposed to address gas pipelines has r</w:t>
      </w:r>
      <w:r>
        <w:rPr>
          <w:lang w:val="en-US"/>
        </w:rPr>
        <w:t>epresented a vexed issue in growth area plannin</w:t>
      </w:r>
      <w:r w:rsidR="008963E3">
        <w:rPr>
          <w:lang w:val="en-US"/>
        </w:rPr>
        <w:t>g over the last few years. The P</w:t>
      </w:r>
      <w:r>
        <w:rPr>
          <w:lang w:val="en-US"/>
        </w:rPr>
        <w:t>anel in this matter has indicated that it is concerned, based on its experience in previous panels, to reconcile the previous position of APA (the pipeline distributor) which has been to oppose development at a density greater than 30 dwellings per hectare within a</w:t>
      </w:r>
      <w:r w:rsidR="008963E3">
        <w:rPr>
          <w:lang w:val="en-US"/>
        </w:rPr>
        <w:t xml:space="preserve"> pipeline measurement length.</w:t>
      </w:r>
      <w:r>
        <w:rPr>
          <w:lang w:val="en-US"/>
        </w:rPr>
        <w:t xml:space="preserve"> APA's submission to these amendments appropriately note</w:t>
      </w:r>
      <w:r w:rsidR="008963E3">
        <w:rPr>
          <w:lang w:val="en-US"/>
        </w:rPr>
        <w:t>d</w:t>
      </w:r>
      <w:r>
        <w:rPr>
          <w:lang w:val="en-US"/>
        </w:rPr>
        <w:t xml:space="preserve"> that the RGZ intersecting with the pipeline measurement length contains only a minimum but no maximum density control.</w:t>
      </w:r>
    </w:p>
    <w:p w:rsidR="00E25178" w:rsidRDefault="00E25178" w:rsidP="00217D0A">
      <w:pPr>
        <w:rPr>
          <w:lang w:val="en-US"/>
        </w:rPr>
      </w:pPr>
      <w:r>
        <w:rPr>
          <w:lang w:val="en-US"/>
        </w:rPr>
        <w:t xml:space="preserve">In order to address this issue the VPA has examined the position put and accepted by previous panels in other instances.  What is evident from these previous panels is that there exists no consistent approach and that there is an absent of any coherent density control for development. </w:t>
      </w:r>
      <w:r w:rsidR="008963E3">
        <w:rPr>
          <w:lang w:val="en-US"/>
        </w:rPr>
        <w:t>A</w:t>
      </w:r>
      <w:r>
        <w:rPr>
          <w:lang w:val="en-US"/>
        </w:rPr>
        <w:t xml:space="preserve"> density control is difficult to draft and administer when (adopting the level of 30 dwellings per hectare) even a triple occupancy would on a site-specific basis represent development potentially far in excess of 30 dwellings per hectare. It is noted that in previous matters the VPA has contended for a height control in lieu of a raw density control but</w:t>
      </w:r>
      <w:r w:rsidR="008963E3">
        <w:rPr>
          <w:lang w:val="en-US"/>
        </w:rPr>
        <w:t xml:space="preserve"> that this is not found support.</w:t>
      </w:r>
    </w:p>
    <w:p w:rsidR="00E25178" w:rsidRDefault="00E25178" w:rsidP="00217D0A">
      <w:pPr>
        <w:rPr>
          <w:lang w:val="en-US"/>
        </w:rPr>
      </w:pPr>
      <w:r>
        <w:rPr>
          <w:lang w:val="en-US"/>
        </w:rPr>
        <w:t>In this matter the VPA has gone back to APA to discuss how these issues could potentially be managed. The VPA understan</w:t>
      </w:r>
      <w:r w:rsidR="008963E3">
        <w:rPr>
          <w:lang w:val="en-US"/>
        </w:rPr>
        <w:t>ds that it is APA's position (AP</w:t>
      </w:r>
      <w:r>
        <w:rPr>
          <w:lang w:val="en-US"/>
        </w:rPr>
        <w:t xml:space="preserve">A did not make a request to be heard) it is not seeking to limit standard medium density accommodation and that where medium density or greater accommodations proposed it regards many of these applications to be capable of approval subject to design conditions. Such design conditions may include consideration of orientation of buildings, access points, </w:t>
      </w:r>
      <w:r w:rsidR="00F16E4A">
        <w:rPr>
          <w:lang w:val="en-US"/>
        </w:rPr>
        <w:t>and materiality</w:t>
      </w:r>
      <w:r>
        <w:rPr>
          <w:lang w:val="en-US"/>
        </w:rPr>
        <w:t xml:space="preserve"> size. With this in mind the VPA has sought to design a control that would at once facilitate the APA's participation in relevant permit applications for buildings and works (it is not intended that APA would be in a position to challenge underlying land-use assumptions except to the extent already exhibited) and thereby address the panels concerns about the op</w:t>
      </w:r>
      <w:r w:rsidR="008963E3">
        <w:rPr>
          <w:lang w:val="en-US"/>
        </w:rPr>
        <w:t>en ended nature of its response and the PSP controls.</w:t>
      </w:r>
    </w:p>
    <w:p w:rsidR="00E25178" w:rsidRDefault="00E25178" w:rsidP="00217D0A">
      <w:pPr>
        <w:rPr>
          <w:lang w:val="en-US"/>
        </w:rPr>
      </w:pPr>
      <w:r>
        <w:rPr>
          <w:lang w:val="en-US"/>
        </w:rPr>
        <w:t>The proposed arrangements that the VPA has put to APA following these discussions are as follows:</w:t>
      </w:r>
    </w:p>
    <w:p w:rsidR="00E25178" w:rsidRDefault="00E25178" w:rsidP="00217D0A">
      <w:pPr>
        <w:pStyle w:val="List1bullet"/>
        <w:rPr>
          <w:lang w:val="en-US"/>
        </w:rPr>
      </w:pPr>
      <w:r>
        <w:rPr>
          <w:lang w:val="en-US"/>
        </w:rPr>
        <w:t>APA receive notice of all planning permits for buildings and works for multiple dwellings above a dual occupancy.   This would concern the buildings and works i.e. the design rather than the underlying use.  The VPA is not concerned if APA would prefer to nominate a higher occupancy level for example four, five or six dwellings on a lot.  We invite this in your response to this email.</w:t>
      </w:r>
    </w:p>
    <w:p w:rsidR="00E25178" w:rsidRDefault="00E25178" w:rsidP="00217D0A">
      <w:pPr>
        <w:pStyle w:val="List1bullet"/>
        <w:rPr>
          <w:lang w:val="en-US"/>
        </w:rPr>
      </w:pPr>
      <w:r>
        <w:rPr>
          <w:lang w:val="en-US"/>
        </w:rPr>
        <w:t>APA receive notice of planning permits for subdivision for lots of less than 300 square metres (or an alternate number nominated by APA) unless it is the subdivision of existing buildings (which would have already been notified).</w:t>
      </w:r>
    </w:p>
    <w:p w:rsidR="00E25178" w:rsidRDefault="00E25178" w:rsidP="00217D0A">
      <w:pPr>
        <w:pStyle w:val="List1bullet"/>
        <w:rPr>
          <w:lang w:val="en-US"/>
        </w:rPr>
      </w:pPr>
      <w:r>
        <w:rPr>
          <w:lang w:val="en-US"/>
        </w:rPr>
        <w:t>APA would then have the opportunity to review the buildings and works or subdivision application both individually and where relevant, cumulatively, in the local context.</w:t>
      </w:r>
    </w:p>
    <w:p w:rsidR="00E25178" w:rsidRDefault="00E25178" w:rsidP="00217D0A">
      <w:pPr>
        <w:pStyle w:val="List1bullet"/>
        <w:rPr>
          <w:lang w:val="en-US"/>
        </w:rPr>
      </w:pPr>
      <w:r>
        <w:rPr>
          <w:lang w:val="en-US"/>
        </w:rPr>
        <w:t>APA could then object to the grant of a permit or more likely based on our conversation, provide advice on design considerations that relate to risk associated with the gas pipeline. The VPA understands that this design advice might constitute advice on materiality, orientation, or points of access.</w:t>
      </w:r>
    </w:p>
    <w:p w:rsidR="00E25178" w:rsidRDefault="008963E3" w:rsidP="00217D0A">
      <w:pPr>
        <w:rPr>
          <w:lang w:val="en-US"/>
        </w:rPr>
      </w:pPr>
      <w:r>
        <w:rPr>
          <w:lang w:val="en-US"/>
        </w:rPr>
        <w:t>One concern expressed by the P</w:t>
      </w:r>
      <w:r w:rsidR="00E25178">
        <w:rPr>
          <w:lang w:val="en-US"/>
        </w:rPr>
        <w:t>anel is that it does not wish to see planning permit applicants unne</w:t>
      </w:r>
      <w:r>
        <w:rPr>
          <w:lang w:val="en-US"/>
        </w:rPr>
        <w:t>cessarily put the cost through T</w:t>
      </w:r>
      <w:r w:rsidR="00E25178">
        <w:rPr>
          <w:lang w:val="en-US"/>
        </w:rPr>
        <w:t>ribunal proceedings on account of APA's intervention in the planning system and the difficulties associated with density provisions. The VPA agrees with this concern in principle but observes that some testing of new controls is inevitable when they are introduced but that also such testing is self-limiting. That is once matters are tested before the Tribunal themes emerge and both permit applicants and bodies such as APA the council and the VPA moderate their activities accordingly. To this end the VPA is satisfied that the proposed controls do not place an un-necessary or inappropriate impost on the development community.</w:t>
      </w:r>
    </w:p>
    <w:p w:rsidR="00E25178" w:rsidRDefault="00E25178" w:rsidP="00217D0A">
      <w:pPr>
        <w:rPr>
          <w:lang w:val="en-US"/>
        </w:rPr>
      </w:pPr>
      <w:r>
        <w:rPr>
          <w:lang w:val="en-US"/>
        </w:rPr>
        <w:t xml:space="preserve">The VPA has sought APA's written feedback to this proposal and </w:t>
      </w:r>
      <w:r w:rsidR="008963E3">
        <w:rPr>
          <w:lang w:val="en-US"/>
        </w:rPr>
        <w:t>will table that response which sets a lower notice level of 5 dwellings on a lot.</w:t>
      </w:r>
    </w:p>
    <w:p w:rsidR="00BD0BD8" w:rsidRPr="00585A2E" w:rsidRDefault="00BD54D1" w:rsidP="00585A2E">
      <w:pPr>
        <w:rPr>
          <w:rFonts w:ascii="VIC" w:hAnsi="VIC" w:cs="Arial"/>
          <w:color w:val="005EA1" w:themeColor="accent1"/>
          <w:sz w:val="22"/>
          <w:szCs w:val="22"/>
          <w:lang w:eastAsia="en-US"/>
        </w:rPr>
      </w:pPr>
      <w:r w:rsidRPr="00585A2E">
        <w:rPr>
          <w:rFonts w:ascii="VIC" w:hAnsi="VIC" w:cs="Arial"/>
          <w:color w:val="005EA1" w:themeColor="accent1"/>
          <w:sz w:val="22"/>
          <w:szCs w:val="22"/>
          <w:lang w:eastAsia="en-US"/>
        </w:rPr>
        <w:t xml:space="preserve">Safety Management Study </w:t>
      </w:r>
    </w:p>
    <w:p w:rsidR="004A62FB" w:rsidRDefault="00BD54D1" w:rsidP="004A62FB">
      <w:pPr>
        <w:rPr>
          <w:lang w:eastAsia="en-US"/>
        </w:rPr>
      </w:pPr>
      <w:r>
        <w:rPr>
          <w:lang w:eastAsia="en-US"/>
        </w:rPr>
        <w:t xml:space="preserve">The VPA, in conjunction with APA GasNet, Hume City Council and other agency and service providers have undertaken a Safety Management Study (SMS) workshop for the APA gas pipeline that traverses the Sunbury South Precinct during the course of the hearing. </w:t>
      </w:r>
    </w:p>
    <w:p w:rsidR="00BD54D1" w:rsidRDefault="00BD54D1" w:rsidP="004A62FB">
      <w:pPr>
        <w:rPr>
          <w:lang w:eastAsia="en-US"/>
        </w:rPr>
      </w:pPr>
      <w:r>
        <w:rPr>
          <w:lang w:eastAsia="en-US"/>
        </w:rPr>
        <w:t xml:space="preserve">The VPA had aspired to provide a copy of the completed SMS report to the Panel prior to the closing of the hearing, however the final document is still awaiting sign off from other stakeholders and unfortunately is not yet available. </w:t>
      </w:r>
    </w:p>
    <w:p w:rsidR="00BD54D1" w:rsidRPr="004A62FB" w:rsidRDefault="00BD54D1" w:rsidP="004A62FB">
      <w:pPr>
        <w:rPr>
          <w:lang w:eastAsia="en-US"/>
        </w:rPr>
      </w:pPr>
      <w:r>
        <w:rPr>
          <w:lang w:eastAsia="en-US"/>
        </w:rPr>
        <w:t xml:space="preserve">The VPA will provide a copy of the SMS to the Panel as soon as possible. The workshop and subsequent draft report have not revealed any unexpected risks, and the VPA does not expect that the final SMS report will have any material bearing on the Sunbury South Precinct Structure Plan. </w:t>
      </w:r>
    </w:p>
    <w:p w:rsidR="000E0DB1" w:rsidRDefault="000E0DB1" w:rsidP="000E0DB1">
      <w:pPr>
        <w:pStyle w:val="Heading2"/>
      </w:pPr>
      <w:bookmarkStart w:id="11" w:name="_Toc496183242"/>
      <w:r>
        <w:t>Walkable Catchment/Residential Growth Zone</w:t>
      </w:r>
      <w:bookmarkEnd w:id="11"/>
    </w:p>
    <w:p w:rsidR="00A856B1" w:rsidRDefault="00A856B1" w:rsidP="00A856B1">
      <w:pPr>
        <w:rPr>
          <w:lang w:val="en-US"/>
        </w:rPr>
      </w:pPr>
      <w:r>
        <w:rPr>
          <w:lang w:val="en-US"/>
        </w:rPr>
        <w:t xml:space="preserve">The panel has requested that the VPA respond to it on </w:t>
      </w:r>
      <w:r w:rsidR="008963E3">
        <w:rPr>
          <w:lang w:val="en-US"/>
        </w:rPr>
        <w:t>two</w:t>
      </w:r>
      <w:r>
        <w:rPr>
          <w:lang w:val="en-US"/>
        </w:rPr>
        <w:t xml:space="preserve"> issues concerning the proposed 'walkable catchment' and the associated application of the residential growth zone (RGZ).</w:t>
      </w:r>
    </w:p>
    <w:p w:rsidR="00A856B1" w:rsidRDefault="00A856B1" w:rsidP="00A856B1">
      <w:pPr>
        <w:rPr>
          <w:lang w:val="en-US"/>
        </w:rPr>
      </w:pPr>
      <w:r>
        <w:rPr>
          <w:lang w:val="en-US"/>
        </w:rPr>
        <w:t>Specifically the two issues that the panel has sought further advice upon are:</w:t>
      </w:r>
    </w:p>
    <w:p w:rsidR="00A856B1" w:rsidRDefault="00A856B1" w:rsidP="00A856B1">
      <w:pPr>
        <w:pStyle w:val="List1bullet"/>
        <w:rPr>
          <w:lang w:val="en-US"/>
        </w:rPr>
      </w:pPr>
      <w:r>
        <w:rPr>
          <w:lang w:val="en-US"/>
        </w:rPr>
        <w:t>Whether it is appropriate that the walkable catchment extend 600 m from the principal public transport network (PPTN) as it applies i</w:t>
      </w:r>
      <w:r w:rsidR="005925CD">
        <w:rPr>
          <w:lang w:val="en-US"/>
        </w:rPr>
        <w:t>n the growth areas-through premium</w:t>
      </w:r>
      <w:r>
        <w:rPr>
          <w:lang w:val="en-US"/>
        </w:rPr>
        <w:t xml:space="preserve"> buses.</w:t>
      </w:r>
    </w:p>
    <w:p w:rsidR="00A856B1" w:rsidRDefault="00A856B1" w:rsidP="00A856B1">
      <w:pPr>
        <w:pStyle w:val="List1bullet"/>
        <w:rPr>
          <w:lang w:val="en-US"/>
        </w:rPr>
      </w:pPr>
      <w:r>
        <w:rPr>
          <w:lang w:val="en-US"/>
        </w:rPr>
        <w:t>What does the VPA consi</w:t>
      </w:r>
      <w:r w:rsidR="005925CD">
        <w:rPr>
          <w:lang w:val="en-US"/>
        </w:rPr>
        <w:t>der the appropriate nomenclature</w:t>
      </w:r>
      <w:r>
        <w:rPr>
          <w:lang w:val="en-US"/>
        </w:rPr>
        <w:t xml:space="preserve"> for identification of what is currently termed the walkable catchment is and how the current walkable catchment should be described on the future urban structure and associated plans.</w:t>
      </w:r>
    </w:p>
    <w:p w:rsidR="00A856B1" w:rsidRDefault="00A856B1" w:rsidP="006E6829">
      <w:pPr>
        <w:rPr>
          <w:lang w:val="en-US"/>
        </w:rPr>
      </w:pPr>
      <w:r>
        <w:rPr>
          <w:lang w:val="en-US"/>
        </w:rPr>
        <w:t xml:space="preserve">The VPA's </w:t>
      </w:r>
      <w:r w:rsidR="008963E3">
        <w:rPr>
          <w:lang w:val="en-US"/>
        </w:rPr>
        <w:t>response</w:t>
      </w:r>
      <w:r>
        <w:rPr>
          <w:lang w:val="en-US"/>
        </w:rPr>
        <w:t xml:space="preserve"> follows.</w:t>
      </w:r>
    </w:p>
    <w:p w:rsidR="00A856B1" w:rsidRDefault="00A856B1" w:rsidP="006E6829">
      <w:pPr>
        <w:rPr>
          <w:lang w:val="en-US"/>
        </w:rPr>
      </w:pPr>
      <w:r>
        <w:rPr>
          <w:lang w:val="en-US"/>
        </w:rPr>
        <w:t>In the Plumpton and Kororoit PSP Panel report the Panel recommended [emphasis added]:</w:t>
      </w:r>
    </w:p>
    <w:p w:rsidR="00A856B1" w:rsidRDefault="00A856B1" w:rsidP="00A856B1">
      <w:pPr>
        <w:rPr>
          <w:rFonts w:cs="Arial"/>
          <w:color w:val="000000"/>
          <w:sz w:val="20"/>
          <w:szCs w:val="20"/>
          <w:lang w:val="en-US"/>
        </w:rPr>
      </w:pPr>
      <w:r>
        <w:rPr>
          <w:noProof/>
        </w:rPr>
        <w:drawing>
          <wp:inline distT="0" distB="0" distL="0" distR="0">
            <wp:extent cx="4776978" cy="1327640"/>
            <wp:effectExtent l="0" t="0" r="5080" b="6350"/>
            <wp:docPr id="1" name="Picture 1" descr="cid:image003.png@01D3485D.61549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485D.61549D5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98618" cy="1333654"/>
                    </a:xfrm>
                    <a:prstGeom prst="rect">
                      <a:avLst/>
                    </a:prstGeom>
                    <a:noFill/>
                    <a:ln>
                      <a:noFill/>
                    </a:ln>
                  </pic:spPr>
                </pic:pic>
              </a:graphicData>
            </a:graphic>
          </wp:inline>
        </w:drawing>
      </w:r>
    </w:p>
    <w:p w:rsidR="00A856B1" w:rsidRPr="006E6829" w:rsidRDefault="00A856B1" w:rsidP="00A856B1">
      <w:pPr>
        <w:rPr>
          <w:lang w:val="en-US"/>
        </w:rPr>
      </w:pPr>
      <w:r>
        <w:rPr>
          <w:lang w:val="en-US"/>
        </w:rPr>
        <w:t>In some respects the Plumpton and Kororoit case study was similar to area</w:t>
      </w:r>
      <w:r w:rsidR="008963E3">
        <w:rPr>
          <w:lang w:val="en-US"/>
        </w:rPr>
        <w:t>s within the PSP's before this P</w:t>
      </w:r>
      <w:r>
        <w:rPr>
          <w:lang w:val="en-US"/>
        </w:rPr>
        <w:t>anel insofar as the P</w:t>
      </w:r>
      <w:r w:rsidR="005925CD">
        <w:rPr>
          <w:lang w:val="en-US"/>
        </w:rPr>
        <w:t>PTN in that instance was a premium</w:t>
      </w:r>
      <w:r>
        <w:rPr>
          <w:lang w:val="en-US"/>
        </w:rPr>
        <w:t xml:space="preserve"> bus service rather than a fixed rail</w:t>
      </w:r>
      <w:r w:rsidR="008963E3">
        <w:rPr>
          <w:lang w:val="en-US"/>
        </w:rPr>
        <w:t xml:space="preserve"> service (or indeed tram). The P</w:t>
      </w:r>
      <w:r>
        <w:rPr>
          <w:lang w:val="en-US"/>
        </w:rPr>
        <w:t>anel in that instance did not accept the ar</w:t>
      </w:r>
      <w:r w:rsidR="005925CD">
        <w:rPr>
          <w:lang w:val="en-US"/>
        </w:rPr>
        <w:t>gument from the VPA that a premium</w:t>
      </w:r>
      <w:r>
        <w:rPr>
          <w:lang w:val="en-US"/>
        </w:rPr>
        <w:t xml:space="preserve"> bus service warranted a 600 m application of the RGZ as a default position before topographical and other constraints are considered. The VPA has consider</w:t>
      </w:r>
      <w:r w:rsidR="008963E3">
        <w:rPr>
          <w:lang w:val="en-US"/>
        </w:rPr>
        <w:t>ed the findings of the earlier P</w:t>
      </w:r>
      <w:r>
        <w:rPr>
          <w:lang w:val="en-US"/>
        </w:rPr>
        <w:t>an</w:t>
      </w:r>
      <w:r w:rsidR="008963E3">
        <w:rPr>
          <w:lang w:val="en-US"/>
        </w:rPr>
        <w:t>el and the questioning of this P</w:t>
      </w:r>
      <w:r>
        <w:rPr>
          <w:lang w:val="en-US"/>
        </w:rPr>
        <w:t xml:space="preserve">anel concerning the relevance </w:t>
      </w:r>
      <w:r w:rsidR="005925CD">
        <w:rPr>
          <w:lang w:val="en-US"/>
        </w:rPr>
        <w:t>of premium</w:t>
      </w:r>
      <w:r w:rsidRPr="006E6829">
        <w:rPr>
          <w:lang w:val="en-US"/>
        </w:rPr>
        <w:t xml:space="preserve"> bus services and walkable catchments. Having undertaken this consideration it remains the view of the VPA that a default 600 m</w:t>
      </w:r>
      <w:r w:rsidR="005925CD">
        <w:rPr>
          <w:lang w:val="en-US"/>
        </w:rPr>
        <w:t xml:space="preserve"> is appropriate around the premium</w:t>
      </w:r>
      <w:r w:rsidRPr="006E6829">
        <w:rPr>
          <w:lang w:val="en-US"/>
        </w:rPr>
        <w:t xml:space="preserve"> bus service.</w:t>
      </w:r>
    </w:p>
    <w:p w:rsidR="00A856B1" w:rsidRPr="006E6829" w:rsidRDefault="00A856B1" w:rsidP="00A856B1">
      <w:pPr>
        <w:rPr>
          <w:rFonts w:cs="Arial"/>
          <w:color w:val="000000"/>
          <w:lang w:val="en-US"/>
        </w:rPr>
      </w:pPr>
      <w:r w:rsidRPr="006E6829">
        <w:rPr>
          <w:rFonts w:cs="Arial"/>
          <w:color w:val="000000"/>
          <w:lang w:val="en-US"/>
        </w:rPr>
        <w:t>The DEDJTR website states:</w:t>
      </w:r>
    </w:p>
    <w:p w:rsidR="00A856B1" w:rsidRPr="006E6829" w:rsidRDefault="00A856B1" w:rsidP="00A856B1">
      <w:pPr>
        <w:ind w:left="720"/>
        <w:rPr>
          <w:rFonts w:cs="Arial"/>
          <w:i/>
          <w:color w:val="000000"/>
          <w:lang w:val="en-US"/>
        </w:rPr>
      </w:pPr>
      <w:r w:rsidRPr="006E6829">
        <w:rPr>
          <w:rFonts w:cs="Arial"/>
          <w:i/>
          <w:color w:val="000000"/>
          <w:lang w:val="en-US"/>
        </w:rPr>
        <w:t>The Principal Public Transport Network (PPTN) is a key component of Plan Melbourne, and is reflected in planning schemes across Victoria.</w:t>
      </w:r>
    </w:p>
    <w:p w:rsidR="00A856B1" w:rsidRPr="006E6829" w:rsidRDefault="00A856B1" w:rsidP="00A856B1">
      <w:pPr>
        <w:ind w:left="720"/>
        <w:rPr>
          <w:rFonts w:cs="Arial"/>
          <w:i/>
          <w:color w:val="000000"/>
          <w:lang w:val="en-US"/>
        </w:rPr>
      </w:pPr>
      <w:r w:rsidRPr="006E6829">
        <w:rPr>
          <w:rFonts w:cs="Arial"/>
          <w:i/>
          <w:color w:val="000000"/>
          <w:lang w:val="en-US"/>
        </w:rPr>
        <w:t>The PPTN is a statutory land use planning tool that supports integrated land use and transport planning by providing certainty to planners and the community about locations that are, or will be, served by high-quality public transport.</w:t>
      </w:r>
    </w:p>
    <w:p w:rsidR="00A856B1" w:rsidRPr="006E6829" w:rsidRDefault="00A856B1" w:rsidP="00A856B1">
      <w:pPr>
        <w:ind w:left="720"/>
        <w:rPr>
          <w:rFonts w:cs="Arial"/>
          <w:i/>
          <w:color w:val="000000"/>
          <w:lang w:val="en-US"/>
        </w:rPr>
      </w:pPr>
      <w:r w:rsidRPr="006E6829">
        <w:rPr>
          <w:rFonts w:cs="Arial"/>
          <w:i/>
          <w:color w:val="000000"/>
          <w:lang w:val="en-US"/>
        </w:rPr>
        <w:t>The PPTN is an incorporated document (PDF 2995.24 KB) under Clause 81.01 of the Victoria Planning Provisions and must be taken into account by responsible authorities in decision-making. Incorporated documents can only be amended by the Minister through a planning scheme amendment process.</w:t>
      </w:r>
    </w:p>
    <w:p w:rsidR="00A856B1" w:rsidRPr="006E6829" w:rsidRDefault="00A856B1" w:rsidP="00A856B1">
      <w:pPr>
        <w:ind w:left="720"/>
        <w:rPr>
          <w:rFonts w:cs="Arial"/>
          <w:i/>
          <w:color w:val="000000"/>
          <w:u w:val="single"/>
          <w:lang w:val="en-US"/>
        </w:rPr>
      </w:pPr>
      <w:r w:rsidRPr="006E6829">
        <w:rPr>
          <w:rFonts w:cs="Arial"/>
          <w:i/>
          <w:color w:val="000000"/>
          <w:u w:val="single"/>
          <w:lang w:val="en-US"/>
        </w:rPr>
        <w:t>The PPTN reflects the network of current and committed high-quality public transport services. It is designed to support integrated transport and land use planning, by encouraging more diverse and dense development near high-quality public transport to help support public transport usage.</w:t>
      </w:r>
    </w:p>
    <w:p w:rsidR="005925CD" w:rsidRPr="005925CD" w:rsidRDefault="005925CD" w:rsidP="005925CD">
      <w:pPr>
        <w:rPr>
          <w:rFonts w:cs="Arial"/>
          <w:color w:val="000000"/>
          <w:lang w:val="en-US"/>
        </w:rPr>
      </w:pPr>
      <w:r w:rsidRPr="005925CD">
        <w:rPr>
          <w:rFonts w:cs="Arial"/>
          <w:color w:val="000000"/>
          <w:lang w:val="en-US"/>
        </w:rPr>
        <w:t>The characteristics of premium bus services within the PPTN are not explicitly defined, but the VPA considers that they most closely align with the operations of high-frequency, direct regional connections currently provided under the 'Smart Bus' branding.</w:t>
      </w:r>
    </w:p>
    <w:p w:rsidR="00A856B1" w:rsidRPr="006E6829" w:rsidRDefault="00A856B1" w:rsidP="00A856B1">
      <w:pPr>
        <w:rPr>
          <w:rFonts w:cs="Arial"/>
          <w:color w:val="000000"/>
          <w:lang w:val="en-US"/>
        </w:rPr>
      </w:pPr>
      <w:r w:rsidRPr="006E6829">
        <w:rPr>
          <w:rFonts w:cs="Arial"/>
          <w:color w:val="000000"/>
          <w:lang w:val="en-US"/>
        </w:rPr>
        <w:t>The Public Transport for land use development describe Smart Bus as:</w:t>
      </w:r>
    </w:p>
    <w:p w:rsidR="00A856B1" w:rsidRPr="006E6829" w:rsidRDefault="00A856B1" w:rsidP="00A856B1">
      <w:pPr>
        <w:ind w:left="720"/>
        <w:rPr>
          <w:rFonts w:cs="Arial"/>
          <w:i/>
          <w:color w:val="000000"/>
          <w:lang w:val="en-US"/>
        </w:rPr>
      </w:pPr>
      <w:r w:rsidRPr="006E6829">
        <w:rPr>
          <w:rFonts w:cs="Arial"/>
          <w:i/>
          <w:color w:val="000000"/>
          <w:lang w:val="en-US"/>
        </w:rPr>
        <w:t xml:space="preserve">SmartBus is a premium bus service that offers more frequent services and longer operating hours. Buses operate along major arterial roads, connecting activity centres and interchanging with the train and tram networks. They also provide passenger information displays at selected locations, providing passengers with up-to-the-minute information on bus arrival times. Improved passenger information is also given at every stop with a local area map and service timetable (refer to Figure 28). </w:t>
      </w:r>
      <w:r w:rsidRPr="006E6829">
        <w:rPr>
          <w:rFonts w:cs="Arial"/>
          <w:i/>
          <w:color w:val="000000"/>
          <w:u w:val="single"/>
          <w:lang w:val="en-US"/>
        </w:rPr>
        <w:t>SmartBus services receive extensive levels of on-road bus priority treatments, such as bus lanes, queue jump facilities and the ability to request green light priority. This helps to ensure a timely and reliable service is provided</w:t>
      </w:r>
      <w:r w:rsidRPr="006E6829">
        <w:rPr>
          <w:rFonts w:cs="Arial"/>
          <w:i/>
          <w:color w:val="000000"/>
          <w:lang w:val="en-US"/>
        </w:rPr>
        <w:t>. SmartBus orbital routes are shown in Figure 29. Development proposals and traffic management devices should enhance and not prejudice bus operations and travel times. Any delay created must be mitigated to ensure that the service travel time remains unchanged. Guidance on the selection and design of bus priority measures for the SmartBus can be found in Austroads’ Road-Based Public Transport and High Occupancy Vehicles and VicRoads’ Bus Priority Guidelines. New or upgraded intersections should allow for the future inclusion of bus priority measures, eg. bus lanes, in the design, if they are not provided initially.</w:t>
      </w:r>
    </w:p>
    <w:p w:rsidR="00A856B1" w:rsidRDefault="00A856B1" w:rsidP="006E6829">
      <w:pPr>
        <w:rPr>
          <w:lang w:val="en-US"/>
        </w:rPr>
      </w:pPr>
      <w:r w:rsidRPr="006E6829">
        <w:rPr>
          <w:lang w:val="en-US"/>
        </w:rPr>
        <w:t>In order to compare th</w:t>
      </w:r>
      <w:r>
        <w:rPr>
          <w:lang w:val="en-US"/>
        </w:rPr>
        <w:t xml:space="preserve">e SmartBus service and tram services the VPA has considered the scheduling of various SmartBus and tram routes. It is observed that the tram system offers a different spatial transport service it being one predominantly oriented towards cross city centre travel while the SmartBus service incorporates similar outer to inner routes as well as orbital routes. To this extent </w:t>
      </w:r>
      <w:r w:rsidR="008963E3">
        <w:rPr>
          <w:lang w:val="en-US"/>
        </w:rPr>
        <w:t xml:space="preserve">it </w:t>
      </w:r>
      <w:r>
        <w:rPr>
          <w:lang w:val="en-US"/>
        </w:rPr>
        <w:t>is observed that the service areas of smart buses a</w:t>
      </w:r>
      <w:r w:rsidR="008963E3">
        <w:rPr>
          <w:lang w:val="en-US"/>
        </w:rPr>
        <w:t>re</w:t>
      </w:r>
      <w:r>
        <w:rPr>
          <w:lang w:val="en-US"/>
        </w:rPr>
        <w:t xml:space="preserve"> greater than those offered by the tram network.</w:t>
      </w:r>
    </w:p>
    <w:p w:rsidR="00A856B1" w:rsidRDefault="00A856B1" w:rsidP="006E6829">
      <w:pPr>
        <w:rPr>
          <w:lang w:val="en-US"/>
        </w:rPr>
      </w:pPr>
      <w:r>
        <w:rPr>
          <w:lang w:val="en-US"/>
        </w:rPr>
        <w:t>In general it is the case that SmartBus services operate half hourly until 6:30 AM from which time they operate on approximate 20 minute basis. Half hours services then resume in the evenings after the peak period. Tram timetabling is more variable and route dependent. Routes are scheduled from between 30 minutes in off-peak periods to 20 made to 20 minutes or even greater frequency during peak periods. Within</w:t>
      </w:r>
      <w:r w:rsidR="008963E3">
        <w:rPr>
          <w:lang w:val="en-US"/>
        </w:rPr>
        <w:t xml:space="preserve"> the materials provided to the P</w:t>
      </w:r>
      <w:r>
        <w:rPr>
          <w:lang w:val="en-US"/>
        </w:rPr>
        <w:t>anel are copies of two example SmartBus service timetable is and the summary pages from two tram services. Accordingly it can be observed that trams offer a narrower but marginally more frequent service while smart buses offer a marginally less frequent service over a broader range of routes.</w:t>
      </w:r>
    </w:p>
    <w:p w:rsidR="00A856B1" w:rsidRDefault="00A856B1" w:rsidP="006E6829">
      <w:pPr>
        <w:rPr>
          <w:lang w:val="en-US"/>
        </w:rPr>
      </w:pPr>
      <w:r>
        <w:rPr>
          <w:lang w:val="en-US"/>
        </w:rPr>
        <w:t>The average walking speed for an individual is between 3 and 5 km/h. Adopting a speed of 4 km/h a full kilometre would take 15 minutes to traverse and a 600 m distance (that is the outer extent of the proposed application of the RGZ) would take nine minutes to traverse. It follows that during the hours o</w:t>
      </w:r>
      <w:r w:rsidR="008963E3">
        <w:rPr>
          <w:lang w:val="en-US"/>
        </w:rPr>
        <w:t>f approximately 6 AM through to</w:t>
      </w:r>
      <w:r>
        <w:rPr>
          <w:lang w:val="en-US"/>
        </w:rPr>
        <w:t xml:space="preserve"> 8:30 PM all persons within the proposed default 600 m catchment could walk from the house and assuming that they just miss a service and have to wait for the next service, </w:t>
      </w:r>
      <w:r w:rsidR="008963E3">
        <w:rPr>
          <w:lang w:val="en-US"/>
        </w:rPr>
        <w:t>be on</w:t>
      </w:r>
      <w:r>
        <w:rPr>
          <w:lang w:val="en-US"/>
        </w:rPr>
        <w:t xml:space="preserve"> their mode of transport within 30 minutes. Of course those persons closer to the PPTN or those persons who do not just miss a service will receive a demonstrably higher level of service. In real terms this is an excellent level of public transport service. In real terms this is also a reasonable time for transport to high-quality public transport services.</w:t>
      </w:r>
    </w:p>
    <w:p w:rsidR="00A856B1" w:rsidRDefault="00A856B1" w:rsidP="006E6829">
      <w:pPr>
        <w:rPr>
          <w:lang w:val="en-US"/>
        </w:rPr>
      </w:pPr>
      <w:r>
        <w:rPr>
          <w:lang w:val="en-US"/>
        </w:rPr>
        <w:t>It is accepted that after the first day of gazettal of these PSP's the service may not reflect this id</w:t>
      </w:r>
      <w:r w:rsidR="008963E3">
        <w:rPr>
          <w:lang w:val="en-US"/>
        </w:rPr>
        <w:t>eal. A valid question for this P</w:t>
      </w:r>
      <w:r>
        <w:rPr>
          <w:lang w:val="en-US"/>
        </w:rPr>
        <w:t>anel to consider is whether in planning it is planning for the Sunbury of 2020 or the Sunbury of 2045</w:t>
      </w:r>
      <w:r w:rsidR="008963E3">
        <w:rPr>
          <w:lang w:val="en-US"/>
        </w:rPr>
        <w:t>.</w:t>
      </w:r>
      <w:r>
        <w:rPr>
          <w:lang w:val="en-US"/>
        </w:rPr>
        <w:t xml:space="preserve"> </w:t>
      </w:r>
      <w:r w:rsidRPr="006E6829">
        <w:rPr>
          <w:lang w:val="en-US"/>
        </w:rPr>
        <w:t>It is not possible nor indeed is it appropriate to adopt a 'suck it and see' approach to</w:t>
      </w:r>
      <w:r>
        <w:rPr>
          <w:lang w:val="en-US"/>
        </w:rPr>
        <w:t xml:space="preserve"> zoning of land that of course being the key output of the walkable catchment policy. Once zones are applied there will </w:t>
      </w:r>
      <w:r w:rsidR="008963E3">
        <w:rPr>
          <w:lang w:val="en-US"/>
        </w:rPr>
        <w:t>undoubtedly</w:t>
      </w:r>
      <w:r>
        <w:rPr>
          <w:lang w:val="en-US"/>
        </w:rPr>
        <w:t xml:space="preserve"> be resistance to change this much is known from the inner urban experience. The VPA </w:t>
      </w:r>
      <w:r w:rsidR="008963E3">
        <w:rPr>
          <w:lang w:val="en-US"/>
        </w:rPr>
        <w:t>requests</w:t>
      </w:r>
      <w:r>
        <w:rPr>
          <w:lang w:val="en-US"/>
        </w:rPr>
        <w:t xml:space="preserve"> this panel to acknowledge the link between high-quality public transport services and surrounding land use and to endorse the default position of 600 m for the walkable catchment from the SmartBus PPTN.</w:t>
      </w:r>
    </w:p>
    <w:p w:rsidR="00A856B1" w:rsidRDefault="00A856B1" w:rsidP="006E6829">
      <w:pPr>
        <w:rPr>
          <w:lang w:val="en-US"/>
        </w:rPr>
      </w:pPr>
      <w:r>
        <w:rPr>
          <w:lang w:val="en-US"/>
        </w:rPr>
        <w:t>The next issue concerns how the walkable catchment should be described within the PS</w:t>
      </w:r>
      <w:r w:rsidR="008963E3">
        <w:rPr>
          <w:lang w:val="en-US"/>
        </w:rPr>
        <w:t>P. The position adopted by the P</w:t>
      </w:r>
      <w:r>
        <w:rPr>
          <w:lang w:val="en-US"/>
        </w:rPr>
        <w:t xml:space="preserve">anel in the Mount Atkinson PSP and in the Plumpton and Kororoit PSP's has been to adopt the notion of walkable catchments. Firstly it </w:t>
      </w:r>
      <w:r w:rsidR="008963E3">
        <w:rPr>
          <w:lang w:val="en-US"/>
        </w:rPr>
        <w:t>is submitted</w:t>
      </w:r>
      <w:r>
        <w:rPr>
          <w:lang w:val="en-US"/>
        </w:rPr>
        <w:t xml:space="preserve"> that some delineation whether it be called the walkable catchment or something else must be included within the PSP. This is because the walkable catchment represents the defining boundary between the applied </w:t>
      </w:r>
      <w:r w:rsidR="008963E3">
        <w:rPr>
          <w:lang w:val="en-US"/>
        </w:rPr>
        <w:t>GRZ</w:t>
      </w:r>
      <w:r>
        <w:rPr>
          <w:lang w:val="en-US"/>
        </w:rPr>
        <w:t xml:space="preserve"> and the applied RGZ. Once this is accepted the question that then arises is whether or not the term walkable catchment is appropriate or should be replaced with an alternative description.</w:t>
      </w:r>
    </w:p>
    <w:p w:rsidR="00A856B1" w:rsidRDefault="00A856B1" w:rsidP="006E6829">
      <w:pPr>
        <w:rPr>
          <w:lang w:val="en-US"/>
        </w:rPr>
      </w:pPr>
      <w:r>
        <w:rPr>
          <w:lang w:val="en-US"/>
        </w:rPr>
        <w:t>Having considered this ques</w:t>
      </w:r>
      <w:r w:rsidR="008963E3">
        <w:rPr>
          <w:lang w:val="en-US"/>
        </w:rPr>
        <w:t>tion since it was raised by the P</w:t>
      </w:r>
      <w:r>
        <w:rPr>
          <w:lang w:val="en-US"/>
        </w:rPr>
        <w:t>anel the VPA has determined that the term walkable catchment remains the appropriate descriptor. The reason for this is that the walkable catchment and the associated land use implications of a walkable catchment in practice and in policy are the primary drivers of the application of the RGZ within the growth areas. The VPA does not consider that there is any particular purpose served by adopting a different title for what is effectively the same matter. The walkable catchment approac</w:t>
      </w:r>
      <w:r w:rsidR="008963E3">
        <w:rPr>
          <w:lang w:val="en-US"/>
        </w:rPr>
        <w:t>h has not only been adopted by P</w:t>
      </w:r>
      <w:r>
        <w:rPr>
          <w:lang w:val="en-US"/>
        </w:rPr>
        <w:t xml:space="preserve">anels it has also been endorsed by the Department and it communicates the underlying link or rationale for inclusion on the future urban structure. An alternative term will not communicate so clearly the same intent. </w:t>
      </w:r>
      <w:r w:rsidR="008963E3">
        <w:rPr>
          <w:lang w:val="en-US"/>
        </w:rPr>
        <w:t>The</w:t>
      </w:r>
      <w:r>
        <w:rPr>
          <w:lang w:val="en-US"/>
        </w:rPr>
        <w:t xml:space="preserve"> depiction of the walkable catchment on the FUS does not render the urban structure incoherent on the plan. Planning within the growth areas and the planning scheme should be reasonably accessible but this does not mean that the planning scheme should be overly simplified. In the case of the Sunbury and Lancefield PSP is, the FUS legibility could be improved through the use of alternative colours but this does not mean the walkable catchment should not be delineated.</w:t>
      </w:r>
    </w:p>
    <w:p w:rsidR="00A856B1" w:rsidRDefault="00A856B1" w:rsidP="006E6829">
      <w:pPr>
        <w:rPr>
          <w:lang w:val="en-US"/>
        </w:rPr>
      </w:pPr>
      <w:r>
        <w:rPr>
          <w:lang w:val="en-US"/>
        </w:rPr>
        <w:t>Having considered the panels question about the appropriateness of the term walkable catchment, the VPA submits that this phrase and its identification on the FUS should remain.</w:t>
      </w:r>
    </w:p>
    <w:p w:rsidR="002F6C6A" w:rsidRDefault="002F6C6A" w:rsidP="002F6C6A">
      <w:pPr>
        <w:pStyle w:val="Heading2"/>
      </w:pPr>
      <w:bookmarkStart w:id="12" w:name="_Toc496183243"/>
      <w:r>
        <w:t>Employment Land Requirements</w:t>
      </w:r>
      <w:bookmarkEnd w:id="12"/>
    </w:p>
    <w:p w:rsidR="002F6C6A" w:rsidRDefault="002F6C6A" w:rsidP="002F6C6A">
      <w:r>
        <w:t xml:space="preserve">Hume City Council has submitted that a total of 100ha of Industrial zoned land is required at the Sunbury Road employment area, based upon the requirements of the Sunbury-Diggers Rest Growth Corridor Plan, and the Sunbury Hume Integrated Growth Area Plan (HIGAP). </w:t>
      </w:r>
    </w:p>
    <w:p w:rsidR="002F6C6A" w:rsidRDefault="002F6C6A" w:rsidP="002F6C6A">
      <w:r>
        <w:t>The VPA believe that this is a misinterpretation of the intent of the Growth Corridor Plan which, although unclearly worded, sought the provision of an additional 100ha of employment land across the Sunbury-Diggers Rest Growth Corridor.</w:t>
      </w:r>
    </w:p>
    <w:p w:rsidR="002F6C6A" w:rsidRDefault="002F6C6A" w:rsidP="002F6C6A">
      <w:r>
        <w:t>Notwithstanding the fact that both the Growth Corridor Plan and the Sunbury HIGAP strategy are high level documents, the VPA submit that neither of these documents defined spatially an industrial outcome anywhere near approaching 100ha of land. The depiction of industrial land in each generally reflects the extent of Industrial zoned land in the exhibited Sunbury South PSP.</w:t>
      </w:r>
    </w:p>
    <w:p w:rsidR="002F6C6A" w:rsidRDefault="002F6C6A" w:rsidP="002F6C6A">
      <w:pPr>
        <w:suppressAutoHyphens w:val="0"/>
        <w:spacing w:before="0" w:line="240" w:lineRule="auto"/>
        <w:jc w:val="left"/>
      </w:pPr>
    </w:p>
    <w:p w:rsidR="002F6C6A" w:rsidRPr="004E6ADB" w:rsidRDefault="002F6C6A" w:rsidP="002F6C6A">
      <w:pPr>
        <w:suppressAutoHyphens w:val="0"/>
        <w:spacing w:before="0" w:line="240" w:lineRule="auto"/>
        <w:jc w:val="left"/>
        <w:rPr>
          <w:b/>
        </w:rPr>
      </w:pPr>
      <w:r w:rsidRPr="004E6ADB">
        <w:rPr>
          <w:b/>
          <w:sz w:val="16"/>
        </w:rPr>
        <w:t>Sunbury-Diggers Rest Growth Corridor Plan</w:t>
      </w:r>
      <w:r w:rsidRPr="004E6ADB">
        <w:rPr>
          <w:b/>
          <w:sz w:val="16"/>
        </w:rPr>
        <w:tab/>
      </w:r>
      <w:r w:rsidRPr="004E6ADB">
        <w:rPr>
          <w:b/>
          <w:sz w:val="16"/>
        </w:rPr>
        <w:tab/>
        <w:t>Sunbury HIGAP Spatial Strategy</w:t>
      </w:r>
    </w:p>
    <w:p w:rsidR="002F6C6A" w:rsidRDefault="002F6C6A" w:rsidP="002F6C6A">
      <w:r>
        <w:rPr>
          <w:noProof/>
        </w:rPr>
        <w:drawing>
          <wp:inline distT="0" distB="0" distL="0" distR="0" wp14:anchorId="01A4B98A" wp14:editId="276E9423">
            <wp:extent cx="2524125" cy="2324100"/>
            <wp:effectExtent l="0" t="0" r="9525" b="0"/>
            <wp:docPr id="2" name="Picture 2" descr="cid:image001.jpg@01D3489C.862C1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D3489C.862C13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24125" cy="2324100"/>
                    </a:xfrm>
                    <a:prstGeom prst="rect">
                      <a:avLst/>
                    </a:prstGeom>
                    <a:noFill/>
                    <a:ln>
                      <a:noFill/>
                    </a:ln>
                  </pic:spPr>
                </pic:pic>
              </a:graphicData>
            </a:graphic>
          </wp:inline>
        </w:drawing>
      </w:r>
      <w:r>
        <w:t xml:space="preserve">        </w:t>
      </w:r>
      <w:r>
        <w:rPr>
          <w:noProof/>
        </w:rPr>
        <w:drawing>
          <wp:inline distT="0" distB="0" distL="0" distR="0" wp14:anchorId="5835D49D" wp14:editId="242A5E78">
            <wp:extent cx="2619375" cy="2314575"/>
            <wp:effectExtent l="0" t="0" r="9525" b="9525"/>
            <wp:docPr id="3" name="Picture 3" descr="cid:image002.jpg@01D3489C.862C1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3489C.862C13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19375" cy="2314575"/>
                    </a:xfrm>
                    <a:prstGeom prst="rect">
                      <a:avLst/>
                    </a:prstGeom>
                    <a:noFill/>
                    <a:ln>
                      <a:noFill/>
                    </a:ln>
                  </pic:spPr>
                </pic:pic>
              </a:graphicData>
            </a:graphic>
          </wp:inline>
        </w:drawing>
      </w:r>
    </w:p>
    <w:p w:rsidR="002F6C6A" w:rsidRDefault="002F6C6A" w:rsidP="002F6C6A"/>
    <w:p w:rsidR="002F6C6A" w:rsidRDefault="002F6C6A" w:rsidP="002F6C6A">
      <w:r>
        <w:t xml:space="preserve">The VPA commissioned Hill PDA to undertake an assessment of industrial land requirements as part of the preparation of the Sunbury South and Lancefield Road PSPs. The </w:t>
      </w:r>
      <w:r w:rsidRPr="00E7542C">
        <w:rPr>
          <w:i/>
        </w:rPr>
        <w:t>Retail and Economic Assessment Report for PSP74 and PSP75</w:t>
      </w:r>
      <w:r>
        <w:t xml:space="preserve"> report identified the need for a total provision of 118ha of industrial land across the Sunbury-Diggers Rest growth area. </w:t>
      </w:r>
    </w:p>
    <w:p w:rsidR="002F6C6A" w:rsidRPr="008772E3" w:rsidRDefault="002F6C6A" w:rsidP="002F6C6A">
      <w:pPr>
        <w:rPr>
          <w:i/>
        </w:rPr>
      </w:pPr>
      <w:r>
        <w:t xml:space="preserve">The exhibited amendments are only required to deliver a portion of the approximately 133ha of land that will be </w:t>
      </w:r>
      <w:r w:rsidRPr="00F16E4A">
        <w:t>available for future industrial use across th</w:t>
      </w:r>
      <w:r>
        <w:t xml:space="preserve">e growth area (as set out in the VPA’s ‘Clarification of Industrial Land Supply – Sunbury/Diggers Rest Growth Corridor’, Tabled Document 3, circulated in response to a Panel </w:t>
      </w:r>
      <w:r w:rsidRPr="008772E3">
        <w:t xml:space="preserve">direction on July 24, 2017). </w:t>
      </w:r>
    </w:p>
    <w:p w:rsidR="00271ED8" w:rsidRDefault="00271ED8" w:rsidP="00271ED8">
      <w:r>
        <w:t>The VPA submits that the PSPs as exhibited provide for the demonstrated future industrial land supply needs, and that no change to the Sunbury South PSP to provide additional land at Sunbury Road employment area should be supported.</w:t>
      </w:r>
    </w:p>
    <w:p w:rsidR="00271ED8" w:rsidRDefault="00271ED8" w:rsidP="00271ED8">
      <w:r w:rsidRPr="00FF104F">
        <w:t>T</w:t>
      </w:r>
      <w:r w:rsidRPr="00CA5309">
        <w:t>his view was</w:t>
      </w:r>
      <w:r w:rsidRPr="00FF104F">
        <w:t xml:space="preserve"> supported by the expert evidence of Matt Ainsaar who provided economic evidence on the in</w:t>
      </w:r>
      <w:r w:rsidRPr="00CA5309">
        <w:t xml:space="preserve">dustrial land supply in Sunbury on behalf of Hi Quality. </w:t>
      </w:r>
      <w:r>
        <w:t xml:space="preserve">In his evidence </w:t>
      </w:r>
      <w:r w:rsidRPr="00CA5309">
        <w:t>Mr Ainsaar</w:t>
      </w:r>
      <w:r>
        <w:t xml:space="preserve"> concluded that the planned supply of industrial land across the Sunbury Growth Area would exceed forecast demand by nearly 6 hectares (p12). Upon presentation of his evidence, Mr Ainsar indicated that the Sunbury industrial land supply should rightly be pitched population-driven demand, and that the state significant industrial areas to the north and west of Melbourne held a competitive advantage over industrial land supply in Sunbury, and that in any event these areas were relatively accessible to Sunbury residents as potential places of employment.</w:t>
      </w:r>
    </w:p>
    <w:p w:rsidR="00271ED8" w:rsidRPr="00FF104F" w:rsidRDefault="00271ED8" w:rsidP="00271ED8">
      <w:r w:rsidRPr="00CA5309">
        <w:t xml:space="preserve">The VPA has reviewed the Regionally Significant Landscape Values where they extend </w:t>
      </w:r>
      <w:r>
        <w:t>above</w:t>
      </w:r>
      <w:r w:rsidRPr="00CA5309">
        <w:t xml:space="preserve"> the break of slope into the industrial precinct and have determined that these areas are developable. These areas represent a logical extension to the employment precinct, so will be shown as Industrial 1 Zone within the PSP. This represents an additional 10.37 hectares of industrial land above that exhibited.</w:t>
      </w:r>
      <w:r w:rsidRPr="00FF104F">
        <w:t xml:space="preserve"> </w:t>
      </w:r>
    </w:p>
    <w:p w:rsidR="00271ED8" w:rsidRDefault="00271ED8" w:rsidP="00271ED8">
      <w:r w:rsidRPr="00CA5309">
        <w:t>The VPA submit and that no change</w:t>
      </w:r>
      <w:r>
        <w:t xml:space="preserve"> to the Sunbury South PSP to provide additional land at Sunbury Road employment area should be supported, beyond those previously identified as landscape values but sitting above the break of slope.</w:t>
      </w:r>
    </w:p>
    <w:p w:rsidR="002F6C6A" w:rsidRPr="00217D0A" w:rsidRDefault="002F6C6A" w:rsidP="00217D0A">
      <w:pPr>
        <w:pStyle w:val="Caption"/>
        <w:rPr>
          <w:rFonts w:cs="Arial"/>
          <w:iCs w:val="0"/>
          <w:sz w:val="22"/>
          <w:szCs w:val="22"/>
          <w:lang w:eastAsia="en-US"/>
        </w:rPr>
      </w:pPr>
      <w:r w:rsidRPr="00217D0A">
        <w:rPr>
          <w:rFonts w:cs="Arial"/>
          <w:iCs w:val="0"/>
          <w:sz w:val="22"/>
          <w:szCs w:val="22"/>
          <w:lang w:eastAsia="en-US"/>
        </w:rPr>
        <w:t>Response to Economic Assessment for Sunbury, September 2011</w:t>
      </w:r>
    </w:p>
    <w:p w:rsidR="002F6C6A" w:rsidRDefault="002F6C6A" w:rsidP="002F6C6A">
      <w:r>
        <w:t>On 27 September 2017, Hume City Council tabled a report prepared by AEC Group on its behalf as an input into the Sunbury HIGAP strategy, which defined land requirements for a range of different employment outcomes across the Sunbury growth area (Tabled Document 120). The report ‘</w:t>
      </w:r>
      <w:r>
        <w:rPr>
          <w:i/>
          <w:iCs/>
        </w:rPr>
        <w:t>Economic Assessment for Sunbury – September 2011</w:t>
      </w:r>
      <w:r>
        <w:t>’, recommended the following provision for employment land at section 5.4 (page 37)</w:t>
      </w:r>
    </w:p>
    <w:p w:rsidR="002F6C6A" w:rsidRPr="007C3786" w:rsidRDefault="002F6C6A" w:rsidP="00814C2B">
      <w:pPr>
        <w:pStyle w:val="ListParagraph"/>
        <w:numPr>
          <w:ilvl w:val="0"/>
          <w:numId w:val="14"/>
        </w:numPr>
        <w:spacing w:before="200" w:after="0" w:line="276" w:lineRule="auto"/>
        <w:jc w:val="both"/>
        <w:rPr>
          <w:rFonts w:ascii="Arial" w:hAnsi="Arial" w:cs="Arial"/>
          <w:sz w:val="18"/>
        </w:rPr>
      </w:pPr>
      <w:r w:rsidRPr="007C3786">
        <w:rPr>
          <w:rFonts w:ascii="Arial" w:hAnsi="Arial" w:cs="Arial"/>
          <w:sz w:val="18"/>
        </w:rPr>
        <w:t>95-100ha of additional light industrial land</w:t>
      </w:r>
    </w:p>
    <w:p w:rsidR="002F6C6A" w:rsidRPr="007C3786" w:rsidRDefault="002F6C6A" w:rsidP="00814C2B">
      <w:pPr>
        <w:pStyle w:val="ListParagraph"/>
        <w:numPr>
          <w:ilvl w:val="0"/>
          <w:numId w:val="14"/>
        </w:numPr>
        <w:spacing w:before="200" w:after="0" w:line="276" w:lineRule="auto"/>
        <w:jc w:val="both"/>
        <w:rPr>
          <w:rFonts w:ascii="Arial" w:hAnsi="Arial" w:cs="Arial"/>
          <w:sz w:val="18"/>
        </w:rPr>
      </w:pPr>
      <w:r w:rsidRPr="007C3786">
        <w:rPr>
          <w:rFonts w:ascii="Arial" w:hAnsi="Arial" w:cs="Arial"/>
          <w:sz w:val="18"/>
        </w:rPr>
        <w:t>70,000-75,000sqm of additional commercial space</w:t>
      </w:r>
    </w:p>
    <w:p w:rsidR="002F6C6A" w:rsidRPr="007C3786" w:rsidRDefault="002F6C6A" w:rsidP="00814C2B">
      <w:pPr>
        <w:pStyle w:val="ListParagraph"/>
        <w:numPr>
          <w:ilvl w:val="0"/>
          <w:numId w:val="14"/>
        </w:numPr>
        <w:spacing w:before="200" w:after="0" w:line="276" w:lineRule="auto"/>
        <w:jc w:val="both"/>
        <w:rPr>
          <w:rFonts w:ascii="Arial" w:hAnsi="Arial" w:cs="Arial"/>
          <w:sz w:val="18"/>
        </w:rPr>
      </w:pPr>
      <w:r w:rsidRPr="007C3786">
        <w:rPr>
          <w:rFonts w:ascii="Arial" w:hAnsi="Arial" w:cs="Arial"/>
          <w:sz w:val="18"/>
        </w:rPr>
        <w:t>100,000sqm of additional retail space</w:t>
      </w:r>
    </w:p>
    <w:p w:rsidR="002F6C6A" w:rsidRPr="007C3786" w:rsidRDefault="002F6C6A" w:rsidP="00814C2B">
      <w:pPr>
        <w:pStyle w:val="ListParagraph"/>
        <w:numPr>
          <w:ilvl w:val="0"/>
          <w:numId w:val="14"/>
        </w:numPr>
        <w:spacing w:before="200" w:after="0" w:line="276" w:lineRule="auto"/>
        <w:jc w:val="both"/>
        <w:rPr>
          <w:rFonts w:ascii="Arial" w:hAnsi="Arial" w:cs="Arial"/>
          <w:sz w:val="18"/>
        </w:rPr>
      </w:pPr>
      <w:r w:rsidRPr="007C3786">
        <w:rPr>
          <w:rFonts w:ascii="Arial" w:hAnsi="Arial" w:cs="Arial"/>
          <w:sz w:val="18"/>
        </w:rPr>
        <w:t>85,000-90,000sqm of additional community health and education facilities.</w:t>
      </w:r>
    </w:p>
    <w:p w:rsidR="002F6C6A" w:rsidRDefault="002F6C6A" w:rsidP="002F6C6A">
      <w:r>
        <w:t>The VPA considers that, of these uses, the last three are overwhelmingly provided outside nominated industrial areas. A proportion of the additional commercial space might be delivered in industrial areas, however the majority of this space, and the retail uses, are best delivered in activity centres. Community health and education uses will be delivered in centres as well as nominated community hubs across established areas and new growth precincts.</w:t>
      </w:r>
    </w:p>
    <w:p w:rsidR="002F6C6A" w:rsidRDefault="002F6C6A" w:rsidP="002F6C6A">
      <w:r>
        <w:t>The VPA submits that this report, recommending the provision of a total of 95-100ha of additional light industrial land across the growth area, is generally consistent with the Hill PDA assessment, and supports the Sunbury South PSP as exhibited.</w:t>
      </w:r>
    </w:p>
    <w:p w:rsidR="002F6C6A" w:rsidRPr="002F6C6A" w:rsidRDefault="002F6C6A" w:rsidP="002F6C6A">
      <w:pPr>
        <w:pStyle w:val="Caption"/>
        <w:rPr>
          <w:rFonts w:cs="Arial"/>
          <w:iCs w:val="0"/>
          <w:sz w:val="22"/>
          <w:szCs w:val="22"/>
          <w:lang w:eastAsia="en-US"/>
        </w:rPr>
      </w:pPr>
      <w:r w:rsidRPr="002F6C6A">
        <w:rPr>
          <w:rFonts w:cs="Arial"/>
          <w:iCs w:val="0"/>
          <w:sz w:val="22"/>
          <w:szCs w:val="22"/>
          <w:lang w:eastAsia="en-US"/>
        </w:rPr>
        <w:t>Appropriate Zone to support Industrial Uses</w:t>
      </w:r>
    </w:p>
    <w:p w:rsidR="002F6C6A" w:rsidRDefault="002F6C6A" w:rsidP="002F6C6A">
      <w:r>
        <w:t xml:space="preserve">Some of the ‘employment land’ supply across the Growth Area, including that provided at the Diggers Rest PSP, and that proposed on Vineyard Road within the Sunbury South PSP, is currently (or is proposed to be) subject to a Commercial 2 Zone. </w:t>
      </w:r>
    </w:p>
    <w:p w:rsidR="002F6C6A" w:rsidRDefault="002F6C6A" w:rsidP="002F6C6A">
      <w:r>
        <w:t>The VPA has undertaken a review of the permissible uses within the Commercial 2 Zone compared with those across the Industrial 1 Zone and Industrial 3 Zone, to determine whether that zone can reasonably be considered to contribute to the industrial land supply across the growth area.</w:t>
      </w:r>
    </w:p>
    <w:p w:rsidR="002F6C6A" w:rsidRDefault="002F6C6A" w:rsidP="002F6C6A">
      <w:r>
        <w:t>The table below illustrates possible uses across these three zones. It is clear that whilst there is some greater capacity to deliver retail uses within the Commercial 2 Zone, all three zones provide the capacity to support a range of employment generating uses, including industry and warehousing. The Panel should also note that the exhibited amendment proposes more restrictive caps on retail floor space in the Commercial 2 Zone than is typical within the zone, to preserve the integrity of the planned town centre network.</w:t>
      </w:r>
    </w:p>
    <w:p w:rsidR="002F6C6A" w:rsidRDefault="002F6C6A" w:rsidP="002F6C6A">
      <w:r>
        <w:t>The VPA therefore submit that a holistic consideration of the future industrial land use potential of the growth area need also have regard for the ability for this demand to be met within the Commercial 2 Zone in addition to the Industrial zones. The VPA submit that the PSP as exhibited makes appropriate provision for the demonstrated future industrial land supply needs, and would submit that the Panel should not recommend a change to the amendment to provide additional industrial land supply at Sunbury Road.</w:t>
      </w:r>
    </w:p>
    <w:p w:rsidR="002F6C6A" w:rsidRDefault="002F6C6A" w:rsidP="002F6C6A">
      <w:pPr>
        <w:pStyle w:val="Referencesource"/>
      </w:pPr>
    </w:p>
    <w:p w:rsidR="002F6C6A" w:rsidRDefault="002F6C6A" w:rsidP="002F6C6A">
      <w:pPr>
        <w:pStyle w:val="Referencesource"/>
        <w:rPr>
          <w:b/>
          <w:i w:val="0"/>
        </w:rPr>
      </w:pPr>
      <w:r w:rsidRPr="004E6ADB">
        <w:rPr>
          <w:b/>
          <w:i w:val="0"/>
        </w:rPr>
        <w:t>Comparison of Key Commercial Uses – C2, IN1 and IN3</w:t>
      </w:r>
    </w:p>
    <w:p w:rsidR="002F6C6A" w:rsidRPr="004E6ADB" w:rsidRDefault="002F6C6A" w:rsidP="002F6C6A">
      <w:pPr>
        <w:pStyle w:val="Referencesource"/>
        <w:rPr>
          <w:b/>
          <w:i w:val="0"/>
        </w:rPr>
      </w:pPr>
    </w:p>
    <w:tbl>
      <w:tblPr>
        <w:tblW w:w="0" w:type="auto"/>
        <w:tblCellMar>
          <w:left w:w="0" w:type="dxa"/>
          <w:right w:w="0" w:type="dxa"/>
        </w:tblCellMar>
        <w:tblLook w:val="04A0" w:firstRow="1" w:lastRow="0" w:firstColumn="1" w:lastColumn="0" w:noHBand="0" w:noVBand="1"/>
      </w:tblPr>
      <w:tblGrid>
        <w:gridCol w:w="2122"/>
        <w:gridCol w:w="2121"/>
        <w:gridCol w:w="2249"/>
        <w:gridCol w:w="2009"/>
      </w:tblGrid>
      <w:tr w:rsidR="002F6C6A" w:rsidRPr="001115AE" w:rsidTr="00806FDB">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F6C6A" w:rsidRPr="001115AE" w:rsidRDefault="002F6C6A" w:rsidP="00806FDB">
            <w:pPr>
              <w:rPr>
                <w:sz w:val="16"/>
              </w:rPr>
            </w:pPr>
          </w:p>
        </w:tc>
        <w:tc>
          <w:tcPr>
            <w:tcW w:w="21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sz w:val="16"/>
              </w:rPr>
            </w:pPr>
            <w:r w:rsidRPr="001115AE">
              <w:rPr>
                <w:b/>
                <w:bCs/>
                <w:sz w:val="16"/>
              </w:rPr>
              <w:t>Commercial 2</w:t>
            </w:r>
          </w:p>
        </w:tc>
        <w:tc>
          <w:tcPr>
            <w:tcW w:w="22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sz w:val="16"/>
              </w:rPr>
            </w:pPr>
            <w:r w:rsidRPr="001115AE">
              <w:rPr>
                <w:b/>
                <w:bCs/>
                <w:sz w:val="16"/>
              </w:rPr>
              <w:t>Industrial 1</w:t>
            </w:r>
          </w:p>
        </w:tc>
        <w:tc>
          <w:tcPr>
            <w:tcW w:w="20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sz w:val="16"/>
              </w:rPr>
            </w:pPr>
            <w:r w:rsidRPr="001115AE">
              <w:rPr>
                <w:b/>
                <w:bCs/>
                <w:sz w:val="16"/>
              </w:rPr>
              <w:t>Industrial 3</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Industry</w:t>
            </w:r>
          </w:p>
        </w:tc>
        <w:tc>
          <w:tcPr>
            <w:tcW w:w="2121"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(threshold distance condition)</w:t>
            </w:r>
          </w:p>
        </w:tc>
        <w:tc>
          <w:tcPr>
            <w:tcW w:w="2249"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(threshold distance and amenity condition)</w:t>
            </w:r>
          </w:p>
        </w:tc>
        <w:tc>
          <w:tcPr>
            <w:tcW w:w="20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Warehouse</w:t>
            </w:r>
          </w:p>
        </w:tc>
        <w:tc>
          <w:tcPr>
            <w:tcW w:w="2121"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(threshold distance condition)</w:t>
            </w:r>
          </w:p>
        </w:tc>
        <w:tc>
          <w:tcPr>
            <w:tcW w:w="2249"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(threshold distance and amenity condition)</w:t>
            </w:r>
          </w:p>
        </w:tc>
        <w:tc>
          <w:tcPr>
            <w:tcW w:w="20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Supermarket</w:t>
            </w:r>
          </w:p>
        </w:tc>
        <w:tc>
          <w:tcPr>
            <w:tcW w:w="2121"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(1800sqm and RDZ)</w:t>
            </w:r>
          </w:p>
        </w:tc>
        <w:tc>
          <w:tcPr>
            <w:tcW w:w="2249"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3</w:t>
            </w:r>
          </w:p>
        </w:tc>
        <w:tc>
          <w:tcPr>
            <w:tcW w:w="2009"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(1800sqm and RDZ)</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Shop</w:t>
            </w:r>
          </w:p>
        </w:tc>
        <w:tc>
          <w:tcPr>
            <w:tcW w:w="2121"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(supermarket related)</w:t>
            </w:r>
          </w:p>
        </w:tc>
        <w:tc>
          <w:tcPr>
            <w:tcW w:w="2249"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3</w:t>
            </w:r>
          </w:p>
        </w:tc>
        <w:tc>
          <w:tcPr>
            <w:tcW w:w="2009"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(supermarket related)</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Retail Premises</w:t>
            </w:r>
          </w:p>
        </w:tc>
        <w:tc>
          <w:tcPr>
            <w:tcW w:w="212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c>
          <w:tcPr>
            <w:tcW w:w="224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c>
          <w:tcPr>
            <w:tcW w:w="20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Restricted Retail</w:t>
            </w:r>
          </w:p>
        </w:tc>
        <w:tc>
          <w:tcPr>
            <w:tcW w:w="2121"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w:t>
            </w:r>
          </w:p>
        </w:tc>
        <w:tc>
          <w:tcPr>
            <w:tcW w:w="224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c>
          <w:tcPr>
            <w:tcW w:w="20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Trade Supplies</w:t>
            </w:r>
          </w:p>
        </w:tc>
        <w:tc>
          <w:tcPr>
            <w:tcW w:w="2121"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w:t>
            </w:r>
          </w:p>
        </w:tc>
        <w:tc>
          <w:tcPr>
            <w:tcW w:w="224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c>
          <w:tcPr>
            <w:tcW w:w="20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Food and Drink Premises</w:t>
            </w:r>
          </w:p>
        </w:tc>
        <w:tc>
          <w:tcPr>
            <w:tcW w:w="2121"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 (max 100sqm)</w:t>
            </w:r>
          </w:p>
        </w:tc>
        <w:tc>
          <w:tcPr>
            <w:tcW w:w="224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c>
          <w:tcPr>
            <w:tcW w:w="20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Office</w:t>
            </w:r>
          </w:p>
        </w:tc>
        <w:tc>
          <w:tcPr>
            <w:tcW w:w="2121"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1</w:t>
            </w:r>
          </w:p>
        </w:tc>
        <w:tc>
          <w:tcPr>
            <w:tcW w:w="2249"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 (schedule cap)</w:t>
            </w:r>
          </w:p>
        </w:tc>
        <w:tc>
          <w:tcPr>
            <w:tcW w:w="2009"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 (schedule cap)</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Accommodation</w:t>
            </w:r>
          </w:p>
        </w:tc>
        <w:tc>
          <w:tcPr>
            <w:tcW w:w="212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3</w:t>
            </w:r>
          </w:p>
        </w:tc>
        <w:tc>
          <w:tcPr>
            <w:tcW w:w="2249"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3</w:t>
            </w:r>
          </w:p>
        </w:tc>
        <w:tc>
          <w:tcPr>
            <w:tcW w:w="2009"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3</w:t>
            </w:r>
          </w:p>
        </w:tc>
      </w:tr>
      <w:tr w:rsidR="002F6C6A" w:rsidRPr="001115AE" w:rsidTr="00806FDB">
        <w:tc>
          <w:tcPr>
            <w:tcW w:w="21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6C6A" w:rsidRPr="001115AE" w:rsidRDefault="002F6C6A" w:rsidP="00806FDB">
            <w:pPr>
              <w:rPr>
                <w:b/>
                <w:bCs/>
                <w:i/>
                <w:iCs/>
                <w:sz w:val="16"/>
                <w:szCs w:val="20"/>
              </w:rPr>
            </w:pPr>
            <w:r w:rsidRPr="001115AE">
              <w:rPr>
                <w:b/>
                <w:bCs/>
                <w:i/>
                <w:iCs/>
                <w:sz w:val="16"/>
                <w:szCs w:val="20"/>
              </w:rPr>
              <w:t>Place of Assembly</w:t>
            </w:r>
          </w:p>
        </w:tc>
        <w:tc>
          <w:tcPr>
            <w:tcW w:w="212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c>
          <w:tcPr>
            <w:tcW w:w="224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c>
          <w:tcPr>
            <w:tcW w:w="20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2F6C6A" w:rsidRPr="001115AE" w:rsidRDefault="002F6C6A" w:rsidP="00806FDB">
            <w:pPr>
              <w:rPr>
                <w:sz w:val="16"/>
                <w:szCs w:val="20"/>
              </w:rPr>
            </w:pPr>
            <w:r w:rsidRPr="001115AE">
              <w:rPr>
                <w:sz w:val="16"/>
                <w:szCs w:val="20"/>
              </w:rPr>
              <w:t>Section 2</w:t>
            </w:r>
          </w:p>
        </w:tc>
      </w:tr>
    </w:tbl>
    <w:p w:rsidR="002F6C6A" w:rsidRDefault="002F6C6A" w:rsidP="002F6C6A"/>
    <w:p w:rsidR="00BD0BD8" w:rsidRDefault="00BD0BD8" w:rsidP="004A62FB">
      <w:pPr>
        <w:pStyle w:val="Heading2"/>
      </w:pPr>
      <w:bookmarkStart w:id="13" w:name="_Toc496183244"/>
      <w:r>
        <w:t>Sunbury South Secondary Schools</w:t>
      </w:r>
      <w:bookmarkEnd w:id="13"/>
    </w:p>
    <w:p w:rsidR="00BD0BD8" w:rsidRDefault="00BD0BD8" w:rsidP="00585A2E">
      <w:pPr>
        <w:rPr>
          <w:rFonts w:ascii="VIC" w:hAnsi="VIC" w:cs="Arial"/>
          <w:color w:val="005EA1" w:themeColor="accent1"/>
          <w:sz w:val="22"/>
          <w:szCs w:val="22"/>
          <w:lang w:eastAsia="en-US"/>
        </w:rPr>
      </w:pPr>
      <w:r w:rsidRPr="00271ED8">
        <w:rPr>
          <w:rFonts w:ascii="VIC" w:hAnsi="VIC" w:cs="Arial"/>
          <w:color w:val="005EA1" w:themeColor="accent1"/>
          <w:sz w:val="22"/>
          <w:szCs w:val="22"/>
          <w:lang w:eastAsia="en-US"/>
        </w:rPr>
        <w:t>Redstone Hill</w:t>
      </w:r>
    </w:p>
    <w:p w:rsidR="00271ED8" w:rsidRDefault="00271ED8" w:rsidP="00271ED8">
      <w:pPr>
        <w:rPr>
          <w:lang w:eastAsia="en-US"/>
        </w:rPr>
      </w:pPr>
      <w:r>
        <w:rPr>
          <w:lang w:eastAsia="en-US"/>
        </w:rPr>
        <w:t>A number of submissions were received from parties in relation to the preferred location for the government secondary school in the vicinity of the Redstone Hill Major Town Centre. As part of the VPA response to these submissions, we have engaged with the Department of Education and Training (DET) to seek confirmation of their preferred location.</w:t>
      </w:r>
    </w:p>
    <w:p w:rsidR="00271ED8" w:rsidRDefault="00271ED8" w:rsidP="00271ED8">
      <w:pPr>
        <w:rPr>
          <w:lang w:eastAsia="en-US"/>
        </w:rPr>
      </w:pPr>
      <w:r>
        <w:rPr>
          <w:lang w:eastAsia="en-US"/>
        </w:rPr>
        <w:t xml:space="preserve">DET have advised that they remain committed to the concept of a P12 campus model, co-located with active open space, but have not been able to formalise their position on their preferred location ahead of the close of the Panel Hearing. </w:t>
      </w:r>
    </w:p>
    <w:p w:rsidR="00271ED8" w:rsidRDefault="00271ED8" w:rsidP="00271ED8">
      <w:pPr>
        <w:rPr>
          <w:lang w:eastAsia="en-US"/>
        </w:rPr>
      </w:pPr>
      <w:r>
        <w:rPr>
          <w:lang w:eastAsia="en-US"/>
        </w:rPr>
        <w:t xml:space="preserve">DET anticipate being able to formalise their submission over the coming fortnight, and the VPA will provide correspondence to confirm this position to the Panel as it comes to hand. </w:t>
      </w:r>
    </w:p>
    <w:p w:rsidR="00BD0BD8" w:rsidRPr="00585A2E" w:rsidRDefault="00BD0BD8" w:rsidP="00585A2E">
      <w:pPr>
        <w:rPr>
          <w:rFonts w:ascii="VIC" w:hAnsi="VIC" w:cs="Arial"/>
          <w:color w:val="005EA1" w:themeColor="accent1"/>
          <w:sz w:val="22"/>
          <w:szCs w:val="22"/>
          <w:lang w:eastAsia="en-US"/>
        </w:rPr>
      </w:pPr>
      <w:r w:rsidRPr="00585A2E">
        <w:rPr>
          <w:rFonts w:ascii="VIC" w:hAnsi="VIC" w:cs="Arial"/>
          <w:color w:val="005EA1" w:themeColor="accent1"/>
          <w:sz w:val="22"/>
          <w:szCs w:val="22"/>
          <w:lang w:eastAsia="en-US"/>
        </w:rPr>
        <w:t>Harpers Creek</w:t>
      </w:r>
    </w:p>
    <w:p w:rsidR="00E47699" w:rsidRDefault="00E47699" w:rsidP="00E47699">
      <w:pPr>
        <w:rPr>
          <w:color w:val="000000"/>
        </w:rPr>
      </w:pPr>
      <w:r>
        <w:rPr>
          <w:color w:val="000000"/>
        </w:rPr>
        <w:t>Hume City Council submitted that provision should be made for a secondary school within the Harpers Creek area of the Sunbury South PSP, as a ‘contingency’ on the basis that it is possible that no secondary school site will be nominated within the master plan currently under preparation for Jacksons Hill.</w:t>
      </w:r>
    </w:p>
    <w:p w:rsidR="00E47699" w:rsidRDefault="00E47699" w:rsidP="00E47699">
      <w:pPr>
        <w:rPr>
          <w:color w:val="000000"/>
        </w:rPr>
      </w:pPr>
      <w:r>
        <w:rPr>
          <w:color w:val="000000"/>
        </w:rPr>
        <w:t xml:space="preserve">The draft of the master plan is nearing completion, and it will be subject to a consultation process in coming months. </w:t>
      </w:r>
    </w:p>
    <w:p w:rsidR="00E47699" w:rsidRDefault="00E47699" w:rsidP="00E47699">
      <w:pPr>
        <w:rPr>
          <w:color w:val="000000"/>
        </w:rPr>
      </w:pPr>
      <w:r>
        <w:rPr>
          <w:color w:val="000000"/>
        </w:rPr>
        <w:t xml:space="preserve">The VPA has subsequently met with officers of the </w:t>
      </w:r>
      <w:r w:rsidR="00271ED8">
        <w:rPr>
          <w:color w:val="000000"/>
        </w:rPr>
        <w:t>DET</w:t>
      </w:r>
      <w:r>
        <w:rPr>
          <w:color w:val="000000"/>
        </w:rPr>
        <w:t xml:space="preserve"> who have advised that they and the Victorian School Building Authority have been actively engaged in discussions with the VPA and Victoria University in relation to the preparation of a master plan for the Jacksons Hill hilltop precinct. On the basis of these discussions, DET advised the VPA that:</w:t>
      </w:r>
    </w:p>
    <w:p w:rsidR="00E47699" w:rsidRDefault="00585A2E" w:rsidP="000E0DB1">
      <w:pPr>
        <w:pStyle w:val="List1bullet"/>
      </w:pPr>
      <w:r w:rsidRPr="00585A2E">
        <w:t>T</w:t>
      </w:r>
      <w:r w:rsidR="00E47699">
        <w:t xml:space="preserve">he Department is satisfied that there is an opportunity to accommodate a secondary school at Jacksons Hill, and that this will be reflected in the draft plan. </w:t>
      </w:r>
    </w:p>
    <w:p w:rsidR="00E47699" w:rsidRDefault="00E47699" w:rsidP="000E0DB1">
      <w:pPr>
        <w:pStyle w:val="List1bullet"/>
      </w:pPr>
      <w:r>
        <w:t>In the event that a secondary school is required to service future growth in the communities to the south-west of Sunbury (including Diggers Rest), Jacksons Hill represents an ideal location for a secondary school and would be preferred over any potential sites within Sunbury South (west of Jacksons Creek).</w:t>
      </w:r>
    </w:p>
    <w:p w:rsidR="00E47699" w:rsidRDefault="00E47699" w:rsidP="00585A2E">
      <w:pPr>
        <w:pStyle w:val="List1bullet"/>
      </w:pPr>
      <w:r>
        <w:t>On the basis of the above, DET does not wish for an opportunity for an additional secondary school site to be nominated in the Sunbury South PSP (in the ‘Harpers Creek’ area).</w:t>
      </w:r>
    </w:p>
    <w:p w:rsidR="00315482" w:rsidRPr="007126E8" w:rsidRDefault="00E47699" w:rsidP="004A62FB">
      <w:pPr>
        <w:rPr>
          <w:i/>
          <w:u w:val="single"/>
          <w:lang w:eastAsia="en-US"/>
        </w:rPr>
      </w:pPr>
      <w:r>
        <w:rPr>
          <w:color w:val="000000"/>
        </w:rPr>
        <w:t>The VPA submits that Panel should therefore recommend no change to the Future Urban Structure to incorporate an additional government secondary school in the western part of the Sunbury South precinct. </w:t>
      </w:r>
    </w:p>
    <w:p w:rsidR="00BD0BD8" w:rsidRDefault="00075782" w:rsidP="00075782">
      <w:pPr>
        <w:pStyle w:val="Heading2"/>
      </w:pPr>
      <w:bookmarkStart w:id="14" w:name="_Toc496183245"/>
      <w:r>
        <w:t>Drainage</w:t>
      </w:r>
      <w:bookmarkEnd w:id="14"/>
    </w:p>
    <w:p w:rsidR="00075782" w:rsidRPr="0005371A" w:rsidRDefault="00075782" w:rsidP="0005371A">
      <w:r w:rsidRPr="0005371A">
        <w:t xml:space="preserve">The VPA’s submissions in this matter have encompassed the position of Melbourne Water.  </w:t>
      </w:r>
    </w:p>
    <w:p w:rsidR="00075782" w:rsidRPr="0005371A" w:rsidRDefault="00075782" w:rsidP="0005371A">
      <w:r w:rsidRPr="0005371A">
        <w:t>A number of parties have sought that the future urban structure and Plan 11 Integrated Water Management be updated to accommodate potential revised drainage configurations for sites. Drainage is a complex issue and carries significant risk to life, property and community infrastructure, and environmental values if it is not considered in a high level of detail. In addition, the drainage for these PSPs is particularly complex on account of the topography and other environmental factors (as explained by the experts called).  Melbourne Water has adopted a position (supported by experts</w:t>
      </w:r>
      <w:r w:rsidR="0005371A">
        <w:t xml:space="preserve">) </w:t>
      </w:r>
      <w:r w:rsidRPr="0005371A">
        <w:t>that in order to vary the proposed drainage scheme designs, Melbourne Water requires a functional design level of detail.</w:t>
      </w:r>
    </w:p>
    <w:p w:rsidR="00075782" w:rsidRPr="0005371A" w:rsidRDefault="00075782" w:rsidP="0005371A">
      <w:r w:rsidRPr="0005371A">
        <w:t>These submissions appear to misconstrue the relationship between the PSP and the relevant development (drainage) services schemes.  In effect, they seek that the ‘tail wag the dog’.  The drainage services schemes is prepared under separate legislation by Melbourne Water and are subject to a separate consultation process.  The development services schemes constitute an input into the layers of the PSP.  The VPA, as planning authority, does not exercise discretion over what is represented in the PSP arising from the drainage services schemes.</w:t>
      </w:r>
    </w:p>
    <w:p w:rsidR="00075782" w:rsidRPr="0005371A" w:rsidRDefault="00075782" w:rsidP="0005371A">
      <w:r w:rsidRPr="0005371A">
        <w:t>It is common practice, that notwithstanding the content of a DSS, Melbourne Water will accept at permit application stage, or before, proposed variations to the drainage services scheme where the alternate scheme still satisfies its functional and cost requirements.  A limited number of parties in the context of this matter have prepared functional design standard plans which Melbourne Water has considered and either adopted</w:t>
      </w:r>
      <w:r w:rsidR="00CD04D4">
        <w:t xml:space="preserve"> </w:t>
      </w:r>
      <w:r w:rsidRPr="0005371A">
        <w:t>or adopted subject to condition (as in the case of Villawood).  Ultimately the schemes will be approved/amended to ensure consistency between the PSP at gazettal and the final scheme design.</w:t>
      </w:r>
    </w:p>
    <w:p w:rsidR="00075782" w:rsidRDefault="00075782" w:rsidP="0005371A">
      <w:r w:rsidRPr="0005371A">
        <w:t>The change matrix of th</w:t>
      </w:r>
      <w:r w:rsidR="0005371A">
        <w:t xml:space="preserve">e VPA identifies proposed text </w:t>
      </w:r>
      <w:r w:rsidRPr="0005371A">
        <w:t>that Melbourne Water supports/approves, to be included in the relevant drainage plan</w:t>
      </w:r>
      <w:r w:rsidR="00433D66">
        <w:t xml:space="preserve"> (Plan 11)</w:t>
      </w:r>
      <w:r w:rsidRPr="0005371A">
        <w:t xml:space="preserve"> that ensures that the notion of general accordance will not inhibit this practice. T</w:t>
      </w:r>
      <w:r w:rsidR="00433D66">
        <w:t>he proposed new note will read:</w:t>
      </w:r>
      <w:r w:rsidRPr="0005371A">
        <w:t xml:space="preserve">   </w:t>
      </w:r>
    </w:p>
    <w:p w:rsidR="00433D66" w:rsidRPr="00433D66" w:rsidRDefault="00433D66" w:rsidP="00433D66">
      <w:pPr>
        <w:ind w:left="709"/>
        <w:rPr>
          <w:i/>
        </w:rPr>
      </w:pPr>
      <w:r w:rsidRPr="00433D66">
        <w:rPr>
          <w:i/>
        </w:rPr>
        <w:t xml:space="preserve">Note: Stormwater quality treatment and use of the regional stormwater harvesting scheme as an alternative water source is subject to detailed design to the satisfaction of Melbourne Water, Western Water and Hume City Council. The stormwater quality treatment assets are subject to refinement through detailed design, to the satisfaction of Melbourne Water and Hume City Council. </w:t>
      </w:r>
    </w:p>
    <w:p w:rsidR="00433D66" w:rsidRPr="00433D66" w:rsidRDefault="00433D66" w:rsidP="00433D66">
      <w:pPr>
        <w:ind w:left="709"/>
        <w:rPr>
          <w:i/>
        </w:rPr>
      </w:pPr>
      <w:r w:rsidRPr="00433D66">
        <w:rPr>
          <w:i/>
        </w:rPr>
        <w:t xml:space="preserve">Land shown for stormwater quality treatment assets that Melbourne Water confirm are not required for drainage can be considered for development as part of a planning permit application provided they are subject to the Urban Growth Zone, to the satisfaction of Melbourne Water and the Responsible Authority. </w:t>
      </w:r>
    </w:p>
    <w:p w:rsidR="00433D66" w:rsidRPr="00433D66" w:rsidRDefault="00433D66" w:rsidP="00433D66">
      <w:pPr>
        <w:ind w:left="709"/>
        <w:rPr>
          <w:i/>
        </w:rPr>
      </w:pPr>
      <w:r w:rsidRPr="00433D66">
        <w:rPr>
          <w:i/>
        </w:rPr>
        <w:t>This plan is subject to change to align with the Integrated Water Management Requirements as stipulated by Western Water and Melbourne Water</w:t>
      </w:r>
    </w:p>
    <w:p w:rsidR="00075782" w:rsidRPr="0005371A" w:rsidRDefault="00075782" w:rsidP="0005371A">
      <w:pPr>
        <w:rPr>
          <w:lang w:eastAsia="en-US"/>
        </w:rPr>
      </w:pPr>
      <w:r w:rsidRPr="0005371A">
        <w:t xml:space="preserve">This approach is not unique to these PSPs having been adopted in a series of previous matters. Accordingly, the VPA does not support any requests for reconfiguration of drainage assets which have not been approved by Melbourne Water at this time.  However the operation of the PSP and the permit process would not preclude the approval of the same when and if they are progressed to an appropriate level of design and if they satisfy the functional and cost requirements of the DSS.  The future urban structure in the gazetted PSPs will reflect </w:t>
      </w:r>
      <w:r w:rsidRPr="0005371A">
        <w:rPr>
          <w:lang w:eastAsia="en-US"/>
        </w:rPr>
        <w:t>the final DSS’ approved by Melbourne Water, which final DSS’ will include those functional design changes already accepted by the Authority.</w:t>
      </w:r>
    </w:p>
    <w:p w:rsidR="00075782" w:rsidRPr="00806FDB" w:rsidRDefault="00075782" w:rsidP="00806FDB">
      <w:pPr>
        <w:rPr>
          <w:lang w:eastAsia="en-US"/>
        </w:rPr>
      </w:pPr>
      <w:r w:rsidRPr="0005371A">
        <w:rPr>
          <w:lang w:eastAsia="en-US"/>
        </w:rPr>
        <w:t xml:space="preserve">It is not uncommon in the context of PSP Panel hearings that this particular drainage issue arises.  Ultimately, the agitation for changes being sought to a future urban structure informed by an underlying drainage services scheme diverts time in hearings and incurs significant cost through the calling of experts.  The VPA considers that save for the limited instances where actual designs have been progressed and changes to the DSS have been agreed by Melbourne Water, there is little utility in the expenditure of these resources.  The VPA and </w:t>
      </w:r>
      <w:r w:rsidRPr="00806FDB">
        <w:rPr>
          <w:lang w:eastAsia="en-US"/>
        </w:rPr>
        <w:t>Melbourne Water invite the Panel to acknowledge the relationship between drainage services schemes and the PSPs and endorse the approach utilised in this Panel (and others) to provide clear future guidance. </w:t>
      </w:r>
    </w:p>
    <w:p w:rsidR="00806FDB" w:rsidRPr="00806FDB" w:rsidRDefault="00806FDB" w:rsidP="00806FDB">
      <w:pPr>
        <w:rPr>
          <w:rFonts w:cs="Arial"/>
          <w:color w:val="000000"/>
          <w:lang w:val="en-US"/>
        </w:rPr>
      </w:pPr>
      <w:r w:rsidRPr="00806FDB">
        <w:rPr>
          <w:rFonts w:cs="Arial"/>
          <w:color w:val="000000"/>
          <w:lang w:val="en-US"/>
        </w:rPr>
        <w:t>Melbourne Water observes that it called three witnesses in this matter.</w:t>
      </w:r>
    </w:p>
    <w:p w:rsidR="00806FDB" w:rsidRPr="00806FDB" w:rsidRDefault="00806FDB" w:rsidP="00806FDB">
      <w:pPr>
        <w:rPr>
          <w:rFonts w:cs="Arial"/>
          <w:color w:val="000000"/>
          <w:lang w:val="en-US"/>
        </w:rPr>
      </w:pPr>
      <w:r w:rsidRPr="00806FDB">
        <w:rPr>
          <w:rFonts w:cs="Arial"/>
          <w:color w:val="000000"/>
          <w:lang w:val="en-US"/>
        </w:rPr>
        <w:t xml:space="preserve">Of those witnesses only Mr Blackham was cross-examined and then only by Villawood in respect of the waterway that flows through the land at Racecourse Road. A number of parties have made submissions which by implication seek to challenge the position of Melbourne Water for example the submission by insight planning on behalf of the owners of 280 Lancefield Road. That submission challenged the designation of a waterway on the land. The relevant waterway described as site 130 is considered at page 26 </w:t>
      </w:r>
      <w:r w:rsidR="008963E3">
        <w:rPr>
          <w:rFonts w:cs="Arial"/>
          <w:color w:val="000000"/>
          <w:lang w:val="en-US"/>
        </w:rPr>
        <w:t>of the Blackham evidence. This P</w:t>
      </w:r>
      <w:r w:rsidRPr="00806FDB">
        <w:rPr>
          <w:rFonts w:cs="Arial"/>
          <w:color w:val="000000"/>
          <w:lang w:val="en-US"/>
        </w:rPr>
        <w:t xml:space="preserve">anel should place great weight on the evidence presented by Melbourne Water. This is because the evidence was presented for cross examination all parties enjoyed the opportunity to challenge the expert opinions and as a result of either limited questioning or the absence of questioning those conclusions are unchallenged. </w:t>
      </w:r>
    </w:p>
    <w:p w:rsidR="005A677F" w:rsidRDefault="005A677F" w:rsidP="00E65912">
      <w:pPr>
        <w:pStyle w:val="Heading2"/>
      </w:pPr>
      <w:bookmarkStart w:id="15" w:name="_Toc496183246"/>
      <w:r>
        <w:t>Break of Slope</w:t>
      </w:r>
      <w:bookmarkEnd w:id="15"/>
    </w:p>
    <w:p w:rsidR="005A677F" w:rsidRPr="005A677F" w:rsidRDefault="005A677F" w:rsidP="005A677F">
      <w:r w:rsidRPr="005A677F">
        <w:t>A number of submitters have expressed concern with two issues concerning the break of slope. The first grouping of submissions concerns the definition of the break of slope and, inter alia, whether or not the break of slope has been correctly identified. The second issue identified by submitters is the appropriateness of the response to the break of slope. This section of the VPA's closing submission addresses these two matters.</w:t>
      </w:r>
    </w:p>
    <w:p w:rsidR="002F6C6A" w:rsidRDefault="005A677F" w:rsidP="005A677F">
      <w:r w:rsidRPr="005A677F">
        <w:t>The identification of break of slope is important in the planning of these PSP areas. It is important because planning must be site responsive and in this case that means responding to the unique physical landforms of the area. The identification of break of slope provides a point of reference between developable and non-developable areas and in particular areas from which setback treatments are appropriate. The VPA proposes two setback treatments through the PSP: a visua</w:t>
      </w:r>
      <w:r w:rsidRPr="002F6C6A">
        <w:t xml:space="preserve">lly sensitive setback treatment that includes an additional reserve distance over and above road formation of </w:t>
      </w:r>
      <w:r w:rsidR="002F6C6A" w:rsidRPr="002F6C6A">
        <w:t>25.2 metres</w:t>
      </w:r>
      <w:r w:rsidRPr="002F6C6A">
        <w:t xml:space="preserve"> a</w:t>
      </w:r>
      <w:r w:rsidRPr="005A677F">
        <w:t>nd a non-visually sensitive interface which is a discretionary control which includes an additional reserve cross-section o</w:t>
      </w:r>
      <w:r w:rsidRPr="002F6C6A">
        <w:t xml:space="preserve">f </w:t>
      </w:r>
      <w:r w:rsidR="002F6C6A" w:rsidRPr="002F6C6A">
        <w:t>12.5</w:t>
      </w:r>
      <w:r w:rsidRPr="002F6C6A">
        <w:t xml:space="preserve"> metres over and above land required for road formation. </w:t>
      </w:r>
    </w:p>
    <w:p w:rsidR="005A677F" w:rsidRPr="005A677F" w:rsidRDefault="008963E3" w:rsidP="005A677F">
      <w:r>
        <w:t>As the P</w:t>
      </w:r>
      <w:r w:rsidR="005A677F" w:rsidRPr="002F6C6A">
        <w:t>anel is aware the VPA has revised the application of the</w:t>
      </w:r>
      <w:r w:rsidR="005A677F" w:rsidRPr="005A677F">
        <w:t xml:space="preserve"> visually sensitive setbacks with the effect of moderating their application to a more limited number of areas. The VPA does not support the visually sensitive setback becoming a discretionary tool. On account of the variation to the application of this tool, the imposition of this mandatory control is reasonable and limited to areas of greatest import. This is appropriate. Making this a discretionary tool will simply invite an argument at the point of each permit application and inevitably an erosi</w:t>
      </w:r>
      <w:r>
        <w:t>on of the outcomes sought. The P</w:t>
      </w:r>
      <w:r w:rsidR="005A677F" w:rsidRPr="005A677F">
        <w:t>anel is reminded of the consistent theme throughout both professional, developer, and lay person submissions that there are special attributes of Sunbury which ought be protected and maintained.</w:t>
      </w:r>
    </w:p>
    <w:p w:rsidR="005A677F" w:rsidRPr="005A677F" w:rsidRDefault="005A677F" w:rsidP="005A677F">
      <w:r w:rsidRPr="005A677F">
        <w:t>The identification of the break of slope represents</w:t>
      </w:r>
      <w:r w:rsidR="008963E3">
        <w:t xml:space="preserve"> the subjective application of</w:t>
      </w:r>
      <w:r w:rsidRPr="005A677F">
        <w:t xml:space="preserve"> discretion which is informed by objective fact.</w:t>
      </w:r>
    </w:p>
    <w:p w:rsidR="005A677F" w:rsidRPr="005A677F" w:rsidRDefault="005A677F" w:rsidP="005A677F">
      <w:r w:rsidRPr="005A677F">
        <w:t>Break of slope cannot be routinely defined by a particular gradient. This was highlighted by the evidence of Mr Matheson for Asia-Pacific properties where his arbitrary application of 17.5% was found to have no basis outside of the PSP and no relevant basis within the PSP. The plan Mr Matheson referred to in the PSP for 'su</w:t>
      </w:r>
      <w:r w:rsidR="000E0DB1">
        <w:t>ppor</w:t>
      </w:r>
      <w:r w:rsidRPr="005A677F">
        <w:t>t</w:t>
      </w:r>
      <w:r w:rsidR="000E0DB1">
        <w:t>’</w:t>
      </w:r>
      <w:r w:rsidRPr="005A677F">
        <w:t xml:space="preserve"> of this notion is a plan that concerns development on steep land and which clearly illustrates development across the entirety of the slope and does not mention the term break of slope in any way whatsoever. Mr Matheson ultimately agreed that break of slope is a subjective determination</w:t>
      </w:r>
      <w:r w:rsidR="008963E3">
        <w:t>,</w:t>
      </w:r>
      <w:r w:rsidRPr="005A677F">
        <w:t xml:space="preserve"> </w:t>
      </w:r>
      <w:r w:rsidR="008963E3">
        <w:t>a point</w:t>
      </w:r>
      <w:r w:rsidRPr="005A677F">
        <w:t xml:space="preserve"> to </w:t>
      </w:r>
      <w:r>
        <w:t>which Mr Murphy called by the Vi</w:t>
      </w:r>
      <w:r w:rsidRPr="005A677F">
        <w:t>ew Grange properties readily agreed.</w:t>
      </w:r>
    </w:p>
    <w:p w:rsidR="005A677F" w:rsidRPr="005A677F" w:rsidRDefault="005A677F" w:rsidP="005A677F">
      <w:r w:rsidRPr="005A677F">
        <w:t xml:space="preserve">Inevitably as more information becomes available or previously and access parts of land are accessed there may be minor refinement of the break of slope detail. In the case of Asia-Pacific for whom Mr Matheson was called this change represented modest changes </w:t>
      </w:r>
      <w:r w:rsidR="008963E3">
        <w:t>(</w:t>
      </w:r>
      <w:r w:rsidRPr="005A677F">
        <w:t>generally less than those depicted in his expert evidence reports</w:t>
      </w:r>
      <w:r w:rsidR="008963E3">
        <w:t>)</w:t>
      </w:r>
      <w:r w:rsidRPr="005A677F">
        <w:t>. The VPA intends to undertake further assessment of the areas where break of slope has been identified as an issue by submitters. This consultation w</w:t>
      </w:r>
      <w:r w:rsidR="008963E3">
        <w:t>ill include the landowners the C</w:t>
      </w:r>
      <w:r w:rsidRPr="005A677F">
        <w:t xml:space="preserve">ouncil and the VPA. Where appropriate the VPA will amend the final break of slope prior to gazettal. Accordingly the VPA seeks a recommendation that it in consultation with affected landowners and the Council review the identification of break of slope across identified properties within the PSP areas. It is observed that the panel is not in receipt of any evidence that would undermine the propositions put by the VPA about the importance of retaining landscape values of the area and of limiting views from key waterways </w:t>
      </w:r>
      <w:r w:rsidR="008963E3">
        <w:t>to urban development. What the P</w:t>
      </w:r>
      <w:r w:rsidRPr="005A677F">
        <w:t xml:space="preserve">anel has before it </w:t>
      </w:r>
      <w:r w:rsidR="008963E3">
        <w:t>are</w:t>
      </w:r>
      <w:r w:rsidRPr="005A677F">
        <w:t xml:space="preserve"> assertions concerning loss of developable land but those assertions are not supported by empirical analysis. </w:t>
      </w:r>
    </w:p>
    <w:p w:rsidR="005A677F" w:rsidRPr="005A677F" w:rsidRDefault="005A677F" w:rsidP="005A677F">
      <w:r w:rsidRPr="005A677F">
        <w:t>The VPA rejects the assertion that the break of slope treatments are unduly land hungry. The treatments, found at for example page 73 of the Lancefield Road PSP and page 75 of the Lancefield Road PSP generally include an additional 20 m of setback to what might be expected absent the break of slope control in visually sensitive areas. This is reduced to approximately 7.5 m (discretionary) in non-visually sensitive areas. Put in context this is not an unreasonable respons</w:t>
      </w:r>
      <w:r w:rsidR="008963E3">
        <w:t>e and it is important that the P</w:t>
      </w:r>
      <w:r w:rsidRPr="005A677F">
        <w:t xml:space="preserve">anel carefully </w:t>
      </w:r>
      <w:r w:rsidR="008963E3">
        <w:t>filte</w:t>
      </w:r>
      <w:r w:rsidRPr="005A677F">
        <w:t xml:space="preserve">r the statements about '40 m setbacks' in the context that much of this area is standard road cross-section and vegetation. </w:t>
      </w:r>
    </w:p>
    <w:p w:rsidR="005A677F" w:rsidRPr="005A677F" w:rsidRDefault="005A677F" w:rsidP="005A677F">
      <w:r w:rsidRPr="00BA7F2F">
        <w:t>The VPA request that the panel endorse its approach to visually and non-visually sensitive setbacks subject to the further work required to identify break of slope in discreet locations.</w:t>
      </w:r>
      <w:r w:rsidRPr="005A677F">
        <w:t xml:space="preserve"> </w:t>
      </w:r>
    </w:p>
    <w:p w:rsidR="00E65912" w:rsidRDefault="00E65912" w:rsidP="00E65912">
      <w:pPr>
        <w:pStyle w:val="Heading2"/>
      </w:pPr>
      <w:bookmarkStart w:id="16" w:name="_Toc496183247"/>
      <w:r>
        <w:t>Designation of non-government schools in Precinct Structure Plans</w:t>
      </w:r>
      <w:bookmarkEnd w:id="16"/>
    </w:p>
    <w:p w:rsidR="00E65912" w:rsidRPr="005962AF" w:rsidRDefault="00E65912" w:rsidP="005962AF">
      <w:pPr>
        <w:rPr>
          <w:lang w:eastAsia="en-US"/>
        </w:rPr>
      </w:pPr>
      <w:r w:rsidRPr="005962AF">
        <w:rPr>
          <w:lang w:eastAsia="en-US"/>
        </w:rPr>
        <w:t xml:space="preserve">The VPA reaffirms its position on the designation of Non-Government schools in Precinct Structure Plans, as advised by letter dated 10 August 2017, to Mr Stephen Elder Executive Director, Catholic Education Melbourne, (Letter attached).  </w:t>
      </w:r>
    </w:p>
    <w:p w:rsidR="00E65912" w:rsidRPr="005962AF" w:rsidRDefault="00E65912" w:rsidP="005962AF">
      <w:pPr>
        <w:rPr>
          <w:u w:val="single"/>
          <w:lang w:eastAsia="en-US"/>
        </w:rPr>
      </w:pPr>
      <w:r w:rsidRPr="005962AF">
        <w:rPr>
          <w:u w:val="single"/>
          <w:lang w:eastAsia="en-US"/>
        </w:rPr>
        <w:t xml:space="preserve">How Schools are planned </w:t>
      </w:r>
    </w:p>
    <w:p w:rsidR="00E65912" w:rsidRPr="005962AF" w:rsidRDefault="00E65912" w:rsidP="005962AF">
      <w:pPr>
        <w:pStyle w:val="paragraph"/>
        <w:spacing w:line="276" w:lineRule="auto"/>
        <w:textAlignment w:val="baseline"/>
        <w:rPr>
          <w:rFonts w:ascii="Arial" w:hAnsi="Arial" w:cs="Arial"/>
          <w:sz w:val="18"/>
          <w:szCs w:val="18"/>
        </w:rPr>
      </w:pPr>
      <w:r w:rsidRPr="005962AF">
        <w:rPr>
          <w:rFonts w:ascii="Arial" w:hAnsi="Arial" w:cs="Arial"/>
          <w:sz w:val="18"/>
          <w:szCs w:val="18"/>
        </w:rPr>
        <w:t>The State of Victoria, via various departments, agencies and authorities is obligated to plan for and provide education on behalf of the people of Victoria. This is regulated and undertaken under through the auspices of The Education and Training Reform Act 2006, (The Act).</w:t>
      </w:r>
    </w:p>
    <w:p w:rsidR="00E65912" w:rsidRPr="005962AF" w:rsidRDefault="00E65912" w:rsidP="00535AD7">
      <w:r w:rsidRPr="005962AF">
        <w:t>The purpose of the Act states:</w:t>
      </w:r>
    </w:p>
    <w:p w:rsidR="00E65912" w:rsidRPr="005962AF" w:rsidRDefault="00E65912" w:rsidP="00535AD7">
      <w:pPr>
        <w:ind w:left="709"/>
        <w:rPr>
          <w:i/>
        </w:rPr>
      </w:pPr>
      <w:r w:rsidRPr="005962AF">
        <w:rPr>
          <w:i/>
        </w:rPr>
        <w:t>The main purpose of this Act is to reform the law relating to education and training in Victoria by providing for a high standard of education and training for all Victorians.</w:t>
      </w:r>
    </w:p>
    <w:p w:rsidR="00E65912" w:rsidRPr="005962AF" w:rsidRDefault="00E65912" w:rsidP="00535AD7">
      <w:pPr>
        <w:ind w:left="709"/>
        <w:rPr>
          <w:i/>
        </w:rPr>
      </w:pPr>
      <w:r w:rsidRPr="005962AF">
        <w:rPr>
          <w:i/>
        </w:rPr>
        <w:t>In particular this Act makes provision for or with respect to…</w:t>
      </w:r>
    </w:p>
    <w:p w:rsidR="00E65912" w:rsidRPr="005962AF" w:rsidRDefault="00E65912" w:rsidP="00535AD7">
      <w:pPr>
        <w:ind w:left="709"/>
        <w:rPr>
          <w:i/>
        </w:rPr>
      </w:pPr>
      <w:r w:rsidRPr="005962AF">
        <w:t xml:space="preserve">        </w:t>
      </w:r>
      <w:r w:rsidRPr="005962AF">
        <w:rPr>
          <w:i/>
        </w:rPr>
        <w:t xml:space="preserve">(c)     the establishment and regulation of Government schools and the regulation of </w:t>
      </w:r>
      <w:r w:rsidRPr="005962AF">
        <w:rPr>
          <w:i/>
          <w:u w:val="single"/>
        </w:rPr>
        <w:t>non-Government schools</w:t>
      </w:r>
      <w:r w:rsidRPr="005962AF">
        <w:rPr>
          <w:i/>
        </w:rPr>
        <w:t xml:space="preserve"> and home schooling; (emphasis added)</w:t>
      </w:r>
    </w:p>
    <w:p w:rsidR="00E65912" w:rsidRPr="005962AF" w:rsidRDefault="00E65912" w:rsidP="00535AD7">
      <w:pPr>
        <w:ind w:left="709"/>
      </w:pPr>
      <w:r w:rsidRPr="005962AF">
        <w:t>PART 2.7 of the Act, discusses various matters pertaining to non-government schools and defines a non-government school as:</w:t>
      </w:r>
    </w:p>
    <w:p w:rsidR="00E65912" w:rsidRPr="005962AF" w:rsidRDefault="00E65912" w:rsidP="00535AD7">
      <w:pPr>
        <w:ind w:left="709"/>
        <w:rPr>
          <w:i/>
        </w:rPr>
      </w:pPr>
      <w:r w:rsidRPr="005962AF">
        <w:rPr>
          <w:i/>
        </w:rPr>
        <w:t>"non-Government school" means a school, other than a Government school, that is registered or required to be registered under Part 4.3;</w:t>
      </w:r>
    </w:p>
    <w:p w:rsidR="00E65912" w:rsidRPr="005962AF" w:rsidRDefault="00E65912" w:rsidP="00535AD7">
      <w:r w:rsidRPr="005962AF">
        <w:t xml:space="preserve">While the this Panel is not specifically about the definition of what is a government school and what is non-government school, it would seem to be logical that the VPA, as the State’s Planning Authority would use wording that is consistent with that used in the </w:t>
      </w:r>
      <w:bookmarkStart w:id="17" w:name="_Hlk496104891"/>
      <w:r w:rsidRPr="005962AF">
        <w:t xml:space="preserve">Education and Training Reform Act 2006 </w:t>
      </w:r>
      <w:bookmarkEnd w:id="17"/>
      <w:r w:rsidRPr="005962AF">
        <w:t xml:space="preserve">in the Structure Planning process.  The Education and Training Reform Act 2006 is the relevant legislation in connection with the planning for all schools whether government or non-government in Victoria. </w:t>
      </w:r>
    </w:p>
    <w:p w:rsidR="00E65912" w:rsidRPr="005962AF" w:rsidRDefault="00E65912" w:rsidP="00535AD7">
      <w:pPr>
        <w:rPr>
          <w:rStyle w:val="eop"/>
          <w:rFonts w:cs="Arial"/>
        </w:rPr>
      </w:pPr>
      <w:r w:rsidRPr="005962AF">
        <w:rPr>
          <w:rStyle w:val="eop"/>
          <w:rFonts w:cs="Arial"/>
        </w:rPr>
        <w:t xml:space="preserve">The school sector is essentially divided into the government and non-government providers.  Government schools are differentiated not only because they are public in nature but also because public schools are not bound by planning provisions.  </w:t>
      </w:r>
    </w:p>
    <w:p w:rsidR="00E65912" w:rsidRPr="005962AF" w:rsidRDefault="00E65912" w:rsidP="00535AD7">
      <w:pPr>
        <w:rPr>
          <w:rStyle w:val="eop"/>
          <w:rFonts w:cs="Arial"/>
        </w:rPr>
      </w:pPr>
      <w:r w:rsidRPr="005962AF">
        <w:rPr>
          <w:rStyle w:val="eop"/>
          <w:rFonts w:cs="Arial"/>
        </w:rPr>
        <w:t xml:space="preserve">Public schools are shown on the Future Urban Structure plan (FUS), because it is good practice to show such facilities and much planning also occurs around such schools including the colocation of facilities.   The identification of government school sites in a PSP is important for two reasons; first it identifies the location of the school site in the broader plan and secondly it signals that the school and the land is not subject to the usual regular planning controls.  </w:t>
      </w:r>
    </w:p>
    <w:p w:rsidR="00E65912" w:rsidRPr="005962AF" w:rsidRDefault="00E65912" w:rsidP="00535AD7">
      <w:r w:rsidRPr="005962AF">
        <w:t xml:space="preserve">The FUS is the logical part of the PSP to indicate various types of land uses. Mr Wren in his submission on behalf of CEOM pointed out that government and non-government school is not in the table of Land Use Terms as listed in section 74 of the VPP’s and that as the State is the only provider of government schools then by default that identifies the user and not the particular use. </w:t>
      </w:r>
    </w:p>
    <w:p w:rsidR="00E65912" w:rsidRPr="005962AF" w:rsidRDefault="00E65912" w:rsidP="00535AD7">
      <w:r w:rsidRPr="005962AF">
        <w:t xml:space="preserve">The FUS in the Sunbury South PSP, as with FUS plans used in most, if not all PSPs use terms for uses of land that do not strictly adhere to the land use terms in section 74 of the VPP’s these include: </w:t>
      </w:r>
    </w:p>
    <w:p w:rsidR="00E65912" w:rsidRPr="005962AF" w:rsidRDefault="00E65912" w:rsidP="00535AD7">
      <w:pPr>
        <w:pStyle w:val="List1bullet"/>
      </w:pPr>
      <w:r w:rsidRPr="005962AF">
        <w:t>Residential</w:t>
      </w:r>
    </w:p>
    <w:p w:rsidR="00E65912" w:rsidRPr="005962AF" w:rsidRDefault="00E65912" w:rsidP="00535AD7">
      <w:pPr>
        <w:pStyle w:val="List1bullet"/>
      </w:pPr>
      <w:r w:rsidRPr="005962AF">
        <w:t>Local convenience centre</w:t>
      </w:r>
    </w:p>
    <w:p w:rsidR="00E65912" w:rsidRPr="005962AF" w:rsidRDefault="00E65912" w:rsidP="00535AD7">
      <w:pPr>
        <w:pStyle w:val="List1bullet"/>
      </w:pPr>
      <w:r w:rsidRPr="005962AF">
        <w:t>Employment &amp; commercial</w:t>
      </w:r>
    </w:p>
    <w:p w:rsidR="00E65912" w:rsidRPr="005962AF" w:rsidRDefault="00E65912" w:rsidP="00535AD7">
      <w:pPr>
        <w:pStyle w:val="List1bullet"/>
      </w:pPr>
      <w:r w:rsidRPr="005962AF">
        <w:t>Industrial</w:t>
      </w:r>
    </w:p>
    <w:p w:rsidR="00E65912" w:rsidRPr="005962AF" w:rsidRDefault="00E65912" w:rsidP="00535AD7">
      <w:pPr>
        <w:pStyle w:val="List1bullet"/>
      </w:pPr>
      <w:r w:rsidRPr="005962AF">
        <w:t>Industrial - light</w:t>
      </w:r>
    </w:p>
    <w:p w:rsidR="00E65912" w:rsidRPr="005962AF" w:rsidRDefault="00E65912" w:rsidP="00535AD7">
      <w:pPr>
        <w:pStyle w:val="List1bullet"/>
      </w:pPr>
      <w:r w:rsidRPr="005962AF">
        <w:t>Community facilities</w:t>
      </w:r>
    </w:p>
    <w:p w:rsidR="00E65912" w:rsidRPr="005962AF" w:rsidRDefault="00E65912" w:rsidP="00535AD7">
      <w:pPr>
        <w:pStyle w:val="List1bullet"/>
      </w:pPr>
      <w:r w:rsidRPr="005962AF">
        <w:t xml:space="preserve">Conservation area </w:t>
      </w:r>
    </w:p>
    <w:p w:rsidR="00E65912" w:rsidRPr="005962AF" w:rsidRDefault="00E65912" w:rsidP="00535AD7">
      <w:pPr>
        <w:pStyle w:val="List1bullet"/>
      </w:pPr>
      <w:r w:rsidRPr="005962AF">
        <w:t>Non-urban land (existing)</w:t>
      </w:r>
    </w:p>
    <w:p w:rsidR="00E65912" w:rsidRPr="005962AF" w:rsidRDefault="00E65912" w:rsidP="00535AD7">
      <w:r w:rsidRPr="005962AF">
        <w:t xml:space="preserve">These are designations of general land uses that make it easy at a glance to see what type of uses are intended or preferred for different areas within a PSP. </w:t>
      </w:r>
    </w:p>
    <w:p w:rsidR="00E65912" w:rsidRPr="005962AF" w:rsidRDefault="00E65912" w:rsidP="00535AD7">
      <w:r w:rsidRPr="005962AF">
        <w:t xml:space="preserve">For a planner assessing a town planning application for the Responsible Authority, or in fact anyone who may be contemplating purchasing land in a PSP area, the FUS provides a simple overview, or quick reference for land uses intended in various parts of the PSP area. </w:t>
      </w:r>
    </w:p>
    <w:p w:rsidR="00E65912" w:rsidRPr="005962AF" w:rsidRDefault="00E65912" w:rsidP="00535AD7">
      <w:r w:rsidRPr="005962AF">
        <w:t xml:space="preserve">To gain a more in-depth understanding of the various agencies that may be providing different land uses the Background Report is the appropriate document for these agencies to be listed. </w:t>
      </w:r>
    </w:p>
    <w:p w:rsidR="00E65912" w:rsidRPr="005962AF" w:rsidRDefault="00E65912" w:rsidP="00535AD7">
      <w:r w:rsidRPr="005962AF">
        <w:t xml:space="preserve">As has been stated by Mr Wren the VPA has recently changed the wording in the PSP Note </w:t>
      </w:r>
      <w:r w:rsidRPr="005962AF">
        <w:rPr>
          <w:i/>
        </w:rPr>
        <w:t>VPA Standard Approach for</w:t>
      </w:r>
      <w:r w:rsidRPr="005962AF">
        <w:t xml:space="preserve"> </w:t>
      </w:r>
      <w:r w:rsidRPr="005962AF">
        <w:rPr>
          <w:i/>
        </w:rPr>
        <w:t>Non-Government School Sites in Precinct Structure Plans</w:t>
      </w:r>
      <w:r w:rsidRPr="005962AF">
        <w:t xml:space="preserve"> (attached). The wording in this document which was discussed with CEOM, states the following: </w:t>
      </w:r>
    </w:p>
    <w:p w:rsidR="00E65912" w:rsidRPr="005962AF" w:rsidRDefault="00E65912" w:rsidP="005962AF">
      <w:pPr>
        <w:pStyle w:val="paragraph"/>
        <w:spacing w:line="276" w:lineRule="auto"/>
        <w:ind w:left="720"/>
        <w:textAlignment w:val="baseline"/>
        <w:rPr>
          <w:rFonts w:ascii="Arial" w:hAnsi="Arial" w:cs="Arial"/>
          <w:sz w:val="18"/>
          <w:szCs w:val="18"/>
        </w:rPr>
      </w:pPr>
      <w:r w:rsidRPr="005962AF">
        <w:rPr>
          <w:rFonts w:ascii="Arial" w:hAnsi="Arial" w:cs="Arial"/>
          <w:i/>
          <w:sz w:val="18"/>
          <w:szCs w:val="18"/>
        </w:rPr>
        <w:t>Background Reports will note a situation where a relevant school provider or education sector (for example, the Catholic education sector, or the independent schools sector) has provided strategic justification for the provision of any relevant non-government school sites that are shown in a PSP.</w:t>
      </w:r>
    </w:p>
    <w:p w:rsidR="00E65912" w:rsidRPr="005962AF" w:rsidRDefault="00E65912" w:rsidP="00535AD7">
      <w:r w:rsidRPr="005962AF">
        <w:t xml:space="preserve"> The VPA is aware of and sympathetic to the issue faced by CEOM in regard to other non-government school providers acquiring sites, where CEOM has engaged extensively in the PSP planning process, and has provided strategic justification for an individual school site.  </w:t>
      </w:r>
    </w:p>
    <w:p w:rsidR="00E65912" w:rsidRPr="005962AF" w:rsidRDefault="00E65912" w:rsidP="00535AD7">
      <w:r w:rsidRPr="005962AF">
        <w:t xml:space="preserve">To that end the VPA has worked with and consulted CEOM post Amendment C145, Rockbank Precinct Structure Plan to revise the wording to the PSP Note: </w:t>
      </w:r>
      <w:r w:rsidRPr="005962AF">
        <w:rPr>
          <w:i/>
        </w:rPr>
        <w:t>Development of Non-Government School Sites for an Alternative Purpose</w:t>
      </w:r>
      <w:r w:rsidRPr="005962AF">
        <w:t xml:space="preserve">, (attached) to strengthen the justification for land identified for a non-government to be subject to a change of use. </w:t>
      </w:r>
    </w:p>
    <w:p w:rsidR="00E65912" w:rsidRPr="005962AF" w:rsidRDefault="00E65912" w:rsidP="00535AD7">
      <w:r w:rsidRPr="005962AF">
        <w:rPr>
          <w:rStyle w:val="eop"/>
          <w:rFonts w:cs="Arial"/>
        </w:rPr>
        <w:t xml:space="preserve">The VPA acknowledges the important role that Catholic schools provide in educating Victorian school children, and the robust strategic work that the CEOM has undertaken in identifying future demand for Catholic schools in growth areas, including the Sunbury South and Lancefield Road PSP. </w:t>
      </w:r>
    </w:p>
    <w:p w:rsidR="00E65912" w:rsidRPr="005962AF" w:rsidRDefault="00E65912" w:rsidP="00535AD7">
      <w:r w:rsidRPr="005962AF">
        <w:t xml:space="preserve">At the heart of the matter are the difficulties associated with acquiring land from private land holders to construct a non-government school. To acquire land for the provision off a school is dependent on the landowner selling the land to the CEOM or other non-government education provider. </w:t>
      </w:r>
    </w:p>
    <w:p w:rsidR="00E65912" w:rsidRPr="005962AF" w:rsidRDefault="00E65912" w:rsidP="00535AD7">
      <w:r w:rsidRPr="005962AF">
        <w:t xml:space="preserve">There is therefore little certainty over the future use of the land for a school, provided either by the State, the CEOM, or other non-Government school provider.  </w:t>
      </w:r>
    </w:p>
    <w:p w:rsidR="00E65912" w:rsidRPr="005962AF" w:rsidRDefault="00E65912" w:rsidP="00535AD7">
      <w:r w:rsidRPr="005962AF">
        <w:t xml:space="preserve">The State through, the DET often finds itself in a similar situation, when purchasing future government school sites on the open market. </w:t>
      </w:r>
    </w:p>
    <w:p w:rsidR="00E65912" w:rsidRPr="005962AF" w:rsidRDefault="00E65912" w:rsidP="00535AD7">
      <w:r w:rsidRPr="005962AF">
        <w:t xml:space="preserve">While the State does have other planning tools at its disposal i.e. placing a Public Acquisition Overlay over land, for a future Government School, in practise this provision is rarely if ever used, and so the State finds itself in similar situation to that of CEOM and other non-government school providers. </w:t>
      </w:r>
    </w:p>
    <w:p w:rsidR="00E65912" w:rsidRPr="005962AF" w:rsidRDefault="00E65912" w:rsidP="00535AD7">
      <w:r w:rsidRPr="005962AF">
        <w:t xml:space="preserve">In summary the VPAs recommendation to the Panel is to continue the planning practise of identify government and non-government schools on the FUS. In-line with the draft revised PSP Note: </w:t>
      </w:r>
      <w:r w:rsidRPr="005962AF">
        <w:rPr>
          <w:i/>
        </w:rPr>
        <w:t xml:space="preserve">VPA Standard Approach for Non-Government School Sites in </w:t>
      </w:r>
      <w:r w:rsidRPr="005962AF">
        <w:t xml:space="preserve">Precinct Structure Plans, identify the specific non-government school provider in the Background Reports where a relevant school provider or education sector (for example, the Catholic education sector, or the independent schools sector) has provided strategic justification for the provision of any relevant non-government school sites that are shown in a PSP.  In the event that a school site is purchased by an alternate provider the net result to the community will be broadly equivalent, that is there will be student places provided for within the catchment.  It is observed that an alternate education centre can still establish in an alternate location subject to permit under the prevailing residential controls.  </w:t>
      </w:r>
    </w:p>
    <w:p w:rsidR="00E65912" w:rsidRDefault="00E47699" w:rsidP="00E47699">
      <w:pPr>
        <w:pStyle w:val="Heading2"/>
      </w:pPr>
      <w:bookmarkStart w:id="18" w:name="_Toc496183248"/>
      <w:r>
        <w:t>Local Convenience Centres</w:t>
      </w:r>
      <w:bookmarkEnd w:id="18"/>
    </w:p>
    <w:p w:rsidR="00E47699" w:rsidRDefault="00E47699" w:rsidP="00E47699">
      <w:pPr>
        <w:rPr>
          <w:color w:val="000000"/>
        </w:rPr>
      </w:pPr>
      <w:r>
        <w:rPr>
          <w:color w:val="000000"/>
        </w:rPr>
        <w:t>The Changes Matrix for the Sunbury South precinct submitted as part of the VPA Part A submission identified three additional local convenience centres (LCCs) to be defined across the Sunbury South precinct (rows 18, 30 and 31 of the Changes Matrix). These changes responded in each instance to specific submissions seeking the addition of an LCC on each property.</w:t>
      </w:r>
    </w:p>
    <w:p w:rsidR="00E47699" w:rsidRDefault="00E47699" w:rsidP="00E47699">
      <w:pPr>
        <w:rPr>
          <w:color w:val="000000"/>
        </w:rPr>
      </w:pPr>
      <w:r>
        <w:rPr>
          <w:color w:val="000000"/>
        </w:rPr>
        <w:t>The VPA considered that the exhibited PSP had underprovided for LCC opportunities, and that significant residential areas would be outside the walkable catchments for those centres. The number and distribution of these additional centres was also broadly consistent with the Retail and Economic Assessment for PSP74 and PSP75 (October 2014), prepared by Hill PDA for the VPA. The location of these centres has been changed to respond to the urban structure.</w:t>
      </w:r>
    </w:p>
    <w:p w:rsidR="00271ED8" w:rsidRDefault="00E47699" w:rsidP="00E47699">
      <w:pPr>
        <w:rPr>
          <w:color w:val="000000"/>
        </w:rPr>
      </w:pPr>
      <w:r>
        <w:rPr>
          <w:color w:val="000000"/>
        </w:rPr>
        <w:t xml:space="preserve">The VPA Part A Submission did not nominate an ‘as of right’ shop floor space cap for each centre, and a number of parties have provided further submissions in relation to this, including </w:t>
      </w:r>
      <w:r w:rsidRPr="00271ED8">
        <w:rPr>
          <w:color w:val="000000"/>
        </w:rPr>
        <w:t xml:space="preserve">submitter </w:t>
      </w:r>
      <w:r w:rsidR="00271ED8" w:rsidRPr="00271ED8">
        <w:rPr>
          <w:color w:val="000000"/>
        </w:rPr>
        <w:t>37</w:t>
      </w:r>
      <w:r w:rsidRPr="00271ED8">
        <w:rPr>
          <w:color w:val="000000"/>
        </w:rPr>
        <w:t xml:space="preserve"> and 48 </w:t>
      </w:r>
    </w:p>
    <w:p w:rsidR="00E47699" w:rsidRDefault="00E47699" w:rsidP="00E47699">
      <w:pPr>
        <w:rPr>
          <w:color w:val="000000"/>
        </w:rPr>
      </w:pPr>
      <w:r>
        <w:rPr>
          <w:color w:val="000000"/>
        </w:rPr>
        <w:t>The VPA support shop floor space caps for each of the centres as set out in the table below. The VPA note that these represent ‘as of right’ shop floor space only, and that provision for shop floor space above these levels can be considered as part of a planning permit process. These numbers are generally consistent with the scale of LCCs as recommended by Hill PDA (av</w:t>
      </w:r>
      <w:r w:rsidR="004D7BF5">
        <w:rPr>
          <w:color w:val="000000"/>
        </w:rPr>
        <w:t>erage size of 1,500sqm), and</w:t>
      </w:r>
      <w:r>
        <w:rPr>
          <w:color w:val="000000"/>
        </w:rPr>
        <w:t xml:space="preserve"> are at a consistent scale with LCCs the VPA typically plans for in growth area PSPs.</w:t>
      </w:r>
    </w:p>
    <w:p w:rsidR="00E47699" w:rsidRDefault="00E47699" w:rsidP="00E47699">
      <w:pPr>
        <w:rPr>
          <w:color w:val="000000"/>
        </w:rPr>
      </w:pPr>
      <w:r>
        <w:rPr>
          <w:color w:val="000000"/>
        </w:rPr>
        <w:t> </w:t>
      </w:r>
    </w:p>
    <w:tbl>
      <w:tblPr>
        <w:tblStyle w:val="PlainTable1"/>
        <w:tblW w:w="0" w:type="auto"/>
        <w:tblInd w:w="0" w:type="dxa"/>
        <w:tblLook w:val="04A0" w:firstRow="1" w:lastRow="0" w:firstColumn="1" w:lastColumn="0" w:noHBand="0" w:noVBand="1"/>
      </w:tblPr>
      <w:tblGrid>
        <w:gridCol w:w="957"/>
        <w:gridCol w:w="3716"/>
        <w:gridCol w:w="1843"/>
        <w:gridCol w:w="1701"/>
      </w:tblGrid>
      <w:tr w:rsidR="00E47699" w:rsidTr="00E47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hideMark/>
          </w:tcPr>
          <w:p w:rsidR="00E47699" w:rsidRPr="000978AC" w:rsidRDefault="00E47699" w:rsidP="000978AC">
            <w:pPr>
              <w:pStyle w:val="Tabletext"/>
              <w:rPr>
                <w:color w:val="FFFFFF" w:themeColor="background1"/>
              </w:rPr>
            </w:pPr>
            <w:r w:rsidRPr="000978AC">
              <w:rPr>
                <w:color w:val="FFFFFF" w:themeColor="background1"/>
              </w:rPr>
              <w:t>Property</w:t>
            </w:r>
          </w:p>
        </w:tc>
        <w:tc>
          <w:tcPr>
            <w:tcW w:w="37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hideMark/>
          </w:tcPr>
          <w:p w:rsidR="00E47699" w:rsidRPr="000978AC" w:rsidRDefault="00E47699" w:rsidP="000978A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978AC">
              <w:rPr>
                <w:color w:val="FFFFFF" w:themeColor="background1"/>
              </w:rPr>
              <w:t>Location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hideMark/>
          </w:tcPr>
          <w:p w:rsidR="00E47699" w:rsidRPr="000978AC" w:rsidRDefault="00E47699" w:rsidP="000978A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978AC">
              <w:rPr>
                <w:color w:val="FFFFFF" w:themeColor="background1"/>
              </w:rPr>
              <w:t>Exhibited or New</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hideMark/>
          </w:tcPr>
          <w:p w:rsidR="00E47699" w:rsidRPr="000978AC" w:rsidRDefault="00E47699" w:rsidP="000978A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978AC">
              <w:rPr>
                <w:color w:val="FFFFFF" w:themeColor="background1"/>
              </w:rPr>
              <w:t>Floor Space Cap</w:t>
            </w:r>
          </w:p>
        </w:tc>
      </w:tr>
      <w:tr w:rsidR="00E47699" w:rsidTr="00E476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pPr>
            <w:r>
              <w:t>59</w:t>
            </w:r>
          </w:p>
        </w:tc>
        <w:tc>
          <w:tcPr>
            <w:tcW w:w="37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Jacksons Creek Hub</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Exhibited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1,000sqm</w:t>
            </w:r>
          </w:p>
        </w:tc>
      </w:tr>
      <w:tr w:rsidR="00E47699" w:rsidTr="00E47699">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pPr>
            <w:r>
              <w:t>97E</w:t>
            </w:r>
          </w:p>
        </w:tc>
        <w:tc>
          <w:tcPr>
            <w:tcW w:w="37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000000" w:firstRow="0" w:lastRow="0" w:firstColumn="0" w:lastColumn="0" w:oddVBand="0" w:evenVBand="0" w:oddHBand="0" w:evenHBand="0" w:firstRowFirstColumn="0" w:firstRowLastColumn="0" w:lastRowFirstColumn="0" w:lastRowLastColumn="0"/>
            </w:pPr>
            <w:r>
              <w:t>Sunbury Road Employment Area</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000000" w:firstRow="0" w:lastRow="0" w:firstColumn="0" w:lastColumn="0" w:oddVBand="0" w:evenVBand="0" w:oddHBand="0" w:evenHBand="0" w:firstRowFirstColumn="0" w:firstRowLastColumn="0" w:lastRowFirstColumn="0" w:lastRowLastColumn="0"/>
            </w:pPr>
            <w:r>
              <w:t>Exhibited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000000" w:firstRow="0" w:lastRow="0" w:firstColumn="0" w:lastColumn="0" w:oddVBand="0" w:evenVBand="0" w:oddHBand="0" w:evenHBand="0" w:firstRowFirstColumn="0" w:firstRowLastColumn="0" w:lastRowFirstColumn="0" w:lastRowLastColumn="0"/>
            </w:pPr>
            <w:r>
              <w:t>500sqm</w:t>
            </w:r>
          </w:p>
        </w:tc>
      </w:tr>
      <w:tr w:rsidR="00E47699" w:rsidTr="00E476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pPr>
            <w:r>
              <w:t>3</w:t>
            </w:r>
          </w:p>
        </w:tc>
        <w:tc>
          <w:tcPr>
            <w:tcW w:w="37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Sunbury South Train Station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New</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1,500sqm</w:t>
            </w:r>
          </w:p>
        </w:tc>
      </w:tr>
      <w:tr w:rsidR="00E47699" w:rsidTr="00E47699">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pPr>
            <w:r>
              <w:t>75</w:t>
            </w:r>
          </w:p>
        </w:tc>
        <w:tc>
          <w:tcPr>
            <w:tcW w:w="37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000000" w:firstRow="0" w:lastRow="0" w:firstColumn="0" w:lastColumn="0" w:oddVBand="0" w:evenVBand="0" w:oddHBand="0" w:evenHBand="0" w:firstRowFirstColumn="0" w:firstRowLastColumn="0" w:lastRowFirstColumn="0" w:lastRowLastColumn="0"/>
            </w:pPr>
            <w:r>
              <w:t>Sunbury Rd (north-west of Lancefield Rd)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000000" w:firstRow="0" w:lastRow="0" w:firstColumn="0" w:lastColumn="0" w:oddVBand="0" w:evenVBand="0" w:oddHBand="0" w:evenHBand="0" w:firstRowFirstColumn="0" w:firstRowLastColumn="0" w:lastRowFirstColumn="0" w:lastRowLastColumn="0"/>
            </w:pPr>
            <w:r>
              <w:t>New</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000000" w:firstRow="0" w:lastRow="0" w:firstColumn="0" w:lastColumn="0" w:oddVBand="0" w:evenVBand="0" w:oddHBand="0" w:evenHBand="0" w:firstRowFirstColumn="0" w:firstRowLastColumn="0" w:lastRowFirstColumn="0" w:lastRowLastColumn="0"/>
            </w:pPr>
            <w:r>
              <w:t>1.500sqm</w:t>
            </w:r>
          </w:p>
        </w:tc>
      </w:tr>
      <w:tr w:rsidR="00E47699" w:rsidTr="00E4769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pPr>
            <w:r>
              <w:t>70</w:t>
            </w:r>
          </w:p>
        </w:tc>
        <w:tc>
          <w:tcPr>
            <w:tcW w:w="37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South-east of Redstone Hill MTC</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New</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47699" w:rsidRDefault="00E47699" w:rsidP="000978AC">
            <w:pPr>
              <w:pStyle w:val="Tabletext"/>
              <w:cnfStyle w:val="000000100000" w:firstRow="0" w:lastRow="0" w:firstColumn="0" w:lastColumn="0" w:oddVBand="0" w:evenVBand="0" w:oddHBand="1" w:evenHBand="0" w:firstRowFirstColumn="0" w:firstRowLastColumn="0" w:lastRowFirstColumn="0" w:lastRowLastColumn="0"/>
            </w:pPr>
            <w:r>
              <w:t>1,5000sqm</w:t>
            </w:r>
          </w:p>
        </w:tc>
      </w:tr>
    </w:tbl>
    <w:p w:rsidR="00E47699" w:rsidRDefault="00E47699" w:rsidP="00E47699">
      <w:pPr>
        <w:rPr>
          <w:color w:val="000000"/>
        </w:rPr>
      </w:pPr>
      <w:r>
        <w:rPr>
          <w:color w:val="000000"/>
        </w:rPr>
        <w:t>Further site-specific details regarding these centres are outlined in the response to individual submissions in the following sections.</w:t>
      </w:r>
    </w:p>
    <w:p w:rsidR="00E47699" w:rsidRPr="00E47699" w:rsidRDefault="00E47699" w:rsidP="00E47699">
      <w:pPr>
        <w:rPr>
          <w:lang w:eastAsia="en-US"/>
        </w:rPr>
      </w:pPr>
    </w:p>
    <w:p w:rsidR="00BD0BD8" w:rsidRDefault="00BD0BD8" w:rsidP="00BD0BD8">
      <w:pPr>
        <w:pStyle w:val="Heading1"/>
      </w:pPr>
      <w:bookmarkStart w:id="19" w:name="_Toc496183249"/>
      <w:r>
        <w:t>Individual Submitters</w:t>
      </w:r>
      <w:bookmarkEnd w:id="19"/>
    </w:p>
    <w:p w:rsidR="004A62FB" w:rsidRPr="006C1E5C" w:rsidRDefault="004A62FB" w:rsidP="004A62FB">
      <w:pPr>
        <w:pStyle w:val="Heading2"/>
      </w:pPr>
      <w:bookmarkStart w:id="20" w:name="_Toc496183250"/>
      <w:r>
        <w:t xml:space="preserve">Hume City Council </w:t>
      </w:r>
      <w:r w:rsidR="00EC3C54">
        <w:t xml:space="preserve">– Submissions </w:t>
      </w:r>
      <w:r>
        <w:t>57</w:t>
      </w:r>
      <w:r w:rsidR="00EC3C54">
        <w:t xml:space="preserve"> (C207) and </w:t>
      </w:r>
      <w:r w:rsidR="009A726C">
        <w:t>54 (C208) -</w:t>
      </w:r>
      <w:r>
        <w:t>see Appen</w:t>
      </w:r>
      <w:r w:rsidRPr="006C1E5C">
        <w:t xml:space="preserve">dix </w:t>
      </w:r>
      <w:r w:rsidR="00E01E88" w:rsidRPr="006C1E5C">
        <w:t>2</w:t>
      </w:r>
      <w:bookmarkEnd w:id="20"/>
    </w:p>
    <w:p w:rsidR="005933CB" w:rsidRPr="006C1E5C" w:rsidRDefault="005933CB" w:rsidP="004B3582">
      <w:pPr>
        <w:rPr>
          <w:lang w:eastAsia="en-US"/>
        </w:rPr>
      </w:pPr>
      <w:r w:rsidRPr="006C1E5C">
        <w:rPr>
          <w:lang w:eastAsia="en-US"/>
        </w:rPr>
        <w:t xml:space="preserve">Hume City Council provided the Panel with two tables which provided their position in relation to their outstanding submissions and their position on a number of matters raised by other submitters. </w:t>
      </w:r>
    </w:p>
    <w:p w:rsidR="005933CB" w:rsidRDefault="005933CB" w:rsidP="004B3582">
      <w:pPr>
        <w:rPr>
          <w:lang w:eastAsia="en-US"/>
        </w:rPr>
      </w:pPr>
      <w:r w:rsidRPr="006C1E5C">
        <w:rPr>
          <w:lang w:eastAsia="en-US"/>
        </w:rPr>
        <w:t>The VPA has provided responses to the submissions within a new column added to Hume City Council’s tables</w:t>
      </w:r>
      <w:r w:rsidR="00535AD7" w:rsidRPr="006C1E5C">
        <w:rPr>
          <w:lang w:eastAsia="en-US"/>
        </w:rPr>
        <w:t xml:space="preserve">. Please refer to </w:t>
      </w:r>
      <w:r w:rsidR="006C1E5C" w:rsidRPr="006C1E5C">
        <w:rPr>
          <w:lang w:eastAsia="en-US"/>
        </w:rPr>
        <w:t>Appendix 2</w:t>
      </w:r>
      <w:r w:rsidR="00535AD7" w:rsidRPr="006C1E5C">
        <w:rPr>
          <w:lang w:eastAsia="en-US"/>
        </w:rPr>
        <w:t xml:space="preserve"> for these respo</w:t>
      </w:r>
      <w:r w:rsidR="00535AD7">
        <w:rPr>
          <w:lang w:eastAsia="en-US"/>
        </w:rPr>
        <w:t xml:space="preserve">nses. </w:t>
      </w:r>
    </w:p>
    <w:p w:rsidR="00535AD7" w:rsidRPr="005933CB" w:rsidRDefault="00535AD7" w:rsidP="004B3582">
      <w:pPr>
        <w:rPr>
          <w:lang w:eastAsia="en-US"/>
        </w:rPr>
      </w:pPr>
      <w:r>
        <w:rPr>
          <w:lang w:eastAsia="en-US"/>
        </w:rPr>
        <w:t xml:space="preserve">Other key matters of Hume City Council, such as the provision of employment land, have been addressed in Section 3 above. </w:t>
      </w:r>
    </w:p>
    <w:p w:rsidR="004A62FB" w:rsidRDefault="004A62FB" w:rsidP="004A62FB">
      <w:pPr>
        <w:pStyle w:val="Heading2"/>
      </w:pPr>
      <w:bookmarkStart w:id="21" w:name="_Toc496183251"/>
      <w:r>
        <w:t>Melbourne Airport</w:t>
      </w:r>
      <w:r w:rsidR="00EC3C54">
        <w:t xml:space="preserve"> </w:t>
      </w:r>
      <w:r w:rsidR="009A726C">
        <w:t>– Submission 6 (C207)</w:t>
      </w:r>
      <w:bookmarkEnd w:id="21"/>
    </w:p>
    <w:p w:rsidR="00E10DE2" w:rsidRPr="00E10DE2" w:rsidRDefault="00E10DE2" w:rsidP="00F3013C">
      <w:pPr>
        <w:rPr>
          <w:rFonts w:ascii="VIC" w:hAnsi="VIC" w:cs="Arial"/>
          <w:color w:val="005EA1" w:themeColor="accent1"/>
          <w:sz w:val="22"/>
          <w:szCs w:val="22"/>
          <w:lang w:eastAsia="en-US"/>
        </w:rPr>
      </w:pPr>
      <w:r w:rsidRPr="00E10DE2">
        <w:rPr>
          <w:rFonts w:ascii="VIC" w:hAnsi="VIC" w:cs="Arial"/>
          <w:color w:val="005EA1" w:themeColor="accent1"/>
          <w:sz w:val="22"/>
          <w:szCs w:val="22"/>
          <w:lang w:eastAsia="en-US"/>
        </w:rPr>
        <w:t>Notification of applications within N-Contours</w:t>
      </w:r>
    </w:p>
    <w:p w:rsidR="00F3013C" w:rsidRPr="00E10DE2" w:rsidRDefault="00E10DE2" w:rsidP="00F3013C">
      <w:pPr>
        <w:rPr>
          <w:lang w:eastAsia="en-US"/>
        </w:rPr>
      </w:pPr>
      <w:r w:rsidRPr="00E10DE2">
        <w:rPr>
          <w:lang w:eastAsia="en-US"/>
        </w:rPr>
        <w:t xml:space="preserve">Melbourne Airport and VPA have reached an agreed position on the majority of the points </w:t>
      </w:r>
      <w:r w:rsidR="00FC7C53">
        <w:rPr>
          <w:lang w:eastAsia="en-US"/>
        </w:rPr>
        <w:t>raised by the submitter to the</w:t>
      </w:r>
      <w:r w:rsidRPr="00E10DE2">
        <w:rPr>
          <w:lang w:eastAsia="en-US"/>
        </w:rPr>
        <w:t xml:space="preserve"> Panel. The agreed position includes:</w:t>
      </w:r>
    </w:p>
    <w:p w:rsidR="00E10DE2" w:rsidRPr="00E10DE2" w:rsidRDefault="00E10DE2" w:rsidP="00E10DE2">
      <w:pPr>
        <w:pStyle w:val="List1bullet"/>
      </w:pPr>
      <w:r w:rsidRPr="00E10DE2">
        <w:rPr>
          <w:lang w:eastAsia="en-US"/>
        </w:rPr>
        <w:t xml:space="preserve">The VPA will not show the N Contours on Map 1 of the UGZ9 (or within the Sunbury South PSP). </w:t>
      </w:r>
      <w:r w:rsidRPr="00E10DE2">
        <w:t>The N Contours are subject to change every 5 years. The PSPs are long term plans which require inherent flexibility in order to avoid the need for unnecessary future planning scheme amendments.</w:t>
      </w:r>
    </w:p>
    <w:p w:rsidR="00E10DE2" w:rsidRDefault="00E10DE2" w:rsidP="00E10DE2">
      <w:pPr>
        <w:pStyle w:val="List1bullet"/>
        <w:rPr>
          <w:lang w:eastAsia="en-US"/>
        </w:rPr>
      </w:pPr>
      <w:r w:rsidRPr="00E10DE2">
        <w:rPr>
          <w:lang w:eastAsia="en-US"/>
        </w:rPr>
        <w:t>The following provision will be added at Clause 6.0 of the UGZ9:</w:t>
      </w:r>
    </w:p>
    <w:p w:rsidR="00B137B3" w:rsidRPr="00B137B3" w:rsidRDefault="00B137B3" w:rsidP="00E10DE2">
      <w:pPr>
        <w:pStyle w:val="ListParagraph"/>
        <w:rPr>
          <w:rFonts w:ascii="Times New Roman" w:hAnsi="Times New Roman"/>
          <w:b/>
          <w:sz w:val="14"/>
        </w:rPr>
      </w:pPr>
    </w:p>
    <w:p w:rsidR="00E10DE2" w:rsidRPr="00665F1C" w:rsidRDefault="00E10DE2" w:rsidP="00E10DE2">
      <w:pPr>
        <w:pStyle w:val="ListParagraph"/>
        <w:rPr>
          <w:rFonts w:ascii="Times New Roman" w:hAnsi="Times New Roman"/>
          <w:b/>
          <w:sz w:val="20"/>
        </w:rPr>
      </w:pPr>
      <w:r w:rsidRPr="00665F1C">
        <w:rPr>
          <w:rFonts w:ascii="Times New Roman" w:hAnsi="Times New Roman"/>
          <w:b/>
          <w:sz w:val="20"/>
        </w:rPr>
        <w:t>Notice of applications – Melbourne Airport N-Contours</w:t>
      </w:r>
    </w:p>
    <w:p w:rsidR="00E10DE2" w:rsidRPr="00B137B3" w:rsidRDefault="00E10DE2" w:rsidP="00E10DE2">
      <w:pPr>
        <w:pStyle w:val="ListParagraph"/>
        <w:rPr>
          <w:rFonts w:ascii="Times New Roman" w:hAnsi="Times New Roman"/>
          <w:sz w:val="14"/>
        </w:rPr>
      </w:pPr>
    </w:p>
    <w:p w:rsidR="00E10DE2" w:rsidRPr="00665F1C" w:rsidRDefault="00E10DE2" w:rsidP="00E10DE2">
      <w:pPr>
        <w:pStyle w:val="ListParagraph"/>
        <w:rPr>
          <w:rFonts w:ascii="Times New Roman" w:hAnsi="Times New Roman"/>
          <w:i/>
          <w:sz w:val="20"/>
        </w:rPr>
      </w:pPr>
      <w:r w:rsidRPr="00665F1C">
        <w:rPr>
          <w:rFonts w:ascii="Times New Roman" w:hAnsi="Times New Roman"/>
          <w:sz w:val="20"/>
        </w:rPr>
        <w:t xml:space="preserve">In accordance with Section 52(1)(C) of the </w:t>
      </w:r>
      <w:r w:rsidRPr="00665F1C">
        <w:rPr>
          <w:rFonts w:ascii="Times New Roman" w:hAnsi="Times New Roman"/>
          <w:i/>
          <w:sz w:val="20"/>
        </w:rPr>
        <w:t xml:space="preserve">Planning and Environment Act 1987, </w:t>
      </w:r>
      <w:r w:rsidRPr="00665F1C">
        <w:rPr>
          <w:rFonts w:ascii="Times New Roman" w:hAnsi="Times New Roman"/>
          <w:sz w:val="20"/>
        </w:rPr>
        <w:t xml:space="preserve">notice of an application with in the Melbourne Airport N-Contours as depicted in the Approved Melbourne Airport Master Plan under the </w:t>
      </w:r>
      <w:r w:rsidRPr="00665F1C">
        <w:rPr>
          <w:rFonts w:ascii="Times New Roman" w:hAnsi="Times New Roman"/>
          <w:i/>
          <w:sz w:val="20"/>
        </w:rPr>
        <w:t>Airports Act 1996 (Cth)</w:t>
      </w:r>
      <w:r w:rsidRPr="00665F1C">
        <w:rPr>
          <w:rFonts w:ascii="Times New Roman" w:hAnsi="Times New Roman"/>
          <w:sz w:val="20"/>
        </w:rPr>
        <w:t xml:space="preserve"> must be given to the airport lessee company of Melbourne Airport in accordance with the </w:t>
      </w:r>
      <w:r w:rsidRPr="00665F1C">
        <w:rPr>
          <w:rFonts w:ascii="Times New Roman" w:hAnsi="Times New Roman"/>
          <w:i/>
          <w:sz w:val="20"/>
        </w:rPr>
        <w:t>Airports Act 1996 (Cth).</w:t>
      </w:r>
    </w:p>
    <w:p w:rsidR="00E10DE2" w:rsidRDefault="00E10DE2" w:rsidP="00E10DE2">
      <w:pPr>
        <w:pStyle w:val="List1bullet"/>
      </w:pPr>
      <w:r>
        <w:t>T</w:t>
      </w:r>
      <w:r w:rsidRPr="00665F1C">
        <w:t>he following text</w:t>
      </w:r>
      <w:r>
        <w:t xml:space="preserve"> will be included</w:t>
      </w:r>
      <w:r w:rsidRPr="00665F1C">
        <w:t xml:space="preserve"> as a notation on Plan 5 of the PSP:</w:t>
      </w:r>
    </w:p>
    <w:p w:rsidR="00E10DE2" w:rsidRPr="00665F1C" w:rsidRDefault="00E10DE2" w:rsidP="00B137B3">
      <w:pPr>
        <w:ind w:left="709"/>
        <w:rPr>
          <w:i/>
        </w:rPr>
      </w:pPr>
      <w:r w:rsidRPr="00665F1C">
        <w:rPr>
          <w:i/>
        </w:rPr>
        <w:t xml:space="preserve">“The land within the PSP area is partly affected by the Melbourne Airport N-Contours. </w:t>
      </w:r>
    </w:p>
    <w:p w:rsidR="00E10DE2" w:rsidRDefault="00E10DE2" w:rsidP="00B137B3">
      <w:pPr>
        <w:ind w:left="709"/>
        <w:rPr>
          <w:i/>
        </w:rPr>
      </w:pPr>
      <w:r w:rsidRPr="00665F1C">
        <w:rPr>
          <w:i/>
        </w:rPr>
        <w:t>The effect of aircraft noise and the boundaries of the Melbourne Airport N-Contours can vary over time with changes to Melbourne Airport's operations, traffic volumes and types of aircraft using Melbourne Airport.</w:t>
      </w:r>
    </w:p>
    <w:p w:rsidR="00E10DE2" w:rsidRPr="00E10DE2" w:rsidRDefault="00E10DE2" w:rsidP="00B137B3">
      <w:pPr>
        <w:ind w:left="709"/>
        <w:rPr>
          <w:i/>
        </w:rPr>
      </w:pPr>
      <w:r w:rsidRPr="00E10DE2">
        <w:rPr>
          <w:i/>
        </w:rPr>
        <w:t>The most up-to-date information should be sought concerning aircraft noise and can be obtained from Melbourne Airport and its website, which can be accessed at: </w:t>
      </w:r>
      <w:hyperlink r:id="rId23" w:history="1">
        <w:r w:rsidRPr="00E10DE2">
          <w:rPr>
            <w:rStyle w:val="Hyperlink"/>
            <w:i/>
            <w:color w:val="auto"/>
          </w:rPr>
          <w:t>http://www.melbourneairport.com.au/</w:t>
        </w:r>
      </w:hyperlink>
      <w:r w:rsidRPr="00E10DE2">
        <w:rPr>
          <w:i/>
        </w:rPr>
        <w:t>.”</w:t>
      </w:r>
    </w:p>
    <w:p w:rsidR="00E10DE2" w:rsidRPr="00E10DE2" w:rsidRDefault="00E10DE2" w:rsidP="00E10DE2">
      <w:pPr>
        <w:pStyle w:val="List1bullet"/>
        <w:rPr>
          <w:lang w:eastAsia="en-US"/>
        </w:rPr>
      </w:pPr>
      <w:r w:rsidRPr="00E10DE2">
        <w:rPr>
          <w:lang w:eastAsia="en-US"/>
        </w:rPr>
        <w:t xml:space="preserve">Clause 66.04 will be updated to include the relevant notification requirements to Melbourne Airport. </w:t>
      </w:r>
    </w:p>
    <w:p w:rsidR="00E10DE2" w:rsidRPr="00E10DE2" w:rsidRDefault="00E10DE2" w:rsidP="00E10DE2">
      <w:pPr>
        <w:rPr>
          <w:rFonts w:ascii="VIC" w:hAnsi="VIC" w:cs="Arial"/>
          <w:color w:val="005EA1" w:themeColor="accent1"/>
          <w:sz w:val="22"/>
          <w:szCs w:val="22"/>
          <w:lang w:eastAsia="en-US"/>
        </w:rPr>
      </w:pPr>
      <w:r w:rsidRPr="00E10DE2">
        <w:rPr>
          <w:rFonts w:ascii="VIC" w:hAnsi="VIC" w:cs="Arial"/>
          <w:color w:val="005EA1" w:themeColor="accent1"/>
          <w:sz w:val="22"/>
          <w:szCs w:val="22"/>
          <w:lang w:eastAsia="en-US"/>
        </w:rPr>
        <w:t>Decision Guideline in the UGZ9</w:t>
      </w:r>
    </w:p>
    <w:p w:rsidR="00E10DE2" w:rsidRDefault="00E10DE2" w:rsidP="00E10DE2">
      <w:r>
        <w:t>It is considered that the outstanding</w:t>
      </w:r>
      <w:r w:rsidRPr="00E10DE2">
        <w:t xml:space="preserve"> unresolved matter be</w:t>
      </w:r>
      <w:r>
        <w:t xml:space="preserve">tween the parties for the Panel’s consideration is the inclusion or otherwise of the requested Decision Guideline at Clause 7.0 of the UGZ9. </w:t>
      </w:r>
    </w:p>
    <w:p w:rsidR="00E10DE2" w:rsidRPr="00CF4B85" w:rsidRDefault="00B137B3" w:rsidP="00E10DE2">
      <w:r>
        <w:t>Melbourne Airport’s submission requested the following text be inserted at Clause 7.0:</w:t>
      </w:r>
    </w:p>
    <w:p w:rsidR="00E10DE2" w:rsidRPr="00B137B3" w:rsidRDefault="00E10DE2" w:rsidP="00E10DE2">
      <w:pPr>
        <w:pStyle w:val="ListParagraph"/>
        <w:rPr>
          <w:b/>
          <w:sz w:val="14"/>
        </w:rPr>
      </w:pPr>
    </w:p>
    <w:p w:rsidR="00E10DE2" w:rsidRDefault="00B137B3" w:rsidP="00E10DE2">
      <w:pPr>
        <w:pStyle w:val="ListParagraph"/>
        <w:rPr>
          <w:i/>
        </w:rPr>
      </w:pPr>
      <w:r>
        <w:rPr>
          <w:rFonts w:ascii="Times New Roman" w:hAnsi="Times New Roman"/>
          <w:sz w:val="20"/>
        </w:rPr>
        <w:t>“</w:t>
      </w:r>
      <w:r w:rsidR="00E10DE2" w:rsidRPr="008729E0">
        <w:rPr>
          <w:rFonts w:ascii="Times New Roman" w:hAnsi="Times New Roman"/>
          <w:sz w:val="20"/>
        </w:rPr>
        <w:t>Development should have regard to the views of Melbourne Airport and the National Airport Safeguarding Framework (NASF) principles and guidelines (Department of Infrastructure and Regional Development, 2012).</w:t>
      </w:r>
      <w:r>
        <w:rPr>
          <w:rFonts w:ascii="Times New Roman" w:hAnsi="Times New Roman"/>
          <w:sz w:val="20"/>
        </w:rPr>
        <w:t>”</w:t>
      </w:r>
    </w:p>
    <w:p w:rsidR="00B137B3" w:rsidRDefault="00B137B3" w:rsidP="00B137B3">
      <w:r>
        <w:t>The inclusion of the text is requested by Melbourne Airport to give stronger emphasis/weight to NASF. They are of the view that a separate decision guideline would elevate the importance of NASF and in turn allow for Melbourne Airport to be more proactive when assessing applications.</w:t>
      </w:r>
    </w:p>
    <w:p w:rsidR="00E10DE2" w:rsidRDefault="00E10DE2" w:rsidP="00E10DE2">
      <w:r>
        <w:t xml:space="preserve">The VPA is of the view that this Decision Guideline is unnecessary due to the inclusion of the notice requirement for affected properties. Melbourne Airport will have the opportunity to ensure that their views, and the NASF principles, are captured when they respond to notice pursuant to s 60(1)(c) of the </w:t>
      </w:r>
      <w:r>
        <w:rPr>
          <w:i/>
        </w:rPr>
        <w:t>Planning and Environment Act 1987</w:t>
      </w:r>
      <w:r>
        <w:t xml:space="preserve">. </w:t>
      </w:r>
      <w:r w:rsidR="00B137B3">
        <w:t xml:space="preserve">Accordingly, the VPA submit that the Panel ought to recommend that the decision guideline is not necessary for inclusion in the UGZ9. </w:t>
      </w:r>
    </w:p>
    <w:p w:rsidR="004A62FB" w:rsidRDefault="004A62FB" w:rsidP="004A62FB">
      <w:pPr>
        <w:pStyle w:val="Heading2"/>
      </w:pPr>
      <w:bookmarkStart w:id="22" w:name="_Toc496183252"/>
      <w:r>
        <w:t>RCL Group</w:t>
      </w:r>
      <w:r w:rsidR="009A726C">
        <w:t xml:space="preserve"> – Submission 45 (C207</w:t>
      </w:r>
      <w:r w:rsidR="00EC3C54">
        <w:t>)</w:t>
      </w:r>
      <w:bookmarkEnd w:id="22"/>
    </w:p>
    <w:p w:rsidR="00C20D24" w:rsidRDefault="00C20D24" w:rsidP="00C20D24">
      <w:pPr>
        <w:rPr>
          <w:lang w:val="en-US"/>
        </w:rPr>
      </w:pPr>
      <w:r>
        <w:rPr>
          <w:lang w:val="en-US"/>
        </w:rPr>
        <w:t>RCL Sunbury Pty LTD (RCL) are the development interest in respect of property 72 within the Sunbury South PSP. The RCL submission is comprised of documents 59 and 60. These submissions in reply address the matters that remain in dispute between the VPA and RCL.</w:t>
      </w:r>
    </w:p>
    <w:p w:rsidR="00C20D24" w:rsidRDefault="00C20D24" w:rsidP="00C20D24">
      <w:pPr>
        <w:rPr>
          <w:lang w:val="en-US"/>
        </w:rPr>
      </w:pPr>
      <w:r>
        <w:rPr>
          <w:lang w:val="en-US"/>
        </w:rPr>
        <w:t>The first issue raised by RCL is its desire for plan 9 within the PSP to be amended to depict a left in left out access to the RCL land from Sunbury Road. The VPA continues to oppose this notation on the plan.</w:t>
      </w:r>
    </w:p>
    <w:p w:rsidR="00C20D24" w:rsidRDefault="00C20D24" w:rsidP="00C20D24">
      <w:pPr>
        <w:rPr>
          <w:lang w:val="en-US"/>
        </w:rPr>
      </w:pPr>
      <w:r>
        <w:rPr>
          <w:lang w:val="en-US"/>
        </w:rPr>
        <w:t>The road manager for Sunbury Road is VicRoads. At the time of a permit application it is entirely appropriate for RCL to demonstrate its proposed access arrangements whether interim or ultimate and to seek VicRoads approval of the same. At this time the panel is not in a position to evaluate the information for a permit application (there is none before the panel) and form a view on whether or not left in left out is required. At its heart the purpose of identifying the left in left out arrangement is to provide a leg up in discussions with VicRoads or to fetter the exercise of its discretion. This is not appropriate in circumstances of a planning scheme amendment in the absence of information describing how that permit application will in fact be formulated. The current amendment will not operate to defeat the existing access that this property takes from Sunbury Road. A right of review exists in the event that VicRoads does not appropriately assess the merits of any future detailed application.</w:t>
      </w:r>
    </w:p>
    <w:p w:rsidR="00C20D24" w:rsidRDefault="00C20D24" w:rsidP="00C20D24">
      <w:pPr>
        <w:rPr>
          <w:lang w:val="en-US"/>
        </w:rPr>
      </w:pPr>
      <w:r>
        <w:rPr>
          <w:lang w:val="en-US"/>
        </w:rPr>
        <w:t>The evidence of Mr Ganankone relied upon preliminary designs that were not included in the evidence itself and therefore unable to be tested. This amendment will not be approved for at a minimum another six months. There lies no disadvantage to RCL if it is in fact minded to immediately develop its land by not identifying the left in left out arrangement. The fact is that RCL can approach and determine an appropriate arrangement with VicRoads prior to gazettal of the PSP and based on actual information about how it intends to develop as land.</w:t>
      </w:r>
    </w:p>
    <w:p w:rsidR="00C20D24" w:rsidRDefault="00C20D24" w:rsidP="00C20D24">
      <w:pPr>
        <w:rPr>
          <w:lang w:val="en-US"/>
        </w:rPr>
      </w:pPr>
      <w:r>
        <w:rPr>
          <w:lang w:val="en-US"/>
        </w:rPr>
        <w:t>The VPA opposes the changes to plan 9 of the PSP.</w:t>
      </w:r>
    </w:p>
    <w:p w:rsidR="00C20D24" w:rsidRDefault="00C20D24" w:rsidP="00C20D24">
      <w:pPr>
        <w:rPr>
          <w:lang w:val="en-US"/>
        </w:rPr>
      </w:pPr>
      <w:r>
        <w:rPr>
          <w:lang w:val="en-US"/>
        </w:rPr>
        <w:t>RCL has raised concerns about the identification of break of slope on its land. The VPA has addressed its position on break of slope earlier in this submission. The VPA agrees with the comments at paragraph 34 of the RCL submission to the effect that identification of break of slope is subjective however informed by objective fact. The VPA agrees to consider how the break of slope has been identified on the RCL land between it, the Hume City Council and RCL. The VPA invites either a general recommendation to this effect or a specific recommendation to this effect in respect of the RCL land.</w:t>
      </w:r>
    </w:p>
    <w:p w:rsidR="00C20D24" w:rsidRDefault="00C20D24" w:rsidP="00C20D24">
      <w:pPr>
        <w:rPr>
          <w:lang w:val="en-US"/>
        </w:rPr>
      </w:pPr>
      <w:r>
        <w:rPr>
          <w:lang w:val="en-US"/>
        </w:rPr>
        <w:t>RCL has made submissions from paragraphs 76 onwards concerning the odour buffer associated with the composting facility. The VPA observes RCL is strong opposition to a requirement for a 53 V audit on the basis set out in paragraphs 82.1, 82.2, and 82.3. The VPA observes that this is consistent with the position expressed by it in response to the Veolia submissions. That is while a section 53 V audit remains an appropriate tool for variation of the composting buffer it should not be the only tool available to the development community.</w:t>
      </w:r>
    </w:p>
    <w:p w:rsidR="00271ED8" w:rsidRDefault="00271ED8" w:rsidP="00271ED8">
      <w:pPr>
        <w:rPr>
          <w:lang w:val="en-US"/>
        </w:rPr>
      </w:pPr>
      <w:r>
        <w:rPr>
          <w:lang w:val="en-US"/>
        </w:rPr>
        <w:t>RCL expressed a concern that the proposed sewer pump station for Western water ought be accommodated in the land required for the drainage reserve property. At paragraph 67 it notes that the VPA has referred this submission to Western Water. Western Water have indicated that the location as defined in the exhibited PSP is indicative only, and that they would support working with RCL to identify a mutually acceptable site, potentially co-located with drainage assets.</w:t>
      </w:r>
    </w:p>
    <w:p w:rsidR="00C20D24" w:rsidRDefault="00C20D24" w:rsidP="00C20D24">
      <w:pPr>
        <w:rPr>
          <w:lang w:val="en-US"/>
        </w:rPr>
      </w:pPr>
      <w:r>
        <w:rPr>
          <w:lang w:val="en-US"/>
        </w:rPr>
        <w:t>This addresses the matters raised by RCL in its submission of 6 September 2017.</w:t>
      </w:r>
    </w:p>
    <w:p w:rsidR="009A726C" w:rsidRDefault="009A726C" w:rsidP="00CF1FAB">
      <w:pPr>
        <w:pStyle w:val="Heading2"/>
      </w:pPr>
      <w:bookmarkStart w:id="23" w:name="_Toc496183253"/>
      <w:r>
        <w:t>Sustainability Victoria – Submissions 33 (C207) and 35 (C209)</w:t>
      </w:r>
      <w:bookmarkEnd w:id="23"/>
    </w:p>
    <w:p w:rsidR="00374326" w:rsidRDefault="00374326" w:rsidP="00374326">
      <w:pPr>
        <w:rPr>
          <w:lang w:val="en-US"/>
        </w:rPr>
      </w:pPr>
      <w:r>
        <w:rPr>
          <w:lang w:val="en-US"/>
        </w:rPr>
        <w:t>The submission from Sustainability Victoria is contained within document 65. To the extent that this submission indicates that organics processing facilities are important and embraced by existing waste policy, the VPA accepts this proposition. Of course this is not to derogate from the importance of other applicable policy specifically planning policy in Victoria and the need to realize land identified through the growth corridor planning processes for urban purposes. The VPA actively disagrees with some matters put by Sustainability Victoria concerning the appropriate ordinance required to protect and manage buffer interfaces. In particular the VPA has considered the matters outlined at paragraph 51 of the Sustainability Victoria submission which purports to provide support for the prohibition of sensitive uses within buffer zones.</w:t>
      </w:r>
    </w:p>
    <w:p w:rsidR="00374326" w:rsidRDefault="00374326" w:rsidP="00374326">
      <w:pPr>
        <w:rPr>
          <w:lang w:val="en-US"/>
        </w:rPr>
      </w:pPr>
      <w:r>
        <w:rPr>
          <w:lang w:val="en-US"/>
        </w:rPr>
        <w:t>The examples provided include:</w:t>
      </w:r>
    </w:p>
    <w:p w:rsidR="00374326" w:rsidRDefault="00374326" w:rsidP="00374326">
      <w:pPr>
        <w:pStyle w:val="List1bullet"/>
        <w:rPr>
          <w:rFonts w:eastAsia="Times New Roman"/>
          <w:lang w:val="en-US"/>
        </w:rPr>
      </w:pPr>
      <w:r>
        <w:rPr>
          <w:rFonts w:eastAsia="Times New Roman"/>
          <w:lang w:val="en-US"/>
        </w:rPr>
        <w:t>Mt Atkinson and Tarneit Plains PSP. This PSP concerned areas which the growth corridor plans identified for state significant employment and industrial areas.  It is not an appropriate comparison.</w:t>
      </w:r>
    </w:p>
    <w:p w:rsidR="00374326" w:rsidRDefault="00374326" w:rsidP="00374326">
      <w:pPr>
        <w:pStyle w:val="List1bullet"/>
        <w:rPr>
          <w:rFonts w:eastAsia="Times New Roman"/>
          <w:lang w:val="en-US"/>
        </w:rPr>
      </w:pPr>
      <w:r>
        <w:rPr>
          <w:rFonts w:eastAsia="Times New Roman"/>
          <w:lang w:val="en-US"/>
        </w:rPr>
        <w:t>The VPA has been unable to identify what was intended by the reference to Werribee PSP.</w:t>
      </w:r>
    </w:p>
    <w:p w:rsidR="00374326" w:rsidRDefault="00374326" w:rsidP="00374326">
      <w:pPr>
        <w:pStyle w:val="List1bullet"/>
        <w:rPr>
          <w:rFonts w:eastAsia="Times New Roman"/>
          <w:lang w:val="en-US"/>
        </w:rPr>
      </w:pPr>
      <w:r>
        <w:rPr>
          <w:rFonts w:eastAsia="Times New Roman"/>
          <w:lang w:val="en-US"/>
        </w:rPr>
        <w:t>The VPA has considered the approved ordinance for the Mount Alexander Shire Castlemaine landfill being amendments C 56. The approved C 56 schedule to the ESO states:</w:t>
      </w:r>
    </w:p>
    <w:p w:rsidR="00374326" w:rsidRPr="00374326" w:rsidRDefault="00374326" w:rsidP="00374326">
      <w:pPr>
        <w:pStyle w:val="List1bullet"/>
        <w:numPr>
          <w:ilvl w:val="0"/>
          <w:numId w:val="0"/>
        </w:numPr>
        <w:ind w:left="1145"/>
        <w:rPr>
          <w:i/>
          <w:lang w:val="en-US"/>
        </w:rPr>
      </w:pPr>
      <w:r w:rsidRPr="00374326">
        <w:rPr>
          <w:i/>
          <w:lang w:val="en-US"/>
        </w:rPr>
        <w:t>An environmental audit has been undertaken to assess the potential for areas identified for residential development in the Diamond Gully Structure Plan, July 2016 to be at risk from the potential migration of landfill gas from the existing and former Castlemaine Landfill cells.</w:t>
      </w:r>
    </w:p>
    <w:p w:rsidR="00374326" w:rsidRPr="00374326" w:rsidRDefault="00374326" w:rsidP="00374326">
      <w:pPr>
        <w:pStyle w:val="List1bullet"/>
        <w:numPr>
          <w:ilvl w:val="0"/>
          <w:numId w:val="0"/>
        </w:numPr>
        <w:ind w:left="1145"/>
        <w:rPr>
          <w:i/>
          <w:lang w:val="en-US"/>
        </w:rPr>
      </w:pPr>
      <w:r w:rsidRPr="00374326">
        <w:rPr>
          <w:i/>
          <w:lang w:val="en-US"/>
        </w:rPr>
        <w:t>The landfill gas risk for most of the areas concerned was identified as being very low.</w:t>
      </w:r>
    </w:p>
    <w:p w:rsidR="00374326" w:rsidRPr="00374326" w:rsidRDefault="00374326" w:rsidP="00374326">
      <w:pPr>
        <w:pStyle w:val="List1bullet"/>
        <w:numPr>
          <w:ilvl w:val="0"/>
          <w:numId w:val="0"/>
        </w:numPr>
        <w:ind w:left="1145"/>
        <w:rPr>
          <w:i/>
          <w:lang w:val="en-US"/>
        </w:rPr>
      </w:pPr>
      <w:r w:rsidRPr="00374326">
        <w:rPr>
          <w:i/>
          <w:lang w:val="en-US"/>
        </w:rPr>
        <w:t>However, before residential development proceeds in an area to the south of Diamond Gully Road and west of Sluicers Road, a further site specific audit must be undertaken for this area in accordance with the requirements of Section 53V of the Environment Protection Act 1970 to ensure that there is not an unacceptable risk of landfill gas migration.</w:t>
      </w:r>
    </w:p>
    <w:p w:rsidR="00374326" w:rsidRDefault="00374326" w:rsidP="00374326">
      <w:pPr>
        <w:rPr>
          <w:lang w:val="en-US"/>
        </w:rPr>
      </w:pPr>
      <w:r>
        <w:rPr>
          <w:lang w:val="en-US"/>
        </w:rPr>
        <w:t xml:space="preserve">Accordingly it can be seen that rather than prohibiting residential development, it adopts the very approach that the VPA advocates to the panel in this instance that being no residential development until an appropriate section 50 3V audit is undertaken. </w:t>
      </w:r>
    </w:p>
    <w:p w:rsidR="00374326" w:rsidRPr="00374326" w:rsidRDefault="00374326" w:rsidP="00374326">
      <w:pPr>
        <w:pStyle w:val="List1bullet"/>
        <w:rPr>
          <w:rFonts w:eastAsia="Times New Roman"/>
          <w:lang w:val="en-US"/>
        </w:rPr>
      </w:pPr>
      <w:r w:rsidRPr="00374326">
        <w:rPr>
          <w:rFonts w:eastAsia="Times New Roman"/>
          <w:lang w:val="en-US"/>
        </w:rPr>
        <w:t>Finally Kingston C 143 concerned a rezoning to green wedge zone which is not comparable on the facts.</w:t>
      </w:r>
    </w:p>
    <w:p w:rsidR="00374326" w:rsidRDefault="00374326" w:rsidP="00374326">
      <w:pPr>
        <w:rPr>
          <w:lang w:val="en-US"/>
        </w:rPr>
      </w:pPr>
      <w:r>
        <w:rPr>
          <w:lang w:val="en-US"/>
        </w:rPr>
        <w:t>It is submitted that the examples provided by Sustainability Victoria are not reasonable comparisons. Finally the VPA observed the evidence of Mr Barlow to the effect that it is not appropriate to apply an ESO in the current circumstances where the UGZ is in place and designed specifically such that it can accommodate variations needed to meet local conditions.</w:t>
      </w:r>
    </w:p>
    <w:p w:rsidR="00374326" w:rsidRDefault="00374326" w:rsidP="00374326">
      <w:pPr>
        <w:rPr>
          <w:lang w:val="en-US"/>
        </w:rPr>
      </w:pPr>
      <w:r>
        <w:rPr>
          <w:lang w:val="en-US"/>
        </w:rPr>
        <w:t>It is respectfully submitt</w:t>
      </w:r>
      <w:r w:rsidRPr="006C1E5C">
        <w:rPr>
          <w:lang w:val="en-US"/>
        </w:rPr>
        <w:t xml:space="preserve">ed that the </w:t>
      </w:r>
      <w:r w:rsidR="006C1E5C" w:rsidRPr="006C1E5C">
        <w:rPr>
          <w:lang w:val="en-US"/>
        </w:rPr>
        <w:t>Panel</w:t>
      </w:r>
      <w:r w:rsidRPr="006C1E5C">
        <w:rPr>
          <w:lang w:val="en-US"/>
        </w:rPr>
        <w:t xml:space="preserve"> should n</w:t>
      </w:r>
      <w:r>
        <w:rPr>
          <w:lang w:val="en-US"/>
        </w:rPr>
        <w:t>o</w:t>
      </w:r>
      <w:r w:rsidR="001F5377">
        <w:rPr>
          <w:lang w:val="en-US"/>
        </w:rPr>
        <w:t>t adopt the recommendations of S</w:t>
      </w:r>
      <w:r>
        <w:rPr>
          <w:lang w:val="en-US"/>
        </w:rPr>
        <w:t>ustainability Victoria.</w:t>
      </w:r>
    </w:p>
    <w:p w:rsidR="009A726C" w:rsidRDefault="009A726C" w:rsidP="007B69D6">
      <w:pPr>
        <w:pStyle w:val="Heading2"/>
      </w:pPr>
      <w:bookmarkStart w:id="24" w:name="_Toc496183254"/>
      <w:r>
        <w:t>Metropolitan Waste and Resource Recovery Group – Submission 69 (C207)</w:t>
      </w:r>
      <w:bookmarkEnd w:id="24"/>
    </w:p>
    <w:p w:rsidR="00374326" w:rsidRDefault="00374326" w:rsidP="00217D0A">
      <w:pPr>
        <w:rPr>
          <w:lang w:val="en-US"/>
        </w:rPr>
      </w:pPr>
      <w:r>
        <w:rPr>
          <w:lang w:val="en-US"/>
        </w:rPr>
        <w:t xml:space="preserve">The Metropolitan Waste and Resource Recovery Group submission is constituted by document 66. To the extent that that submission provides an outline of waste policy and the Metropolitan Implementation Plan the VPA do not take issue with the submissions. However the VPA takes issues with a number of assumptions within the submission which ultimately render reliance the document unsound.  In particular the assumptions at Paragraph 55 to the effect that the landfill site risks pose a barrier to sensitive use for 80 years appears inconsistent with the availability of Section 53V audits as advised by the EPA and the advice on landfill risks from Mr Clarke of Senversa.  The Panel is referred to the VPA’s response on Sustainability Victoria matters in respect of buffers and the ESO. The VPA has not received any proposed drafting for controls from the submitter.  </w:t>
      </w:r>
    </w:p>
    <w:p w:rsidR="007B69D6" w:rsidRDefault="007B69D6" w:rsidP="007B69D6">
      <w:pPr>
        <w:pStyle w:val="Heading2"/>
      </w:pPr>
      <w:bookmarkStart w:id="25" w:name="_Toc496183255"/>
      <w:r>
        <w:t>Environment Protection Authority – Submissions 82 (C207) and 83 (C208)</w:t>
      </w:r>
      <w:bookmarkEnd w:id="25"/>
    </w:p>
    <w:p w:rsidR="00FA0D9B" w:rsidRPr="00FA0D9B" w:rsidRDefault="00FA0D9B" w:rsidP="00FA0D9B">
      <w:pPr>
        <w:rPr>
          <w:rFonts w:ascii="VIC" w:hAnsi="VIC" w:cs="Arial"/>
          <w:color w:val="005EA1" w:themeColor="accent1"/>
          <w:sz w:val="22"/>
          <w:szCs w:val="22"/>
          <w:lang w:eastAsia="en-US"/>
        </w:rPr>
      </w:pPr>
      <w:r w:rsidRPr="00FA0D9B">
        <w:rPr>
          <w:rFonts w:ascii="VIC" w:hAnsi="VIC" w:cs="Arial"/>
          <w:color w:val="005EA1" w:themeColor="accent1"/>
          <w:sz w:val="22"/>
          <w:szCs w:val="22"/>
          <w:lang w:eastAsia="en-US"/>
        </w:rPr>
        <w:t>Landfill Gas Migration Buffer</w:t>
      </w:r>
    </w:p>
    <w:p w:rsidR="00FA0D9B" w:rsidRDefault="00FA0D9B" w:rsidP="00FA0D9B">
      <w:pPr>
        <w:rPr>
          <w:lang w:val="en-US"/>
        </w:rPr>
      </w:pPr>
      <w:r>
        <w:rPr>
          <w:lang w:val="en-US"/>
        </w:rPr>
        <w:t xml:space="preserve">The VPA refers to the submissions of the EPA as augmented by its response of 15 September 2017.  The VPA acknowledges the EPA’s confirmation that it considers it should be a determining referral authority within the relevant buffers.  Based on the advice of the EPA’s expert on landfill gas risk provided to the Panel the VPA understand that section 53V audits can be sought at the time of closure of the proximate landfills cells.  To this end the VPA interprets the response at 1(b) of the letter to be consistent with this position expressed at the Panel hearing.  That is, sensitive uses should be prohibited within the landfill buffer until ‘cleared’ by a statutory environment audit.  In this regard the VPA understands its position to be consistent with the EPA (though it is content to receive a recommendation to clarify this if the Panel interprets the letter on different terms.  </w:t>
      </w:r>
    </w:p>
    <w:p w:rsidR="00FA0D9B" w:rsidRPr="007B69D6" w:rsidRDefault="00FA0D9B" w:rsidP="00FA0D9B">
      <w:pPr>
        <w:rPr>
          <w:rFonts w:ascii="VIC" w:hAnsi="VIC" w:cs="Arial"/>
          <w:color w:val="005EA1" w:themeColor="accent1"/>
          <w:sz w:val="22"/>
          <w:szCs w:val="22"/>
          <w:lang w:eastAsia="en-US"/>
        </w:rPr>
      </w:pPr>
      <w:r w:rsidRPr="007B69D6">
        <w:rPr>
          <w:rFonts w:ascii="VIC" w:hAnsi="VIC" w:cs="Arial"/>
          <w:color w:val="005EA1" w:themeColor="accent1"/>
          <w:sz w:val="22"/>
          <w:szCs w:val="22"/>
          <w:lang w:eastAsia="en-US"/>
        </w:rPr>
        <w:t>Composting Facility Odour Buffer</w:t>
      </w:r>
    </w:p>
    <w:p w:rsidR="007B69D6" w:rsidRDefault="007B69D6" w:rsidP="007B69D6">
      <w:pPr>
        <w:rPr>
          <w:lang w:val="en-US"/>
        </w:rPr>
      </w:pPr>
      <w:r>
        <w:rPr>
          <w:lang w:val="en-US"/>
        </w:rPr>
        <w:t>The VPA notes the position of the EPA that the separation guidelines support a buffer of ‘at least’ 1,400 metres.  This position is difficult to reconcile with the evidence of the various experts before the Panel including that of Veolia.  The VPA adopts the tested evidence before the Panel in supporting a 1,300 metre buffer.</w:t>
      </w:r>
    </w:p>
    <w:p w:rsidR="007B69D6" w:rsidRPr="000274DA" w:rsidRDefault="007B69D6" w:rsidP="007B69D6">
      <w:pPr>
        <w:rPr>
          <w:lang w:val="en-US"/>
        </w:rPr>
      </w:pPr>
      <w:r w:rsidRPr="000274DA">
        <w:rPr>
          <w:lang w:val="en-US"/>
        </w:rPr>
        <w:t xml:space="preserve">Finally the VPA notes the position of the EPA in respect of section 53V audits to release land within the composting buffer.  Subject to the following qualification the VPA agrees with this position.  The concern of the VPA with reliance exclusively </w:t>
      </w:r>
      <w:r w:rsidR="001F5377" w:rsidRPr="000274DA">
        <w:rPr>
          <w:lang w:val="en-US"/>
        </w:rPr>
        <w:t>upon a</w:t>
      </w:r>
      <w:r w:rsidRPr="000274DA">
        <w:rPr>
          <w:lang w:val="en-US"/>
        </w:rPr>
        <w:t xml:space="preserve"> 53v audit is that the evidence suggests it may not be possible to undertake a 53V audit without the support of Veolia.  Accordingly the controls should allow for an alternate assessment to the satisfaction of the EPA in the event that Veolia’s actions seek to prevent realization of uses by non-participation.  </w:t>
      </w:r>
    </w:p>
    <w:p w:rsidR="009A726C" w:rsidRPr="000274DA" w:rsidRDefault="009A726C" w:rsidP="00CF1FAB">
      <w:pPr>
        <w:pStyle w:val="Heading2"/>
      </w:pPr>
      <w:bookmarkStart w:id="26" w:name="_Toc496183256"/>
      <w:r w:rsidRPr="000274DA">
        <w:t>Veolia Environmental Services Pty Ltd – Submission 95 (C207)</w:t>
      </w:r>
      <w:bookmarkEnd w:id="26"/>
    </w:p>
    <w:p w:rsidR="000274DA" w:rsidRDefault="000274DA" w:rsidP="000274DA">
      <w:pPr>
        <w:rPr>
          <w:lang w:val="en-US"/>
        </w:rPr>
      </w:pPr>
      <w:r w:rsidRPr="000274DA">
        <w:rPr>
          <w:lang w:val="en-US"/>
        </w:rPr>
        <w:t>Veolia relied on the evidence of Mr Assal.  His evidence confirmed that it is feasi</w:t>
      </w:r>
      <w:r w:rsidR="001F5377">
        <w:rPr>
          <w:lang w:val="en-US"/>
        </w:rPr>
        <w:t>ble to undertake improvements to</w:t>
      </w:r>
      <w:r w:rsidRPr="000274DA">
        <w:rPr>
          <w:lang w:val="en-US"/>
        </w:rPr>
        <w:t xml:space="preserve"> the Veolia operation utilizing current technology to reduce the buffer.  While it is not certain that this will happen, it is appropriate that the controls properly provide for this pote</w:t>
      </w:r>
      <w:r>
        <w:rPr>
          <w:lang w:val="en-US"/>
        </w:rPr>
        <w:t>ntiality by permitting sensitive uses within what will be the final buffer area subject to appropriate evidence.  The EPA should be involved in the assessment of such information.  The Veolia submission at page 3, paragraph 3 sets out a series of recommended changes to the exhibited materials. The VPA responds to these changes as follows:</w:t>
      </w:r>
    </w:p>
    <w:p w:rsidR="000274DA" w:rsidRDefault="000274DA" w:rsidP="000274DA">
      <w:pPr>
        <w:pStyle w:val="List1bullet"/>
        <w:rPr>
          <w:lang w:val="en-US"/>
        </w:rPr>
      </w:pPr>
      <w:r>
        <w:rPr>
          <w:lang w:val="en-US"/>
        </w:rPr>
        <w:t>3.1.1 (</w:t>
      </w:r>
      <w:r w:rsidR="001F5377">
        <w:rPr>
          <w:lang w:val="en-US"/>
        </w:rPr>
        <w:t>A</w:t>
      </w:r>
      <w:r>
        <w:rPr>
          <w:lang w:val="en-US"/>
        </w:rPr>
        <w:t>), the VPA agrees that the (TBC) should be deleted from the legend of map one at section 1.</w:t>
      </w:r>
    </w:p>
    <w:p w:rsidR="000274DA" w:rsidRDefault="000274DA" w:rsidP="000274DA">
      <w:pPr>
        <w:pStyle w:val="List1bullet"/>
        <w:rPr>
          <w:lang w:val="en-US"/>
        </w:rPr>
      </w:pPr>
      <w:r>
        <w:rPr>
          <w:lang w:val="en-US"/>
        </w:rPr>
        <w:t>3.1.1 (</w:t>
      </w:r>
      <w:r w:rsidR="001F5377">
        <w:rPr>
          <w:lang w:val="en-US"/>
        </w:rPr>
        <w:t>B</w:t>
      </w:r>
      <w:r>
        <w:rPr>
          <w:lang w:val="en-US"/>
        </w:rPr>
        <w:t>), for the reasons set out above the VPA does not accept the deletion of residential land within the 'composting facility odour buffer'.</w:t>
      </w:r>
    </w:p>
    <w:p w:rsidR="000274DA" w:rsidRDefault="000274DA" w:rsidP="000274DA">
      <w:pPr>
        <w:pStyle w:val="List1bullet"/>
        <w:rPr>
          <w:lang w:val="en-US"/>
        </w:rPr>
      </w:pPr>
      <w:r>
        <w:rPr>
          <w:lang w:val="en-US"/>
        </w:rPr>
        <w:t>3.1.2, the VPA does not agree to delete clause 3.9 or to insert the proposed text. It is apparent that Veolia have formulated the position on this issue based on the exhibited materials.</w:t>
      </w:r>
    </w:p>
    <w:p w:rsidR="000274DA" w:rsidRDefault="000274DA" w:rsidP="000274DA">
      <w:pPr>
        <w:pStyle w:val="List1bullet"/>
        <w:rPr>
          <w:lang w:val="en-US"/>
        </w:rPr>
      </w:pPr>
      <w:r>
        <w:rPr>
          <w:lang w:val="en-US"/>
        </w:rPr>
        <w:t>3.1.3, the VPA agrees to amend plan 3 the FUS to the extent that this is consistent with the position expressed above.</w:t>
      </w:r>
    </w:p>
    <w:p w:rsidR="000274DA" w:rsidRDefault="000274DA" w:rsidP="000274DA">
      <w:pPr>
        <w:rPr>
          <w:lang w:val="en-US"/>
        </w:rPr>
      </w:pPr>
      <w:r>
        <w:rPr>
          <w:lang w:val="en-US"/>
        </w:rPr>
        <w:t>To the extent that allegations have been made by Hi Quality regarding matters of compliance by Veolia with its license requirements and that these allegations have been opposed by Veolia, the VPA does not consider these matters to be material to the panel's considerations. The VPA offers no view on the allegations. The VPA is satisfied that there exists sufficient capacity to liberate land currently impacted by the odour buffer created by the Veolia facility whether that liberation occurs on account of the cessation of Veolia's operation prior to or at the end of its leasehold tenure or whether consistent with the evidence before this panel better technology is utilised at that facility or processes changed with the effect that the buffer is reduced. The PSP is a long-term plan and it is important not to focus solely on the near-term when there are approximately 30 years of work and development to occur leading to full buildout. Within a spectrum this long it is apparent that a date around 2030 represents only the midpoint of development.</w:t>
      </w:r>
    </w:p>
    <w:p w:rsidR="000274DA" w:rsidRPr="000274DA" w:rsidRDefault="000274DA" w:rsidP="000274DA">
      <w:pPr>
        <w:rPr>
          <w:lang w:eastAsia="en-US"/>
        </w:rPr>
      </w:pPr>
    </w:p>
    <w:p w:rsidR="009A726C" w:rsidRPr="00226CC1" w:rsidRDefault="00B54541" w:rsidP="00CF1FAB">
      <w:pPr>
        <w:pStyle w:val="Heading2"/>
      </w:pPr>
      <w:bookmarkStart w:id="27" w:name="_Toc496183257"/>
      <w:r w:rsidRPr="00226CC1">
        <w:t>Oliver Hu</w:t>
      </w:r>
      <w:r w:rsidR="009A726C" w:rsidRPr="00226CC1">
        <w:t>me Pro</w:t>
      </w:r>
      <w:r w:rsidRPr="00226CC1">
        <w:t>p</w:t>
      </w:r>
      <w:r w:rsidR="009A726C" w:rsidRPr="00226CC1">
        <w:t>erty Funds, AHB Australia Pty Ltd and Sunbury West Owners Group – Submissions 26, 80, 94 (C207) and 28, 82, 92 (C208)</w:t>
      </w:r>
      <w:bookmarkEnd w:id="27"/>
    </w:p>
    <w:p w:rsidR="00890EB8" w:rsidRPr="00226CC1" w:rsidRDefault="00890EB8" w:rsidP="00226CC1">
      <w:pPr>
        <w:rPr>
          <w:rFonts w:ascii="VIC" w:hAnsi="VIC" w:cs="Arial"/>
          <w:color w:val="005EA1" w:themeColor="accent1"/>
          <w:sz w:val="22"/>
          <w:szCs w:val="22"/>
          <w:lang w:eastAsia="en-US"/>
        </w:rPr>
      </w:pPr>
      <w:r w:rsidRPr="00226CC1">
        <w:rPr>
          <w:rFonts w:ascii="VIC" w:hAnsi="VIC" w:cs="Arial"/>
          <w:color w:val="005EA1" w:themeColor="accent1"/>
          <w:sz w:val="22"/>
          <w:szCs w:val="22"/>
          <w:lang w:eastAsia="en-US"/>
        </w:rPr>
        <w:t>SICADS – Status and timing of the Sunbury West PSP</w:t>
      </w:r>
    </w:p>
    <w:p w:rsidR="00FE40F5" w:rsidRPr="00226CC1" w:rsidRDefault="00890EB8" w:rsidP="00226CC1">
      <w:r w:rsidRPr="00226CC1">
        <w:t>This submission e</w:t>
      </w:r>
      <w:r w:rsidR="00B02B9B" w:rsidRPr="00226CC1">
        <w:t>xpressed c</w:t>
      </w:r>
      <w:r w:rsidR="00FE40F5" w:rsidRPr="00226CC1">
        <w:t>oncerns around the final form and wording of the Sunbury Infrastructure Co-ordination and Delivery Strategy, and the degree to which it may prejudice future planning (including timing) for the Sunbury West and Sunbury West precincts.</w:t>
      </w:r>
    </w:p>
    <w:p w:rsidR="00FE40F5" w:rsidRPr="00226CC1" w:rsidRDefault="00FE40F5" w:rsidP="00226CC1">
      <w:r w:rsidRPr="00226CC1">
        <w:t>The</w:t>
      </w:r>
      <w:r w:rsidR="00226CC1" w:rsidRPr="00226CC1">
        <w:t xml:space="preserve"> VPA note that the</w:t>
      </w:r>
      <w:r w:rsidRPr="00226CC1">
        <w:t xml:space="preserve"> role and content of SICADs has been the focus of a number of submi</w:t>
      </w:r>
      <w:r w:rsidR="006C58A4" w:rsidRPr="00226CC1">
        <w:t xml:space="preserve">ssions before the Panel. In its </w:t>
      </w:r>
      <w:r w:rsidR="00625E39" w:rsidRPr="00226CC1">
        <w:t>Part B submission to the Panel, the VPA outlined a series of changes it proposed to make to the Amendment in relation to SICADs, including:</w:t>
      </w:r>
    </w:p>
    <w:p w:rsidR="00625E39" w:rsidRPr="00226CC1" w:rsidRDefault="00226CC1" w:rsidP="00226CC1">
      <w:pPr>
        <w:pStyle w:val="List1bullet"/>
      </w:pPr>
      <w:r>
        <w:t>M</w:t>
      </w:r>
      <w:r w:rsidR="00625E39" w:rsidRPr="00226CC1">
        <w:t xml:space="preserve">odifying the </w:t>
      </w:r>
      <w:r w:rsidR="002F5911" w:rsidRPr="00226CC1">
        <w:t>status of SICADs such that it becomes a background report only, rather than a reference document within the PSPs as exhibited.</w:t>
      </w:r>
    </w:p>
    <w:p w:rsidR="002F5911" w:rsidRPr="00226CC1" w:rsidRDefault="00226CC1" w:rsidP="00226CC1">
      <w:pPr>
        <w:pStyle w:val="List1bullet"/>
      </w:pPr>
      <w:r>
        <w:t>P</w:t>
      </w:r>
      <w:r w:rsidR="00FE1825" w:rsidRPr="00226CC1">
        <w:t>roviding more flexibility in the early delivery of community infrastructure, particularly at Redstone Hill</w:t>
      </w:r>
    </w:p>
    <w:p w:rsidR="00FE1825" w:rsidRPr="00226CC1" w:rsidRDefault="00226CC1" w:rsidP="00226CC1">
      <w:pPr>
        <w:pStyle w:val="List1bullet"/>
      </w:pPr>
      <w:r>
        <w:t>R</w:t>
      </w:r>
      <w:r w:rsidR="00FE1825" w:rsidRPr="00226CC1">
        <w:t>ecognition that the rate of development itself will be the key trigger (rather than timing alone) f</w:t>
      </w:r>
      <w:r w:rsidR="00B02B9B" w:rsidRPr="00226CC1">
        <w:t>o</w:t>
      </w:r>
      <w:r w:rsidR="00FE1825" w:rsidRPr="00226CC1">
        <w:t>r the provision of much of the new infrastructure required across the PSPs; and</w:t>
      </w:r>
    </w:p>
    <w:p w:rsidR="00FE1825" w:rsidRPr="00226CC1" w:rsidRDefault="00FE1825" w:rsidP="00226CC1">
      <w:pPr>
        <w:pStyle w:val="List1bullet"/>
      </w:pPr>
      <w:r w:rsidRPr="00226CC1">
        <w:t>Removal of specific references to the potential timing of development of the Sunbury West precinct, including acknowledgement that this precinct will likely develop alongside Sunbury South and Lancefield.</w:t>
      </w:r>
    </w:p>
    <w:p w:rsidR="00FE1825" w:rsidRPr="00226CC1" w:rsidRDefault="00FE1825" w:rsidP="00226CC1">
      <w:r w:rsidRPr="00226CC1">
        <w:t xml:space="preserve">Further, the VPA tabled a series of specific changes </w:t>
      </w:r>
      <w:r w:rsidR="00B02B9B" w:rsidRPr="00226CC1">
        <w:t>on 4 S</w:t>
      </w:r>
      <w:r w:rsidR="00226CC1" w:rsidRPr="00226CC1">
        <w:t>eptember 2017 (Tabled Document 51</w:t>
      </w:r>
      <w:r w:rsidR="00B02B9B" w:rsidRPr="00226CC1">
        <w:t>) which defined the specific changes the VPA propose to make to the document. The VPA considers these changes sufficiently address the concerns outlined by these submitters, and does not propose any further changes in response to these submissions.</w:t>
      </w:r>
      <w:r w:rsidRPr="00226CC1">
        <w:t xml:space="preserve"> </w:t>
      </w:r>
    </w:p>
    <w:p w:rsidR="009A726C" w:rsidRPr="00F85E98" w:rsidRDefault="009A726C" w:rsidP="00CF1FAB">
      <w:pPr>
        <w:pStyle w:val="Heading2"/>
      </w:pPr>
      <w:bookmarkStart w:id="28" w:name="_Toc496183258"/>
      <w:r w:rsidRPr="00F85E98">
        <w:t>Sunbury Realty Pty Ltd – Submission 59 (C207)</w:t>
      </w:r>
      <w:bookmarkEnd w:id="28"/>
    </w:p>
    <w:p w:rsidR="00F85E98" w:rsidRPr="00F85E98" w:rsidRDefault="00F85E98" w:rsidP="00F85E98">
      <w:pPr>
        <w:rPr>
          <w:rFonts w:ascii="VIC" w:hAnsi="VIC" w:cs="Arial"/>
          <w:color w:val="005EA1" w:themeColor="accent1"/>
          <w:sz w:val="22"/>
          <w:szCs w:val="22"/>
          <w:lang w:eastAsia="en-US"/>
        </w:rPr>
      </w:pPr>
      <w:r w:rsidRPr="00F85E98">
        <w:rPr>
          <w:rFonts w:ascii="VIC" w:hAnsi="VIC" w:cs="Arial"/>
          <w:color w:val="005EA1" w:themeColor="accent1"/>
          <w:sz w:val="22"/>
          <w:szCs w:val="22"/>
          <w:lang w:eastAsia="en-US"/>
        </w:rPr>
        <w:t>Redstone Hill P-12 School Site Location</w:t>
      </w:r>
    </w:p>
    <w:p w:rsidR="00F85E98" w:rsidRPr="00F85E98" w:rsidRDefault="00FC7C53" w:rsidP="00F85E98">
      <w:r>
        <w:t xml:space="preserve">This matter was addressed earlier. </w:t>
      </w:r>
      <w:r w:rsidR="00A856B1">
        <w:t>Refer 3.10</w:t>
      </w:r>
      <w:r w:rsidR="00F85E98" w:rsidRPr="00F85E98">
        <w:t xml:space="preserve"> above. </w:t>
      </w:r>
    </w:p>
    <w:p w:rsidR="00F85E98" w:rsidRPr="00F85E98" w:rsidRDefault="00F85E98" w:rsidP="00F85E98">
      <w:pPr>
        <w:rPr>
          <w:rFonts w:ascii="VIC" w:hAnsi="VIC" w:cs="Arial"/>
          <w:color w:val="005EA1" w:themeColor="accent1"/>
          <w:sz w:val="22"/>
          <w:szCs w:val="22"/>
          <w:lang w:eastAsia="en-US"/>
        </w:rPr>
      </w:pPr>
      <w:r w:rsidRPr="00F85E98">
        <w:rPr>
          <w:rFonts w:ascii="VIC" w:hAnsi="VIC" w:cs="Arial"/>
          <w:color w:val="005EA1" w:themeColor="accent1"/>
          <w:sz w:val="22"/>
          <w:szCs w:val="22"/>
          <w:lang w:eastAsia="en-US"/>
        </w:rPr>
        <w:t xml:space="preserve">Connector Road Location </w:t>
      </w:r>
    </w:p>
    <w:p w:rsidR="00F85E98" w:rsidRPr="00F85E98" w:rsidRDefault="00F85E98" w:rsidP="00F85E98">
      <w:pPr>
        <w:rPr>
          <w:lang w:eastAsia="en-US"/>
        </w:rPr>
      </w:pPr>
      <w:r w:rsidRPr="00F85E98">
        <w:rPr>
          <w:lang w:eastAsia="en-US"/>
        </w:rPr>
        <w:t xml:space="preserve">The submitter sought a shift in the connector road intersecting with Sunbury Road near the eastern boundary of the site away from the property boundary within the site, to allow any future subdivision design of the parcel to achieve lots fronting both sides of the connector road. </w:t>
      </w:r>
    </w:p>
    <w:p w:rsidR="00F85E98" w:rsidRPr="00F85E98" w:rsidRDefault="00F85E98" w:rsidP="00F85E98">
      <w:pPr>
        <w:rPr>
          <w:lang w:eastAsia="en-US"/>
        </w:rPr>
      </w:pPr>
      <w:r w:rsidRPr="00F85E98">
        <w:rPr>
          <w:lang w:eastAsia="en-US"/>
        </w:rPr>
        <w:t>Given that this connector road is a local road only, the VPA consider that all things being equal, it is reasonable to expect that a developer responsible for delivering the road should be afforded the opportunity to front the road on both sides with future lots. The VPA supports this</w:t>
      </w:r>
      <w:r>
        <w:rPr>
          <w:lang w:eastAsia="en-US"/>
        </w:rPr>
        <w:t xml:space="preserve"> requested</w:t>
      </w:r>
      <w:r w:rsidRPr="00F85E98">
        <w:rPr>
          <w:lang w:eastAsia="en-US"/>
        </w:rPr>
        <w:t xml:space="preserve"> change.</w:t>
      </w:r>
    </w:p>
    <w:p w:rsidR="00F85E98" w:rsidRDefault="00F85E98" w:rsidP="00F85E98">
      <w:pPr>
        <w:rPr>
          <w:lang w:eastAsia="en-US"/>
        </w:rPr>
      </w:pPr>
      <w:r>
        <w:rPr>
          <w:lang w:eastAsia="en-US"/>
        </w:rPr>
        <w:t>A</w:t>
      </w:r>
      <w:r w:rsidRPr="00F85E98">
        <w:rPr>
          <w:lang w:eastAsia="en-US"/>
        </w:rPr>
        <w:t xml:space="preserve"> submitter </w:t>
      </w:r>
      <w:r>
        <w:rPr>
          <w:lang w:eastAsia="en-US"/>
        </w:rPr>
        <w:t xml:space="preserve">with interests in land </w:t>
      </w:r>
      <w:r w:rsidRPr="00F85E98">
        <w:rPr>
          <w:lang w:eastAsia="en-US"/>
        </w:rPr>
        <w:t xml:space="preserve">to the south-east (Marantali Pty Ltd – Submitter </w:t>
      </w:r>
      <w:r>
        <w:rPr>
          <w:lang w:eastAsia="en-US"/>
        </w:rPr>
        <w:t>18 to C207</w:t>
      </w:r>
      <w:r w:rsidRPr="00F85E98">
        <w:rPr>
          <w:lang w:eastAsia="en-US"/>
        </w:rPr>
        <w:t>) had previously flagged the potential to shift the connector road further east and on to their property. This submitter confirmed in discussions over the course of the panel hearing that they were no longer seeking that outcome, and therefore support the VPA’s proposed change set out above.</w:t>
      </w:r>
    </w:p>
    <w:p w:rsidR="000274DA" w:rsidRDefault="000274DA" w:rsidP="00F85E98">
      <w:pPr>
        <w:rPr>
          <w:lang w:eastAsia="en-US"/>
        </w:rPr>
      </w:pPr>
    </w:p>
    <w:p w:rsidR="000274DA" w:rsidRPr="00F85E98" w:rsidRDefault="000274DA" w:rsidP="00F85E98">
      <w:pPr>
        <w:rPr>
          <w:lang w:eastAsia="en-US"/>
        </w:rPr>
      </w:pPr>
    </w:p>
    <w:p w:rsidR="009A726C" w:rsidRDefault="00F85E98" w:rsidP="00F85E98">
      <w:pPr>
        <w:pStyle w:val="Heading2"/>
      </w:pPr>
      <w:r>
        <w:t xml:space="preserve"> </w:t>
      </w:r>
      <w:bookmarkStart w:id="29" w:name="_Toc496183259"/>
      <w:r>
        <w:t>Tranteret Pty Ltd - Submissi</w:t>
      </w:r>
      <w:r w:rsidR="009A726C">
        <w:t>on 38 (C207)</w:t>
      </w:r>
      <w:bookmarkEnd w:id="29"/>
    </w:p>
    <w:p w:rsidR="00E65912" w:rsidRDefault="00E65912" w:rsidP="00CD04D4">
      <w:r w:rsidRPr="00E65912">
        <w:rPr>
          <w:rFonts w:ascii="VIC" w:hAnsi="VIC" w:cs="Arial"/>
          <w:color w:val="005EA1" w:themeColor="accent1"/>
          <w:sz w:val="22"/>
          <w:szCs w:val="22"/>
          <w:lang w:eastAsia="en-US"/>
        </w:rPr>
        <w:t xml:space="preserve">Non-Urban Land designation </w:t>
      </w:r>
    </w:p>
    <w:p w:rsidR="00CD04D4" w:rsidRDefault="00CD04D4" w:rsidP="00CD04D4">
      <w:r>
        <w:t>The submission concerns property 85. In its part B submission the VPA indicated that it did not support the inclusion of the Tranteret land as developable land within the PSP. The VPA has now had the benefit of submissions and evidence from Tranteret. The VPA’s position has not changed.</w:t>
      </w:r>
    </w:p>
    <w:p w:rsidR="00CD04D4" w:rsidRDefault="00CD04D4" w:rsidP="00CD04D4">
      <w:r>
        <w:t>Tranteret called Mr Turnbull in respect of traffic and Mr Hooper on planning. The VPA agrees that the development of the relevant land is not inhibited by reasons concerning traffic volumes and the bridge crossing. The VPA accepts that a traffic solution could be implemented, potentially through the imposition traffic light permitting single direction vehicle crossings of the bridge. Relevantly however Mr Turnbull did concede that the site does not have good pedestrian or bicycle access along Gellies Road.</w:t>
      </w:r>
    </w:p>
    <w:p w:rsidR="00CD04D4" w:rsidRDefault="00CD04D4" w:rsidP="00CD04D4">
      <w:r>
        <w:t xml:space="preserve">It follows from this evidence that in order to create a properly connected community to the balance of the PSP area other pedestrian and bicycle access is required. </w:t>
      </w:r>
    </w:p>
    <w:p w:rsidR="00CD04D4" w:rsidRDefault="00CD04D4" w:rsidP="00CD04D4">
      <w:r>
        <w:t>It was Mr Hooper’s evidence that:</w:t>
      </w:r>
    </w:p>
    <w:p w:rsidR="00CD04D4" w:rsidRPr="00CD04D4" w:rsidRDefault="001F5377" w:rsidP="00CD04D4">
      <w:pPr>
        <w:pStyle w:val="List1bullet"/>
      </w:pPr>
      <w:r w:rsidRPr="00CD04D4">
        <w:t>Reliance</w:t>
      </w:r>
      <w:r w:rsidR="00CD04D4" w:rsidRPr="00CD04D4">
        <w:t xml:space="preserve"> should be placed upon the identification of a potential pedestrian crossing of the Emu Creek in this vicinity as shown on page 40 of the PSP.</w:t>
      </w:r>
    </w:p>
    <w:p w:rsidR="00CD04D4" w:rsidRPr="00CD04D4" w:rsidRDefault="00CD04D4" w:rsidP="00CD04D4">
      <w:pPr>
        <w:pStyle w:val="List1bullet"/>
      </w:pPr>
      <w:r w:rsidRPr="00CD04D4">
        <w:t>No costings nor any design work has occurred on this bridge.</w:t>
      </w:r>
    </w:p>
    <w:p w:rsidR="00CD04D4" w:rsidRPr="00CD04D4" w:rsidRDefault="00CD04D4" w:rsidP="00CD04D4">
      <w:pPr>
        <w:pStyle w:val="List1bullet"/>
      </w:pPr>
      <w:r w:rsidRPr="00CD04D4">
        <w:t>That the bridge should constitute developer works.</w:t>
      </w:r>
    </w:p>
    <w:p w:rsidR="00CD04D4" w:rsidRPr="00CD04D4" w:rsidRDefault="00CD04D4" w:rsidP="00CD04D4">
      <w:pPr>
        <w:pStyle w:val="List1bullet"/>
      </w:pPr>
      <w:r w:rsidRPr="00CD04D4">
        <w:t>That it would be necessary to pump sewer to service the site and that at the current time the pumping of sewer would render the proposed subdivision not currently feasible.</w:t>
      </w:r>
    </w:p>
    <w:p w:rsidR="00CD04D4" w:rsidRDefault="00CD04D4" w:rsidP="00CD04D4">
      <w:r>
        <w:t>Of interest, when Mr Hooper separ</w:t>
      </w:r>
      <w:r w:rsidR="001F5377">
        <w:t>ately provided evidence for WinC</w:t>
      </w:r>
      <w:r>
        <w:t xml:space="preserve">ity it was also apparent that the revised sewerage arrangements for the PSP area subsequent to the services plan identified at page 52 of the PSP has relocated to the sewer further from Property 85.  This strengthens the position concerning affordability.  </w:t>
      </w:r>
    </w:p>
    <w:p w:rsidR="00CD04D4" w:rsidRDefault="00CD04D4" w:rsidP="00CD04D4">
      <w:r>
        <w:t xml:space="preserve">It is </w:t>
      </w:r>
      <w:r w:rsidR="00F60F94">
        <w:t>self-evident</w:t>
      </w:r>
      <w:r>
        <w:t xml:space="preserve"> that that no planning has occurred for this path as even a cursory examination identifies substantial physical constraints.  The fall of land in this location is approximately 40 m down to the Emu Creek and then a further 40 m back up to the developable land to the west. The development of that pedestrian bridge, which Mr Hooper said was necessary to achieve adequate connection is unrealistic and connectivity a most substantial barrier to development over and above the currently prohibitive sewerage costs.</w:t>
      </w:r>
    </w:p>
    <w:p w:rsidR="00AD0140" w:rsidRDefault="00AD0140" w:rsidP="00CD04D4">
      <w:r>
        <w:rPr>
          <w:noProof/>
        </w:rPr>
        <w:drawing>
          <wp:inline distT="0" distB="0" distL="0" distR="0">
            <wp:extent cx="5576570" cy="3129826"/>
            <wp:effectExtent l="0" t="0" r="5080" b="0"/>
            <wp:docPr id="6" name="Picture 6" descr="cid:image003.jpg@01D348BC.B62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48BC.B622778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576570" cy="3129826"/>
                    </a:xfrm>
                    <a:prstGeom prst="rect">
                      <a:avLst/>
                    </a:prstGeom>
                    <a:noFill/>
                    <a:ln>
                      <a:noFill/>
                    </a:ln>
                  </pic:spPr>
                </pic:pic>
              </a:graphicData>
            </a:graphic>
          </wp:inline>
        </w:drawing>
      </w:r>
    </w:p>
    <w:p w:rsidR="00CD04D4" w:rsidRDefault="00CD04D4" w:rsidP="00CD04D4">
      <w:r>
        <w:t xml:space="preserve">The VPA is concerned that this land is not currently an appropriate place for development and to identify the land as potentially developable is, in the face of the evidence misleading.  </w:t>
      </w:r>
    </w:p>
    <w:p w:rsidR="00CD04D4" w:rsidRDefault="00CD04D4" w:rsidP="00CD04D4">
      <w:r>
        <w:t>T</w:t>
      </w:r>
      <w:r w:rsidRPr="00226CC1">
        <w:t>he fi</w:t>
      </w:r>
      <w:r w:rsidR="00226CC1" w:rsidRPr="00226CC1">
        <w:t>nal page of</w:t>
      </w:r>
      <w:r w:rsidR="00226CC1">
        <w:t xml:space="preserve"> Tabled D</w:t>
      </w:r>
      <w:r w:rsidR="00226CC1" w:rsidRPr="00226CC1">
        <w:t>ocument 83</w:t>
      </w:r>
      <w:r w:rsidRPr="00226CC1">
        <w:t xml:space="preserve">, the Tranteret </w:t>
      </w:r>
      <w:r w:rsidR="00226CC1" w:rsidRPr="00226CC1">
        <w:t>Pty L</w:t>
      </w:r>
      <w:r w:rsidR="00226CC1">
        <w:t xml:space="preserve">td </w:t>
      </w:r>
      <w:r>
        <w:t>submission</w:t>
      </w:r>
      <w:r w:rsidR="00226CC1">
        <w:t xml:space="preserve"> to Panel</w:t>
      </w:r>
      <w:r>
        <w:t xml:space="preserve">, identified five changes proposed for the PSP and associated documents. The VPA confirms that it opposes each of the items.  </w:t>
      </w:r>
    </w:p>
    <w:p w:rsidR="009A726C" w:rsidRPr="00CC5CAC" w:rsidRDefault="009A726C" w:rsidP="00CF1FAB">
      <w:pPr>
        <w:pStyle w:val="Heading2"/>
      </w:pPr>
      <w:bookmarkStart w:id="30" w:name="_Toc496183260"/>
      <w:r w:rsidRPr="00CC5CAC">
        <w:t>Hongfengshi International Property Investment Pty Ltd – Submission 53 (C207)</w:t>
      </w:r>
      <w:bookmarkEnd w:id="30"/>
    </w:p>
    <w:p w:rsidR="00B35CC4" w:rsidRPr="00CC5CAC" w:rsidRDefault="00E17C98" w:rsidP="00B35CC4">
      <w:pPr>
        <w:rPr>
          <w:rFonts w:ascii="VIC" w:hAnsi="VIC" w:cs="Arial"/>
          <w:color w:val="005EA1" w:themeColor="accent1"/>
          <w:sz w:val="22"/>
          <w:szCs w:val="22"/>
          <w:lang w:eastAsia="en-US"/>
        </w:rPr>
      </w:pPr>
      <w:r w:rsidRPr="00CC5CAC">
        <w:rPr>
          <w:rFonts w:ascii="VIC" w:hAnsi="VIC" w:cs="Arial"/>
          <w:color w:val="005EA1" w:themeColor="accent1"/>
          <w:sz w:val="22"/>
          <w:szCs w:val="22"/>
          <w:lang w:eastAsia="en-US"/>
        </w:rPr>
        <w:t xml:space="preserve">Redstone Hill </w:t>
      </w:r>
      <w:r w:rsidR="00B35CC4" w:rsidRPr="00CC5CAC">
        <w:rPr>
          <w:rFonts w:ascii="VIC" w:hAnsi="VIC" w:cs="Arial"/>
          <w:color w:val="005EA1" w:themeColor="accent1"/>
          <w:sz w:val="22"/>
          <w:szCs w:val="22"/>
          <w:lang w:eastAsia="en-US"/>
        </w:rPr>
        <w:t>P-12 School Site</w:t>
      </w:r>
      <w:r w:rsidRPr="00CC5CAC">
        <w:rPr>
          <w:rFonts w:ascii="VIC" w:hAnsi="VIC" w:cs="Arial"/>
          <w:color w:val="005EA1" w:themeColor="accent1"/>
          <w:sz w:val="22"/>
          <w:szCs w:val="22"/>
          <w:lang w:eastAsia="en-US"/>
        </w:rPr>
        <w:t xml:space="preserve"> Location</w:t>
      </w:r>
    </w:p>
    <w:p w:rsidR="00E17C98" w:rsidRPr="00CC5CAC" w:rsidRDefault="006C1E5C" w:rsidP="00B35CC4">
      <w:pPr>
        <w:rPr>
          <w:lang w:eastAsia="en-US"/>
        </w:rPr>
      </w:pPr>
      <w:r>
        <w:rPr>
          <w:lang w:eastAsia="en-US"/>
        </w:rPr>
        <w:t>As discussed at</w:t>
      </w:r>
      <w:r w:rsidR="00CC5CAC" w:rsidRPr="00CC5CAC">
        <w:rPr>
          <w:lang w:eastAsia="en-US"/>
        </w:rPr>
        <w:t xml:space="preserve"> Section </w:t>
      </w:r>
      <w:r>
        <w:rPr>
          <w:lang w:eastAsia="en-US"/>
        </w:rPr>
        <w:t>3.9</w:t>
      </w:r>
      <w:r w:rsidR="00CC5CAC" w:rsidRPr="00CC5CAC">
        <w:rPr>
          <w:lang w:eastAsia="en-US"/>
        </w:rPr>
        <w:t xml:space="preserve"> above. </w:t>
      </w:r>
    </w:p>
    <w:p w:rsidR="009A726C" w:rsidRPr="004D7BF5" w:rsidRDefault="009A726C" w:rsidP="00CF1FAB">
      <w:pPr>
        <w:pStyle w:val="Heading2"/>
      </w:pPr>
      <w:bookmarkStart w:id="31" w:name="_Toc496183261"/>
      <w:r w:rsidRPr="00CC5CAC">
        <w:t>Oreana Project Man</w:t>
      </w:r>
      <w:r w:rsidRPr="004D7BF5">
        <w:t>agement Pty Ltd – Submission 89 (C207)</w:t>
      </w:r>
      <w:bookmarkEnd w:id="31"/>
    </w:p>
    <w:p w:rsidR="00890EB8" w:rsidRPr="004D7BF5" w:rsidRDefault="00890EB8" w:rsidP="00123E92">
      <w:pPr>
        <w:rPr>
          <w:rFonts w:ascii="VIC" w:hAnsi="VIC" w:cs="Arial"/>
          <w:color w:val="005EA1" w:themeColor="accent1"/>
          <w:sz w:val="22"/>
          <w:szCs w:val="22"/>
          <w:lang w:eastAsia="en-US"/>
        </w:rPr>
      </w:pPr>
      <w:r w:rsidRPr="004D7BF5">
        <w:rPr>
          <w:rFonts w:ascii="VIC" w:hAnsi="VIC" w:cs="Arial"/>
          <w:color w:val="005EA1" w:themeColor="accent1"/>
          <w:sz w:val="22"/>
          <w:szCs w:val="22"/>
          <w:lang w:eastAsia="en-US"/>
        </w:rPr>
        <w:t>Harpers Creek Local Town Centre Concept Plan - Speciality Retail Location</w:t>
      </w:r>
    </w:p>
    <w:p w:rsidR="00123E92" w:rsidRPr="004D7BF5" w:rsidRDefault="00FC7C53" w:rsidP="00123E92">
      <w:pPr>
        <w:rPr>
          <w:lang w:eastAsia="en-US"/>
        </w:rPr>
      </w:pPr>
      <w:r>
        <w:rPr>
          <w:lang w:eastAsia="en-US"/>
        </w:rPr>
        <w:t>Human</w:t>
      </w:r>
      <w:r w:rsidR="00DE0912" w:rsidRPr="004D7BF5">
        <w:rPr>
          <w:lang w:eastAsia="en-US"/>
        </w:rPr>
        <w:t xml:space="preserve"> Habitats, on behalf of Oreana Project Management, e</w:t>
      </w:r>
      <w:r w:rsidR="00123E92" w:rsidRPr="004D7BF5">
        <w:rPr>
          <w:lang w:eastAsia="en-US"/>
        </w:rPr>
        <w:t>xpressed concern around the VPA’s proposed changes to the updated Harpers Creek Local Town Centre Concept Plan in response to the expert evidence of Ms Julia Bell, on behalf of Hume City Council. Specifically, these changes involved moving the specialty retailing ‘wrap’ from around the proposed supermarket, such that it would address the ‘north-south’ connector road.</w:t>
      </w:r>
    </w:p>
    <w:p w:rsidR="00123E92" w:rsidRPr="004D7BF5" w:rsidRDefault="00123E92" w:rsidP="00123E92">
      <w:pPr>
        <w:rPr>
          <w:lang w:eastAsia="en-US"/>
        </w:rPr>
      </w:pPr>
      <w:r w:rsidRPr="004D7BF5">
        <w:rPr>
          <w:lang w:eastAsia="en-US"/>
        </w:rPr>
        <w:t>The VPA agrees with the submitters concerns that, whilst the urban design imperative to address the connector road with retail uses is sound, the centre is unlikely to be able to support the quantum and form of retail to deliver this outcome in the short term.</w:t>
      </w:r>
    </w:p>
    <w:p w:rsidR="00123E92" w:rsidRPr="004D7BF5" w:rsidRDefault="00123E92" w:rsidP="00123E92">
      <w:pPr>
        <w:rPr>
          <w:lang w:eastAsia="en-US"/>
        </w:rPr>
      </w:pPr>
      <w:r w:rsidRPr="004D7BF5">
        <w:rPr>
          <w:lang w:eastAsia="en-US"/>
        </w:rPr>
        <w:t xml:space="preserve">The VPA now propose to make a more measured update to the Harpers Creek LTC Concept Plan circulated with </w:t>
      </w:r>
      <w:r w:rsidR="00BF6B89" w:rsidRPr="004D7BF5">
        <w:rPr>
          <w:lang w:eastAsia="en-US"/>
        </w:rPr>
        <w:t>our Part B submission, to retain</w:t>
      </w:r>
      <w:r w:rsidRPr="004D7BF5">
        <w:rPr>
          <w:lang w:eastAsia="en-US"/>
        </w:rPr>
        <w:t xml:space="preserve"> the retail s</w:t>
      </w:r>
      <w:r w:rsidR="00BF6B89" w:rsidRPr="004D7BF5">
        <w:rPr>
          <w:lang w:eastAsia="en-US"/>
        </w:rPr>
        <w:t xml:space="preserve">leeving </w:t>
      </w:r>
      <w:r w:rsidR="004A2DA2" w:rsidRPr="004D7BF5">
        <w:rPr>
          <w:lang w:eastAsia="en-US"/>
        </w:rPr>
        <w:t xml:space="preserve">along the northern side </w:t>
      </w:r>
      <w:r w:rsidR="00BF6B89" w:rsidRPr="004D7BF5">
        <w:rPr>
          <w:lang w:eastAsia="en-US"/>
        </w:rPr>
        <w:t>of the supermarket, with additional specialty retailing shown along the Connector Road</w:t>
      </w:r>
      <w:r w:rsidR="004A2DA2" w:rsidRPr="004D7BF5">
        <w:rPr>
          <w:lang w:eastAsia="en-US"/>
        </w:rPr>
        <w:t xml:space="preserve"> designated as ‘potential specialty retailing – longer term’.</w:t>
      </w:r>
    </w:p>
    <w:p w:rsidR="009A726C" w:rsidRDefault="009A726C" w:rsidP="00CF1FAB">
      <w:pPr>
        <w:pStyle w:val="Heading2"/>
      </w:pPr>
      <w:bookmarkStart w:id="32" w:name="_Toc496183262"/>
      <w:r>
        <w:t>Dr Mahinda and Ms Charmaine Samara</w:t>
      </w:r>
      <w:r w:rsidR="001F5377">
        <w:t>ra</w:t>
      </w:r>
      <w:r>
        <w:t>tna – Submission 54 (C207)</w:t>
      </w:r>
      <w:bookmarkEnd w:id="32"/>
    </w:p>
    <w:p w:rsidR="00B137B3" w:rsidRDefault="00B137B3" w:rsidP="00B137B3">
      <w:pPr>
        <w:rPr>
          <w:rFonts w:ascii="VIC" w:hAnsi="VIC" w:cs="Arial"/>
          <w:color w:val="005EA1" w:themeColor="accent1"/>
          <w:sz w:val="22"/>
          <w:szCs w:val="22"/>
          <w:lang w:eastAsia="en-US"/>
        </w:rPr>
      </w:pPr>
      <w:r w:rsidRPr="00B137B3">
        <w:rPr>
          <w:rFonts w:ascii="VIC" w:hAnsi="VIC" w:cs="Arial"/>
          <w:color w:val="005EA1" w:themeColor="accent1"/>
          <w:sz w:val="22"/>
          <w:szCs w:val="22"/>
          <w:lang w:eastAsia="en-US"/>
        </w:rPr>
        <w:t xml:space="preserve">Designation of </w:t>
      </w:r>
      <w:r>
        <w:rPr>
          <w:rFonts w:ascii="VIC" w:hAnsi="VIC" w:cs="Arial"/>
          <w:color w:val="005EA1" w:themeColor="accent1"/>
          <w:sz w:val="22"/>
          <w:szCs w:val="22"/>
          <w:lang w:eastAsia="en-US"/>
        </w:rPr>
        <w:t>a medical centre in</w:t>
      </w:r>
      <w:r w:rsidRPr="00B137B3">
        <w:rPr>
          <w:rFonts w:ascii="VIC" w:hAnsi="VIC" w:cs="Arial"/>
          <w:color w:val="005EA1" w:themeColor="accent1"/>
          <w:sz w:val="22"/>
          <w:szCs w:val="22"/>
          <w:lang w:eastAsia="en-US"/>
        </w:rPr>
        <w:t xml:space="preserve"> the PSP</w:t>
      </w:r>
    </w:p>
    <w:p w:rsidR="00B137B3" w:rsidRPr="00B137B3" w:rsidRDefault="00B137B3" w:rsidP="00B137B3">
      <w:pPr>
        <w:rPr>
          <w:rFonts w:ascii="VIC" w:hAnsi="VIC" w:cs="Arial"/>
          <w:color w:val="005EA1" w:themeColor="accent1"/>
          <w:sz w:val="22"/>
          <w:szCs w:val="22"/>
          <w:lang w:eastAsia="en-US"/>
        </w:rPr>
      </w:pPr>
      <w:r>
        <w:rPr>
          <w:lang w:eastAsia="en-US"/>
        </w:rPr>
        <w:t xml:space="preserve">The VPA submits the Panel ought to recommend no change to the exhibited PSP in relation to the designation of a medical centre and ancillary uses at 705 Sunbury Road. The VPA maintains its position on this matter as per page 11 of the VPA Part B Submission – Site Specific Issues. </w:t>
      </w:r>
    </w:p>
    <w:p w:rsidR="009A726C" w:rsidRPr="00F85E98" w:rsidRDefault="009A726C" w:rsidP="00CF1FAB">
      <w:pPr>
        <w:pStyle w:val="Heading2"/>
      </w:pPr>
      <w:bookmarkStart w:id="33" w:name="_Toc496183263"/>
      <w:r w:rsidRPr="00F85E98">
        <w:t>Mr Steven Galdes – Submission 41 (C207)</w:t>
      </w:r>
      <w:bookmarkEnd w:id="33"/>
    </w:p>
    <w:p w:rsidR="00F96C12" w:rsidRPr="00F85E98" w:rsidRDefault="00F96C12" w:rsidP="00F96C12">
      <w:pPr>
        <w:rPr>
          <w:rFonts w:ascii="VIC" w:hAnsi="VIC" w:cs="Arial"/>
          <w:color w:val="005EA1" w:themeColor="accent1"/>
          <w:sz w:val="22"/>
          <w:szCs w:val="22"/>
          <w:lang w:eastAsia="en-US"/>
        </w:rPr>
      </w:pPr>
      <w:r w:rsidRPr="00F85E98">
        <w:rPr>
          <w:rFonts w:ascii="VIC" w:hAnsi="VIC" w:cs="Arial"/>
          <w:color w:val="005EA1" w:themeColor="accent1"/>
          <w:sz w:val="22"/>
          <w:szCs w:val="22"/>
          <w:lang w:eastAsia="en-US"/>
        </w:rPr>
        <w:t>Local Open Space</w:t>
      </w:r>
      <w:r w:rsidR="00890EB8" w:rsidRPr="00F85E98">
        <w:rPr>
          <w:rFonts w:ascii="VIC" w:hAnsi="VIC" w:cs="Arial"/>
          <w:color w:val="005EA1" w:themeColor="accent1"/>
          <w:sz w:val="22"/>
          <w:szCs w:val="22"/>
          <w:lang w:eastAsia="en-US"/>
        </w:rPr>
        <w:t xml:space="preserve"> Location</w:t>
      </w:r>
    </w:p>
    <w:p w:rsidR="00F96C12" w:rsidRPr="00F85E98" w:rsidRDefault="00F96C12" w:rsidP="00F96C12">
      <w:pPr>
        <w:rPr>
          <w:lang w:eastAsia="en-US"/>
        </w:rPr>
      </w:pPr>
      <w:r w:rsidRPr="00F85E98">
        <w:rPr>
          <w:lang w:eastAsia="en-US"/>
        </w:rPr>
        <w:t xml:space="preserve">This submission sought the relocation of the 0.25ha local park </w:t>
      </w:r>
      <w:r w:rsidR="00796B87" w:rsidRPr="00F85E98">
        <w:rPr>
          <w:lang w:eastAsia="en-US"/>
        </w:rPr>
        <w:t>from 65 Watsons Road to the property to the immediate west, on the basis of local open space catchments and the more equitable distribution of development constraints.</w:t>
      </w:r>
    </w:p>
    <w:p w:rsidR="00796B87" w:rsidRPr="00F85E98" w:rsidRDefault="00796B87" w:rsidP="00F96C12">
      <w:pPr>
        <w:rPr>
          <w:lang w:eastAsia="en-US"/>
        </w:rPr>
      </w:pPr>
      <w:r w:rsidRPr="00F85E98">
        <w:rPr>
          <w:lang w:eastAsia="en-US"/>
        </w:rPr>
        <w:t xml:space="preserve">In principle, the VPA consider that the alternative location identified </w:t>
      </w:r>
      <w:r w:rsidR="00890EB8" w:rsidRPr="00F85E98">
        <w:rPr>
          <w:lang w:eastAsia="en-US"/>
        </w:rPr>
        <w:t>by the submitter represents an appropriate open space outcome for this future neighbourhood, and is an appropriate response to the updated DSS in this part of the precinct. It should be noted however, that the affected landowner has not been made aware of the potential for this change, and is not a submitter to the amendment.</w:t>
      </w:r>
    </w:p>
    <w:p w:rsidR="00890EB8" w:rsidRPr="00F85E98" w:rsidRDefault="00890EB8" w:rsidP="00F96C12">
      <w:pPr>
        <w:rPr>
          <w:lang w:eastAsia="en-US"/>
        </w:rPr>
      </w:pPr>
      <w:r w:rsidRPr="00F85E98">
        <w:rPr>
          <w:lang w:eastAsia="en-US"/>
        </w:rPr>
        <w:t>This part of the precinct represents a complex drainage proposition, and is in relatively fragmented ownership. The preferred drainage outcomes for the area are also subject to review through Melbourne Water’s consideration of feedback to the Fox Hollow Development Services Scheme. The VPA consider that any local open space changes within this part of the precinct should be considered in the context of the final drainage outcome (i</w:t>
      </w:r>
      <w:r w:rsidR="00F85E98" w:rsidRPr="00F85E98">
        <w:rPr>
          <w:lang w:eastAsia="en-US"/>
        </w:rPr>
        <w:t>.</w:t>
      </w:r>
      <w:r w:rsidRPr="00F85E98">
        <w:rPr>
          <w:lang w:eastAsia="en-US"/>
        </w:rPr>
        <w:t>e</w:t>
      </w:r>
      <w:r w:rsidR="00F85E98" w:rsidRPr="00F85E98">
        <w:rPr>
          <w:lang w:eastAsia="en-US"/>
        </w:rPr>
        <w:t>.</w:t>
      </w:r>
      <w:r w:rsidRPr="00F85E98">
        <w:rPr>
          <w:lang w:eastAsia="en-US"/>
        </w:rPr>
        <w:t xml:space="preserve"> with the finalisation of the Fox Hollow DSS).</w:t>
      </w:r>
    </w:p>
    <w:p w:rsidR="00890EB8" w:rsidRPr="00F85E98" w:rsidRDefault="00890EB8" w:rsidP="00F96C12">
      <w:pPr>
        <w:rPr>
          <w:lang w:eastAsia="en-US"/>
        </w:rPr>
      </w:pPr>
      <w:r w:rsidRPr="00F85E98">
        <w:rPr>
          <w:lang w:eastAsia="en-US"/>
        </w:rPr>
        <w:t>The VPA would welcome a recommendation from the Panel that the specific location of local parks within the Harpers Creek/Fox Hollow be reviewed following the finalisation of the Fox Hollow DSS, in association with Hume City Council, Melbourne Water, and affected landowners.</w:t>
      </w:r>
    </w:p>
    <w:p w:rsidR="009A726C" w:rsidRPr="006C1E5C" w:rsidRDefault="009A726C" w:rsidP="00CF1FAB">
      <w:pPr>
        <w:pStyle w:val="Heading2"/>
      </w:pPr>
      <w:bookmarkStart w:id="34" w:name="_Toc496183264"/>
      <w:r>
        <w:t>Capitol Property Group – Submission 75 (</w:t>
      </w:r>
      <w:r w:rsidRPr="006C1E5C">
        <w:t>C207)</w:t>
      </w:r>
      <w:r w:rsidR="00F953F9" w:rsidRPr="006C1E5C">
        <w:t xml:space="preserve"> – See Appendix </w:t>
      </w:r>
      <w:r w:rsidR="00E01E88" w:rsidRPr="006C1E5C">
        <w:t>3</w:t>
      </w:r>
      <w:bookmarkEnd w:id="34"/>
    </w:p>
    <w:p w:rsidR="00FC7C53" w:rsidRPr="006C1E5C" w:rsidRDefault="00FC7C53" w:rsidP="00FC7C53">
      <w:pPr>
        <w:rPr>
          <w:lang w:eastAsia="en-US"/>
        </w:rPr>
      </w:pPr>
      <w:r w:rsidRPr="006C1E5C">
        <w:rPr>
          <w:lang w:eastAsia="en-US"/>
        </w:rPr>
        <w:t xml:space="preserve">Paragraphs 14.1 through 14.57 of the written submission requests Detailed Changes to the PSP and UGZ9. The VPA has tabulated these requests and provided a response to each matter in </w:t>
      </w:r>
      <w:r w:rsidR="00E01E88" w:rsidRPr="006C1E5C">
        <w:rPr>
          <w:lang w:eastAsia="en-US"/>
        </w:rPr>
        <w:t>Appendix 3</w:t>
      </w:r>
      <w:r w:rsidRPr="006C1E5C">
        <w:rPr>
          <w:lang w:eastAsia="en-US"/>
        </w:rPr>
        <w:t xml:space="preserve">. </w:t>
      </w:r>
    </w:p>
    <w:p w:rsidR="00F85E98" w:rsidRPr="006C1E5C" w:rsidRDefault="00F85E98" w:rsidP="00F85E98">
      <w:pPr>
        <w:rPr>
          <w:rFonts w:ascii="VIC" w:hAnsi="VIC" w:cs="Arial"/>
          <w:color w:val="005EA1" w:themeColor="accent1"/>
          <w:sz w:val="22"/>
          <w:szCs w:val="22"/>
          <w:lang w:eastAsia="en-US"/>
        </w:rPr>
      </w:pPr>
      <w:r w:rsidRPr="006C1E5C">
        <w:rPr>
          <w:rFonts w:ascii="VIC" w:hAnsi="VIC" w:cs="Arial"/>
          <w:color w:val="005EA1" w:themeColor="accent1"/>
          <w:sz w:val="22"/>
          <w:szCs w:val="22"/>
          <w:lang w:eastAsia="en-US"/>
        </w:rPr>
        <w:t>Harker Street Concept Plan</w:t>
      </w:r>
    </w:p>
    <w:p w:rsidR="00F85E98" w:rsidRPr="006C1E5C" w:rsidRDefault="00F85E98" w:rsidP="00F85E98">
      <w:pPr>
        <w:rPr>
          <w:lang w:eastAsia="en-US"/>
        </w:rPr>
      </w:pPr>
      <w:r w:rsidRPr="006C1E5C">
        <w:rPr>
          <w:lang w:eastAsia="en-US"/>
        </w:rPr>
        <w:t xml:space="preserve">The submitter presented an alternative concept plan for the Harker Street </w:t>
      </w:r>
      <w:r w:rsidR="00A66D9D" w:rsidRPr="006C1E5C">
        <w:rPr>
          <w:lang w:eastAsia="en-US"/>
        </w:rPr>
        <w:t>Sensitive Residential Area</w:t>
      </w:r>
      <w:r w:rsidRPr="006C1E5C">
        <w:rPr>
          <w:lang w:eastAsia="en-US"/>
        </w:rPr>
        <w:t xml:space="preserve">. This alternative concept plan presented an opportunity for additional development to be achieved in the north-west part of the site, immediately abutting a number of existing dwellings. </w:t>
      </w:r>
    </w:p>
    <w:p w:rsidR="00F85E98" w:rsidRPr="00F85E98" w:rsidRDefault="00F85E98" w:rsidP="00F85E98">
      <w:pPr>
        <w:rPr>
          <w:lang w:eastAsia="en-US"/>
        </w:rPr>
      </w:pPr>
      <w:r w:rsidRPr="006C1E5C">
        <w:rPr>
          <w:lang w:eastAsia="en-US"/>
        </w:rPr>
        <w:t>The submitter argued that the development of this part of the site would provide the opportu</w:t>
      </w:r>
      <w:r w:rsidRPr="00F85E98">
        <w:rPr>
          <w:lang w:eastAsia="en-US"/>
        </w:rPr>
        <w:t>nity for a more active interface with the Jacksons Creek Corridor consistent with a range of objectives set out in the PSP. If this part of the site were not developed, the ultimate interface with the creek corridor in this location would be rear property fences.</w:t>
      </w:r>
    </w:p>
    <w:p w:rsidR="00F85E98" w:rsidRPr="00F85E98" w:rsidRDefault="00F85E98" w:rsidP="00F85E98">
      <w:pPr>
        <w:rPr>
          <w:lang w:eastAsia="en-US"/>
        </w:rPr>
      </w:pPr>
      <w:r w:rsidRPr="00F85E98">
        <w:rPr>
          <w:lang w:eastAsia="en-US"/>
        </w:rPr>
        <w:t xml:space="preserve">The VPA accepts that the ability to achieve an active interface with the Jacksons Creek corridor is a key objective set out throughout the Sunbury South PSP, and that development in this part of the site is the only reasonable way of achieving this outcome. </w:t>
      </w:r>
    </w:p>
    <w:p w:rsidR="00F85E98" w:rsidRPr="00F85E98" w:rsidRDefault="00F85E98" w:rsidP="00F85E98">
      <w:pPr>
        <w:rPr>
          <w:lang w:eastAsia="en-US"/>
        </w:rPr>
      </w:pPr>
      <w:r w:rsidRPr="00F85E98">
        <w:rPr>
          <w:lang w:eastAsia="en-US"/>
        </w:rPr>
        <w:t>Notwithstanding this, the VPA is not convinced that an appropriate subdivision outcome in this location can be achieved, having regard for the limited yield, likely high servicing costs, topographical constraints (a significant gully would need to be crossed) and relative ‘choke point’ for local access of the site. Accordingly, the VPA does not support this change.</w:t>
      </w:r>
    </w:p>
    <w:p w:rsidR="00F85E98" w:rsidRDefault="00F85E98" w:rsidP="00F85E98">
      <w:pPr>
        <w:rPr>
          <w:lang w:eastAsia="en-US"/>
        </w:rPr>
      </w:pPr>
      <w:r w:rsidRPr="00F85E98">
        <w:rPr>
          <w:lang w:eastAsia="en-US"/>
        </w:rPr>
        <w:t>If the Panel were minded to recommend a change in the PSP to support development in this location, the VPA would suggest that the land is earmarked as an ‘investigation area’ only, and that the PSP/UGZ Schedule included requirements that any application demonstrate that the challenges set out above could be overcome.</w:t>
      </w:r>
    </w:p>
    <w:p w:rsidR="009A726C" w:rsidRDefault="009A726C" w:rsidP="00F85E98">
      <w:pPr>
        <w:pStyle w:val="Heading2"/>
      </w:pPr>
      <w:bookmarkStart w:id="35" w:name="_Toc496183265"/>
      <w:r>
        <w:t>Wincity Pty Ltd – Submission 46 (C208)</w:t>
      </w:r>
      <w:bookmarkEnd w:id="35"/>
    </w:p>
    <w:p w:rsidR="00601A7B" w:rsidRDefault="00601A7B" w:rsidP="00601A7B">
      <w:pPr>
        <w:rPr>
          <w:lang w:eastAsia="en-US"/>
        </w:rPr>
      </w:pPr>
      <w:r>
        <w:rPr>
          <w:lang w:eastAsia="en-US"/>
        </w:rPr>
        <w:t xml:space="preserve">The VPA and WinCity </w:t>
      </w:r>
      <w:r w:rsidR="00514157">
        <w:rPr>
          <w:lang w:eastAsia="en-US"/>
        </w:rPr>
        <w:t xml:space="preserve">have reached agreement on most matters. </w:t>
      </w:r>
    </w:p>
    <w:p w:rsidR="00514157" w:rsidRDefault="00514157" w:rsidP="00601A7B">
      <w:pPr>
        <w:rPr>
          <w:lang w:eastAsia="en-US"/>
        </w:rPr>
      </w:pPr>
      <w:r w:rsidRPr="00514157">
        <w:rPr>
          <w:rFonts w:ascii="VIC" w:hAnsi="VIC" w:cs="Arial"/>
          <w:color w:val="005EA1" w:themeColor="accent1"/>
          <w:sz w:val="22"/>
          <w:szCs w:val="22"/>
          <w:lang w:eastAsia="en-US"/>
        </w:rPr>
        <w:t>RCZ and UGZ zoning</w:t>
      </w:r>
    </w:p>
    <w:p w:rsidR="00514157" w:rsidRDefault="00446F9B" w:rsidP="00601A7B">
      <w:pPr>
        <w:rPr>
          <w:lang w:eastAsia="en-US"/>
        </w:rPr>
      </w:pPr>
      <w:r>
        <w:rPr>
          <w:lang w:eastAsia="en-US"/>
        </w:rPr>
        <w:t>T</w:t>
      </w:r>
      <w:r w:rsidR="00727949">
        <w:rPr>
          <w:lang w:eastAsia="en-US"/>
        </w:rPr>
        <w:t xml:space="preserve">he </w:t>
      </w:r>
      <w:r w:rsidR="00514157">
        <w:rPr>
          <w:lang w:eastAsia="en-US"/>
        </w:rPr>
        <w:t>WinCity</w:t>
      </w:r>
      <w:r w:rsidR="00727949">
        <w:rPr>
          <w:lang w:eastAsia="en-US"/>
        </w:rPr>
        <w:t xml:space="preserve"> Supplementary Submission to the </w:t>
      </w:r>
      <w:r>
        <w:rPr>
          <w:lang w:eastAsia="en-US"/>
        </w:rPr>
        <w:t>P</w:t>
      </w:r>
      <w:r w:rsidR="00727949">
        <w:rPr>
          <w:lang w:eastAsia="en-US"/>
        </w:rPr>
        <w:t>anel (</w:t>
      </w:r>
      <w:r w:rsidR="00FC7C53">
        <w:rPr>
          <w:lang w:eastAsia="en-US"/>
        </w:rPr>
        <w:t>Tabled Document 170</w:t>
      </w:r>
      <w:r w:rsidR="00727949">
        <w:rPr>
          <w:lang w:eastAsia="en-US"/>
        </w:rPr>
        <w:t>) presents</w:t>
      </w:r>
      <w:r w:rsidR="00514157">
        <w:rPr>
          <w:lang w:eastAsia="en-US"/>
        </w:rPr>
        <w:t xml:space="preserve"> a proposal to the VPA and Panel that provides for a ‘no net loss’ approach to the zoning boundary between the Rural Conservation Zone and the Urban Growth Zone – Schedule 10. </w:t>
      </w:r>
    </w:p>
    <w:p w:rsidR="00514157" w:rsidRDefault="00514157" w:rsidP="00601A7B">
      <w:pPr>
        <w:rPr>
          <w:lang w:eastAsia="en-US"/>
        </w:rPr>
      </w:pPr>
      <w:r>
        <w:rPr>
          <w:lang w:eastAsia="en-US"/>
        </w:rPr>
        <w:t>The VPA notes that Figure 2 (Proposed changes to Rural Conservation Zone and Urban Growth Zone) in the Biosis Updated expert evidence (</w:t>
      </w:r>
      <w:r w:rsidR="00446F9B">
        <w:rPr>
          <w:lang w:eastAsia="en-US"/>
        </w:rPr>
        <w:t>Tabled Document 171</w:t>
      </w:r>
      <w:r w:rsidR="00727949">
        <w:rPr>
          <w:lang w:eastAsia="en-US"/>
        </w:rPr>
        <w:t xml:space="preserve">) is based on the existing zoning rather than the VPA’s proposed zoning through Amendment C208. </w:t>
      </w:r>
      <w:r>
        <w:rPr>
          <w:lang w:eastAsia="en-US"/>
        </w:rPr>
        <w:t xml:space="preserve"> </w:t>
      </w:r>
    </w:p>
    <w:p w:rsidR="008E5A88" w:rsidRDefault="00727949" w:rsidP="00601A7B">
      <w:pPr>
        <w:rPr>
          <w:lang w:eastAsia="en-US"/>
        </w:rPr>
      </w:pPr>
      <w:r>
        <w:rPr>
          <w:lang w:eastAsia="en-US"/>
        </w:rPr>
        <w:t>The VPA notes that the proposal is based on preserving areas of native vegetation that are present on the site.</w:t>
      </w:r>
      <w:r w:rsidR="008E5A88">
        <w:rPr>
          <w:lang w:eastAsia="en-US"/>
        </w:rPr>
        <w:t xml:space="preserve"> Given that the area is within an area covered by the Biodiversity Conservation Strategy, the location of vegetation outside of conservation areas is not necessarily the driving factor that informs zone boundaries. </w:t>
      </w:r>
    </w:p>
    <w:p w:rsidR="008E5A88" w:rsidRDefault="008E5A88" w:rsidP="00601A7B">
      <w:pPr>
        <w:rPr>
          <w:lang w:eastAsia="en-US"/>
        </w:rPr>
      </w:pPr>
      <w:r w:rsidRPr="008E5A88">
        <w:rPr>
          <w:lang w:eastAsia="en-US"/>
        </w:rPr>
        <w:t>Irrespective, t</w:t>
      </w:r>
      <w:r w:rsidR="00727949" w:rsidRPr="008E5A88">
        <w:rPr>
          <w:lang w:eastAsia="en-US"/>
        </w:rPr>
        <w:t xml:space="preserve">he VPA has overlaid WinCity’s proposed zone boundary on the </w:t>
      </w:r>
      <w:r w:rsidRPr="008E5A88">
        <w:rPr>
          <w:lang w:eastAsia="en-US"/>
        </w:rPr>
        <w:t xml:space="preserve">Future Urban Structure with the updated DSS and Land Not Serviced by DSS – Potentially Developable Areas. </w:t>
      </w:r>
      <w:r>
        <w:rPr>
          <w:lang w:eastAsia="en-US"/>
        </w:rPr>
        <w:t xml:space="preserve">The VPA note that the line work provided by WinCity (refer red line in figure overleaf) generally mirrors the VPA’s proposed development line. The VPA will continue to interrogate the minor discrepancies, however are generally supportive of the proposed zoning outcome. </w:t>
      </w:r>
    </w:p>
    <w:p w:rsidR="008E5A88" w:rsidRDefault="008E5A88" w:rsidP="00601A7B">
      <w:pPr>
        <w:rPr>
          <w:lang w:eastAsia="en-US"/>
        </w:rPr>
      </w:pPr>
      <w:r>
        <w:rPr>
          <w:lang w:eastAsia="en-US"/>
        </w:rPr>
        <w:t xml:space="preserve">The VPA submit that the </w:t>
      </w:r>
      <w:r w:rsidRPr="008E5A88">
        <w:rPr>
          <w:lang w:eastAsia="en-US"/>
        </w:rPr>
        <w:t>Panel ought to recommend that the VPA undertake a revie</w:t>
      </w:r>
      <w:r>
        <w:rPr>
          <w:lang w:eastAsia="en-US"/>
        </w:rPr>
        <w:t xml:space="preserve">w of the zoning in this area. </w:t>
      </w:r>
    </w:p>
    <w:p w:rsidR="008E5A88" w:rsidRPr="008E5A88" w:rsidRDefault="008E5A88" w:rsidP="008E5A88">
      <w:pPr>
        <w:jc w:val="center"/>
        <w:rPr>
          <w:lang w:eastAsia="en-US"/>
        </w:rPr>
      </w:pPr>
      <w:r>
        <w:rPr>
          <w:noProof/>
        </w:rPr>
        <w:drawing>
          <wp:inline distT="0" distB="0" distL="0" distR="0">
            <wp:extent cx="3673132" cy="3544190"/>
            <wp:effectExtent l="0" t="0" r="3810" b="0"/>
            <wp:docPr id="11" name="Picture 11" descr="cid:image011.png@01D348C9.7541A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1.png@01D348C9.7541A8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675059" cy="3546050"/>
                    </a:xfrm>
                    <a:prstGeom prst="rect">
                      <a:avLst/>
                    </a:prstGeom>
                    <a:noFill/>
                    <a:ln>
                      <a:noFill/>
                    </a:ln>
                  </pic:spPr>
                </pic:pic>
              </a:graphicData>
            </a:graphic>
          </wp:inline>
        </w:drawing>
      </w:r>
    </w:p>
    <w:p w:rsidR="009A726C" w:rsidRPr="00E01E88" w:rsidRDefault="00F953F9" w:rsidP="00CF1FAB">
      <w:pPr>
        <w:pStyle w:val="Heading2"/>
      </w:pPr>
      <w:bookmarkStart w:id="36" w:name="_Toc496183266"/>
      <w:r w:rsidRPr="00E01E88">
        <w:t>View Grange</w:t>
      </w:r>
      <w:r w:rsidR="009A726C" w:rsidRPr="00E01E88">
        <w:t xml:space="preserve"> Pastoral Pty Ltd (Villawood Properties) – Submission 71 (C207) and 71 (C208)</w:t>
      </w:r>
      <w:r w:rsidRPr="00E01E88">
        <w:t xml:space="preserve"> – See Appendix </w:t>
      </w:r>
      <w:r w:rsidR="00E01E88" w:rsidRPr="00E01E88">
        <w:t>4</w:t>
      </w:r>
      <w:bookmarkEnd w:id="36"/>
    </w:p>
    <w:p w:rsidR="00E01E88" w:rsidRDefault="00E01E88" w:rsidP="00E01E88">
      <w:pPr>
        <w:rPr>
          <w:lang w:eastAsia="en-US"/>
        </w:rPr>
      </w:pPr>
      <w:r w:rsidRPr="00E01E88">
        <w:rPr>
          <w:lang w:eastAsia="en-US"/>
        </w:rPr>
        <w:t>Villawood Properties provided their outstanding submissions to the VPA in tables, and the VPA has provided a response to each matter in Appendix 4.</w:t>
      </w:r>
      <w:r>
        <w:rPr>
          <w:lang w:eastAsia="en-US"/>
        </w:rPr>
        <w:t xml:space="preserve"> </w:t>
      </w:r>
    </w:p>
    <w:p w:rsidR="00E01E88" w:rsidRPr="00E01E88" w:rsidRDefault="00E01E88" w:rsidP="00E01E88">
      <w:pPr>
        <w:rPr>
          <w:rFonts w:ascii="VIC" w:hAnsi="VIC" w:cs="Arial"/>
          <w:color w:val="005EA1" w:themeColor="accent1"/>
          <w:sz w:val="22"/>
          <w:szCs w:val="22"/>
          <w:lang w:eastAsia="en-US"/>
        </w:rPr>
      </w:pPr>
      <w:r w:rsidRPr="00E01E88">
        <w:rPr>
          <w:rFonts w:ascii="VIC" w:hAnsi="VIC" w:cs="Arial"/>
          <w:color w:val="005EA1" w:themeColor="accent1"/>
          <w:sz w:val="22"/>
          <w:szCs w:val="22"/>
          <w:lang w:eastAsia="en-US"/>
        </w:rPr>
        <w:t>Racecourse Road Controls</w:t>
      </w:r>
    </w:p>
    <w:p w:rsidR="00E01E88" w:rsidRDefault="00E01E88" w:rsidP="00E01E88">
      <w:pPr>
        <w:rPr>
          <w:lang w:eastAsia="en-US"/>
        </w:rPr>
      </w:pPr>
      <w:r>
        <w:rPr>
          <w:lang w:eastAsia="en-US"/>
        </w:rPr>
        <w:t xml:space="preserve">Refer Section 3.3 above. </w:t>
      </w:r>
    </w:p>
    <w:p w:rsidR="00E01E88" w:rsidRPr="00E01E88" w:rsidRDefault="00E01E88" w:rsidP="00E01E88">
      <w:pPr>
        <w:rPr>
          <w:rFonts w:ascii="VIC" w:hAnsi="VIC" w:cs="Arial"/>
          <w:color w:val="005EA1" w:themeColor="accent1"/>
          <w:sz w:val="22"/>
          <w:szCs w:val="22"/>
          <w:lang w:eastAsia="en-US"/>
        </w:rPr>
      </w:pPr>
      <w:r w:rsidRPr="00E01E88">
        <w:rPr>
          <w:rFonts w:ascii="VIC" w:hAnsi="VIC" w:cs="Arial"/>
          <w:color w:val="005EA1" w:themeColor="accent1"/>
          <w:sz w:val="22"/>
          <w:szCs w:val="22"/>
          <w:lang w:eastAsia="en-US"/>
        </w:rPr>
        <w:t>Redstone Hill District Park</w:t>
      </w:r>
    </w:p>
    <w:p w:rsidR="00E01E88" w:rsidRPr="00E01E88" w:rsidRDefault="00E01E88" w:rsidP="00E01E88">
      <w:pPr>
        <w:rPr>
          <w:lang w:eastAsia="en-US"/>
        </w:rPr>
      </w:pPr>
      <w:r>
        <w:rPr>
          <w:lang w:eastAsia="en-US"/>
        </w:rPr>
        <w:t xml:space="preserve">Refer Section 3.4 above. </w:t>
      </w:r>
    </w:p>
    <w:p w:rsidR="009A726C" w:rsidRDefault="009A726C" w:rsidP="00CF1FAB">
      <w:pPr>
        <w:pStyle w:val="Heading2"/>
      </w:pPr>
      <w:bookmarkStart w:id="37" w:name="_Toc496183267"/>
      <w:r>
        <w:t>Hi Quality Quarry Projects Pty Ltd and Tranteret Pty Ltd – Submission 61 (C207)</w:t>
      </w:r>
      <w:bookmarkEnd w:id="37"/>
    </w:p>
    <w:p w:rsidR="00FA42CE" w:rsidRPr="00FA42CE" w:rsidRDefault="00FA42CE" w:rsidP="00D00676">
      <w:pPr>
        <w:rPr>
          <w:rFonts w:ascii="VIC" w:hAnsi="VIC" w:cs="Arial"/>
          <w:color w:val="005EA1" w:themeColor="accent1"/>
          <w:sz w:val="22"/>
          <w:szCs w:val="22"/>
          <w:lang w:eastAsia="en-US"/>
        </w:rPr>
      </w:pPr>
      <w:r w:rsidRPr="00FA42CE">
        <w:rPr>
          <w:rFonts w:ascii="VIC" w:hAnsi="VIC" w:cs="Arial"/>
          <w:color w:val="005EA1" w:themeColor="accent1"/>
          <w:sz w:val="22"/>
          <w:szCs w:val="22"/>
          <w:lang w:eastAsia="en-US"/>
        </w:rPr>
        <w:t xml:space="preserve">Revised Future Urban Structure and fill proposal </w:t>
      </w:r>
    </w:p>
    <w:p w:rsidR="000274DA" w:rsidRDefault="000274DA" w:rsidP="000274DA">
      <w:r>
        <w:t xml:space="preserve">Hi Quality has sought that it’s preferred Future Urban Structure (FUS) is adopted in the gazetted PSP. This FUS is predicated upon the substantial filling of areas within the PSP (the land designated as having landscape values in particular and land within the Special Use Zone associated with the quarry and landfill).  </w:t>
      </w:r>
    </w:p>
    <w:p w:rsidR="000274DA" w:rsidRDefault="000274DA" w:rsidP="000274DA">
      <w:r>
        <w:t>It is inherent in this proposal that there exists a level of uncertainty.  The Panel is reminded of the questions put to Mr Barlow about the nature of the proposed filling operations.  These questions concerned:</w:t>
      </w:r>
    </w:p>
    <w:p w:rsidR="000274DA" w:rsidRDefault="000274DA" w:rsidP="000274DA">
      <w:pPr>
        <w:pStyle w:val="List1bullet"/>
      </w:pPr>
      <w:r>
        <w:t xml:space="preserve">Whether or not there exist filling contracts. </w:t>
      </w:r>
    </w:p>
    <w:p w:rsidR="000274DA" w:rsidRDefault="000274DA" w:rsidP="000274DA">
      <w:pPr>
        <w:pStyle w:val="List1bullet"/>
      </w:pPr>
      <w:r>
        <w:t>That the filling would be subject to permit and, accordingly, subject to uncertainty concerning the grant of that permission</w:t>
      </w:r>
    </w:p>
    <w:p w:rsidR="000274DA" w:rsidRDefault="000274DA" w:rsidP="000274DA">
      <w:pPr>
        <w:pStyle w:val="List1bullet"/>
      </w:pPr>
      <w:r>
        <w:t xml:space="preserve">That the filling may be subject to conditions limiting spatial or operational requirements.  </w:t>
      </w:r>
    </w:p>
    <w:p w:rsidR="000274DA" w:rsidRDefault="000274DA" w:rsidP="000274DA">
      <w:r>
        <w:t xml:space="preserve">The VPA is satisfied that the filling is feasible and consider it appropriate that permit could be sought to facilitate such filling.  At the time of the permission consideration would necessarily be given to the many considerations surrounding the extent of fill, the level of compaction, the management of ground water, the responsibility for ongoing monitoring and management of pressure plates etc.  </w:t>
      </w:r>
    </w:p>
    <w:p w:rsidR="000274DA" w:rsidRPr="000274DA" w:rsidRDefault="000274DA" w:rsidP="000274DA">
      <w:r>
        <w:t xml:space="preserve">The VPA consider that a planning permit application would be a complex exercise and while the evidence demonstrates it is feasible it remains uncertain.  For example, if the FUS is predicated on a future filling application, what if the filling application does not materialise or is refused? Is it then necessary to ‘correct’ the FUS </w:t>
      </w:r>
      <w:r w:rsidRPr="000274DA">
        <w:t>through a further planning scheme amendment? The impacts are not limited to the two areas but involve the drainage.  It is not necessarily the case that a permit received for fill will correspond exactly to that identified in the ‘earthworks area’ that Hi Quality propose should be included within the PSP or UGZ schedule. Under the controls as drafted by Hi Quality, this would prevent any of the land being developed until such time as a planning scheme amendment is undertaken to reconcile this difference.</w:t>
      </w:r>
    </w:p>
    <w:p w:rsidR="000274DA" w:rsidRDefault="000274DA" w:rsidP="000274DA">
      <w:r w:rsidRPr="000274DA">
        <w:t>The drafting of controls for this process is complex. The VPA observes that Mr Barlow confirmed he had provided advice on controls but none were tendered in the submissions or presented for testing before Panel. There have discussions between the parties but the VPA is not satisfied that the sc</w:t>
      </w:r>
      <w:r>
        <w:t xml:space="preserve">ale and complexity of this issue, one which that could consume an entire Panel hearing itself, is appropriately secured at this time based on the level of information available. Rather, the VPA considers it appropriate that the potential for this proposal is introduced and included in the PSP.  </w:t>
      </w:r>
    </w:p>
    <w:p w:rsidR="000274DA" w:rsidRDefault="000274DA" w:rsidP="000274DA">
      <w:r>
        <w:t xml:space="preserve">To illustrate the need to consider further the implications of filling in this environment, the plans tendered by Hi Quality concerning the proposed filling [Document 123] indicate that the finger of industrial land extending into what is currently the SUZ would rest directly adjacent to landfill cells which the submitted staging plan suggests would be filled between 2040 and 2050.  What are the landfill gas implications on this new industrial land and what (if any) are the implications for the cost of this land and its realistic potential to provide for affordable industrial land supply?   </w:t>
      </w:r>
    </w:p>
    <w:p w:rsidR="000274DA" w:rsidRDefault="000274DA" w:rsidP="000274DA">
      <w:r>
        <w:t xml:space="preserve">While it might be the case that a different area of the SUZ land could be utilised, that constitutes a different new land formation and accordingly a different FUS.  </w:t>
      </w:r>
    </w:p>
    <w:p w:rsidR="000274DA" w:rsidRDefault="000274DA" w:rsidP="000274DA">
      <w:r>
        <w:t xml:space="preserve">The VPA is not arguing that the plan is flawed, but rather that the plan is yet to be adequately resolved such that the ‘new’ developable land can properly form the basis of a FUS.  </w:t>
      </w:r>
    </w:p>
    <w:p w:rsidR="000274DA" w:rsidRDefault="000274DA" w:rsidP="000274DA">
      <w:r>
        <w:t xml:space="preserve">The VPA remains unsatisfied by the extent of assessment of visual amenity.  Mr Wyatt’s evidence reflects a visual assessment of the landscape values from a range of present day road vantage points (which did not include Lancefield Road).  No testing through montages or images to evaluate the level of impact has occurred.  No qualitative assessment of impacts from these vantages has occurred as it has under other projects assessed by Mr Wyatt (such as the Melbourne Regional Landfill).  The VPA is concerned that the assessment has not assessed the value of these landscapes from views within the proposed urban development of the site.  By this the VPA means that value of these areas and their visibility will not be confined to views from periphery road frontages as development progresses but will be evaluated from the urban structure itself.  Accordingly the VPA considers that any filling permit application will need to address visual amenity in a broader fashion than the existing report.  </w:t>
      </w:r>
    </w:p>
    <w:p w:rsidR="000274DA" w:rsidRDefault="000274DA" w:rsidP="000274DA">
      <w:r>
        <w:t>The VPA propose that:</w:t>
      </w:r>
    </w:p>
    <w:p w:rsidR="00D00676" w:rsidRDefault="00D00676" w:rsidP="00D00676">
      <w:pPr>
        <w:pStyle w:val="List1number"/>
      </w:pPr>
      <w:r>
        <w:t xml:space="preserve">The Future Urban Structure will be amended as per the VPA’s previously outlined position, that is: </w:t>
      </w:r>
    </w:p>
    <w:p w:rsidR="00D00676" w:rsidRDefault="001F5377" w:rsidP="00D00676">
      <w:pPr>
        <w:pStyle w:val="List1bullet"/>
      </w:pPr>
      <w:r>
        <w:t>To</w:t>
      </w:r>
      <w:r w:rsidR="00D00676">
        <w:t xml:space="preserve"> identify the area of land currently shown as industrial – light to the west of the drainage corridor and re-name this area to ‘bulky goods / light industrial’. The applied zone will change from Industrial 3 Zone to Commercial 2 Zone. </w:t>
      </w:r>
    </w:p>
    <w:p w:rsidR="00D00676" w:rsidRDefault="00D00676" w:rsidP="00D00676">
      <w:pPr>
        <w:pStyle w:val="List1bullet"/>
      </w:pPr>
      <w:r>
        <w:t xml:space="preserve">To identify the land north-west of the WI-14 which is currently shown as </w:t>
      </w:r>
      <w:r w:rsidR="001F5377">
        <w:t>industrial</w:t>
      </w:r>
      <w:r>
        <w:t xml:space="preserve">, as light industrial. The applied zone will change from Industrial 1 Zone to Industrial 3 Zone.  </w:t>
      </w:r>
    </w:p>
    <w:p w:rsidR="00D00676" w:rsidRDefault="00D00676" w:rsidP="00D00676">
      <w:pPr>
        <w:pStyle w:val="List1bullet"/>
      </w:pPr>
      <w:r>
        <w:t xml:space="preserve">Show the ‘two </w:t>
      </w:r>
      <w:r w:rsidRPr="005058BC">
        <w:t>gullies’ and an area to the north (as shown on Hi Quality’s master plan as E4 and a portion of E3) as an ‘Investigation</w:t>
      </w:r>
      <w:r>
        <w:t xml:space="preserve"> Area’</w:t>
      </w:r>
    </w:p>
    <w:p w:rsidR="00D00676" w:rsidRDefault="00D00676" w:rsidP="00D00676">
      <w:pPr>
        <w:ind w:left="360"/>
      </w:pPr>
      <w:r>
        <w:t xml:space="preserve">The land currently within the SUZ would remain unchanged.  </w:t>
      </w:r>
    </w:p>
    <w:p w:rsidR="00D00676" w:rsidRDefault="00D00676" w:rsidP="00D00676">
      <w:pPr>
        <w:pStyle w:val="List1number"/>
      </w:pPr>
      <w:r>
        <w:t>Include text in the PSP:</w:t>
      </w:r>
    </w:p>
    <w:p w:rsidR="00D00676" w:rsidRPr="00D00676" w:rsidRDefault="00D00676" w:rsidP="00D00676">
      <w:pPr>
        <w:ind w:left="720"/>
        <w:rPr>
          <w:i/>
        </w:rPr>
      </w:pPr>
      <w:r>
        <w:rPr>
          <w:i/>
        </w:rPr>
        <w:t>“</w:t>
      </w:r>
      <w:r w:rsidRPr="00D00676">
        <w:rPr>
          <w:i/>
        </w:rPr>
        <w:t xml:space="preserve">INVESTIGATION AREA </w:t>
      </w:r>
    </w:p>
    <w:p w:rsidR="00D00676" w:rsidRPr="00D00676" w:rsidRDefault="00D00676" w:rsidP="00D00676">
      <w:pPr>
        <w:ind w:left="720"/>
        <w:rPr>
          <w:i/>
        </w:rPr>
      </w:pPr>
      <w:r w:rsidRPr="00D00676">
        <w:rPr>
          <w:i/>
        </w:rPr>
        <w:t xml:space="preserve">The investigation area comprises two gullies in the east of the precinct adjacent to the Hi Quality landfill and quarry. The land is zoned Rural Conversation Zone and Special Use Zone 1. </w:t>
      </w:r>
    </w:p>
    <w:p w:rsidR="00D00676" w:rsidRPr="00D00676" w:rsidRDefault="00D00676" w:rsidP="00D00676">
      <w:pPr>
        <w:ind w:left="720"/>
        <w:rPr>
          <w:i/>
        </w:rPr>
      </w:pPr>
      <w:r w:rsidRPr="00D00676">
        <w:rPr>
          <w:i/>
        </w:rPr>
        <w:t xml:space="preserve">The alignment of the stormwater treatment assets shown on Plan 3 has been agreed to by Melbourne Water to service the land within the PSP. A different stormwater treatment asset may be agreed between Melbourne Water and the relevant landowners within the Development Services Scheme in order to service the land and surrounding precinct. </w:t>
      </w:r>
    </w:p>
    <w:p w:rsidR="00D00676" w:rsidRPr="00D00676" w:rsidRDefault="00D00676" w:rsidP="00D00676">
      <w:pPr>
        <w:ind w:left="720"/>
        <w:rPr>
          <w:i/>
        </w:rPr>
      </w:pPr>
      <w:r w:rsidRPr="00D00676">
        <w:rPr>
          <w:i/>
        </w:rPr>
        <w:t>The land shown as ‘Investigation Area’ may be developed for urban purposes, including a range of residential and employment uses. It is intended that, once the development potential of this area is established via a separate planning permit process and subject to an appropriate drainage solution being agreed to the satisfaction of Melbourne Water, the Investigation Area may be rezoned for urban development in the future. This planning scheme amendment process will need to define the location of land uses across the investigation area, and may result in the need to modify this PSP including the Future Urban Structure.</w:t>
      </w:r>
      <w:r>
        <w:rPr>
          <w:i/>
        </w:rPr>
        <w:t>”</w:t>
      </w:r>
    </w:p>
    <w:p w:rsidR="00D00676" w:rsidRDefault="00D00676" w:rsidP="00D00676">
      <w:pPr>
        <w:pStyle w:val="List1number"/>
      </w:pPr>
      <w:r>
        <w:t>The VPA will consider including within Table 2 of the UGZ9 that a quantum of restricted retail will be allowable without a planning permit for Use within the Industrial 1 Zone, where the land is in proximity to Sunbury Road. The VPA need to undertake further work to determine what the appropriate quantum may be (noting that restricted retail is a Section 2 Use within the INZ1, so further may be applied for). The location of these uses on the Industrial 1 Zoned land should be defined through a new concept plan to be included within the PSP, reflecting the Future Urban Structure outcomes described above.</w:t>
      </w:r>
    </w:p>
    <w:p w:rsidR="00D00676" w:rsidRDefault="00D00676" w:rsidP="00D00676">
      <w:pPr>
        <w:pStyle w:val="List1number"/>
      </w:pPr>
      <w:r>
        <w:t xml:space="preserve">VCAT decisions such as </w:t>
      </w:r>
      <w:r w:rsidRPr="007A462F">
        <w:t>Calle</w:t>
      </w:r>
      <w:r w:rsidR="000274DA">
        <w:t>ja Properties Pty Ltd v Hume CC</w:t>
      </w:r>
      <w:r w:rsidRPr="007A462F">
        <w:t xml:space="preserve"> (Red Dot) [2016] VCAT 253 (23 February 2016)</w:t>
      </w:r>
      <w:r>
        <w:t xml:space="preserve"> dictates that filling of the scale proposed by Hi Quality will require a use permit as an innominate use. Should Hi Quality obtain a planning permit to fill the land, the onus will be on Hi Quality to fill it to a standard which can demonstrate that the land is suitable for development upon completion. Should the land be demonstrated to be suitable for development, the VPA consider that this is the appropriate time to undertake a planning scheme amendment to provide the land with appropriate zoning. A permit for filling within the RCZ and SUZ could be granted under the controls.  </w:t>
      </w:r>
    </w:p>
    <w:p w:rsidR="00D00676" w:rsidRDefault="00D00676" w:rsidP="00D00676">
      <w:pPr>
        <w:pStyle w:val="List1number"/>
      </w:pPr>
      <w:r>
        <w:t>The VPA do not agree to show Hi Quality’s proposed land uses within the PSP. This is due to:</w:t>
      </w:r>
    </w:p>
    <w:p w:rsidR="00FA42CE" w:rsidRDefault="00FA42CE" w:rsidP="00FA42CE">
      <w:pPr>
        <w:pStyle w:val="ListParagraph"/>
        <w:rPr>
          <w:rFonts w:ascii="Arial" w:hAnsi="Arial" w:cs="Arial"/>
          <w:sz w:val="18"/>
        </w:rPr>
      </w:pPr>
    </w:p>
    <w:p w:rsidR="00D00676" w:rsidRDefault="00D00676" w:rsidP="00814C2B">
      <w:pPr>
        <w:pStyle w:val="ListParagraph"/>
        <w:numPr>
          <w:ilvl w:val="0"/>
          <w:numId w:val="15"/>
        </w:numPr>
        <w:rPr>
          <w:rFonts w:ascii="Arial" w:hAnsi="Arial" w:cs="Arial"/>
          <w:sz w:val="18"/>
        </w:rPr>
      </w:pPr>
      <w:r w:rsidRPr="00D00676">
        <w:rPr>
          <w:rFonts w:ascii="Arial" w:hAnsi="Arial" w:cs="Arial"/>
          <w:sz w:val="18"/>
        </w:rPr>
        <w:t xml:space="preserve">The VPA do not consider it appropriate to show land that does not currently exist (and may never exist) in a developable form as contributing towards the required amount of employment land for the Sunbury </w:t>
      </w:r>
      <w:r w:rsidR="001F5377" w:rsidRPr="00D00676">
        <w:rPr>
          <w:rFonts w:ascii="Arial" w:hAnsi="Arial" w:cs="Arial"/>
          <w:sz w:val="18"/>
        </w:rPr>
        <w:t>Township</w:t>
      </w:r>
      <w:r w:rsidRPr="00D00676">
        <w:rPr>
          <w:rFonts w:ascii="Arial" w:hAnsi="Arial" w:cs="Arial"/>
          <w:sz w:val="18"/>
        </w:rPr>
        <w:t xml:space="preserve">. </w:t>
      </w:r>
    </w:p>
    <w:p w:rsidR="00D00676" w:rsidRPr="00D00676" w:rsidRDefault="00D00676" w:rsidP="00D00676">
      <w:pPr>
        <w:pStyle w:val="ListParagraph"/>
        <w:rPr>
          <w:rFonts w:ascii="Arial" w:hAnsi="Arial" w:cs="Arial"/>
          <w:sz w:val="18"/>
        </w:rPr>
      </w:pPr>
    </w:p>
    <w:p w:rsidR="00D00676" w:rsidRDefault="00D00676" w:rsidP="00814C2B">
      <w:pPr>
        <w:pStyle w:val="ListParagraph"/>
        <w:numPr>
          <w:ilvl w:val="0"/>
          <w:numId w:val="15"/>
        </w:numPr>
        <w:rPr>
          <w:rFonts w:ascii="Arial" w:hAnsi="Arial" w:cs="Arial"/>
          <w:sz w:val="18"/>
        </w:rPr>
      </w:pPr>
      <w:r w:rsidRPr="00D00676">
        <w:rPr>
          <w:rFonts w:ascii="Arial" w:hAnsi="Arial" w:cs="Arial"/>
          <w:sz w:val="18"/>
        </w:rPr>
        <w:t xml:space="preserve">The VPA will not show a drainage solution in the PSP that does not align with Melbourne Water’s position. It is also noted that the proposed drainage solution is dependent upon a very large amount of earthworks being undertaken. </w:t>
      </w:r>
    </w:p>
    <w:p w:rsidR="00D00676" w:rsidRPr="00D00676" w:rsidRDefault="00D00676" w:rsidP="00D00676">
      <w:pPr>
        <w:pStyle w:val="ListParagraph"/>
        <w:rPr>
          <w:rFonts w:ascii="Arial" w:hAnsi="Arial" w:cs="Arial"/>
          <w:sz w:val="18"/>
        </w:rPr>
      </w:pPr>
    </w:p>
    <w:p w:rsidR="00D00676" w:rsidRDefault="00D00676" w:rsidP="00814C2B">
      <w:pPr>
        <w:pStyle w:val="ListParagraph"/>
        <w:numPr>
          <w:ilvl w:val="0"/>
          <w:numId w:val="15"/>
        </w:numPr>
        <w:rPr>
          <w:rFonts w:ascii="Arial" w:hAnsi="Arial" w:cs="Arial"/>
          <w:sz w:val="18"/>
        </w:rPr>
      </w:pPr>
      <w:r w:rsidRPr="00D00676">
        <w:rPr>
          <w:rFonts w:ascii="Arial" w:hAnsi="Arial" w:cs="Arial"/>
          <w:sz w:val="18"/>
        </w:rPr>
        <w:t xml:space="preserve">Whilst the VPA supports maximising land available for urban development, the VPA note that the Sunbury / Diggers Rest Growth Corridor Plan and other strategic documents have not considered the gullies on Hi Quality’s land as required to facilitate urban development. Given the scale of landscape change proposed, and the significant amount of works required, the VPA is not satisfied that there is sufficient strategic justification at this time to alter Amendment C207 in this manner. The VPA consider that the appropriate time to zone the land for urban development is at the time that the land is prepared and proven suitable to accommodate such development. </w:t>
      </w:r>
    </w:p>
    <w:p w:rsidR="00D00676" w:rsidRPr="00D00676" w:rsidRDefault="00D00676" w:rsidP="00D00676">
      <w:pPr>
        <w:pStyle w:val="ListParagraph"/>
        <w:rPr>
          <w:rFonts w:ascii="Arial" w:hAnsi="Arial" w:cs="Arial"/>
          <w:sz w:val="18"/>
        </w:rPr>
      </w:pPr>
    </w:p>
    <w:p w:rsidR="00D00676" w:rsidRDefault="00D00676" w:rsidP="00814C2B">
      <w:pPr>
        <w:pStyle w:val="ListParagraph"/>
        <w:numPr>
          <w:ilvl w:val="0"/>
          <w:numId w:val="15"/>
        </w:numPr>
        <w:rPr>
          <w:rFonts w:ascii="Arial" w:hAnsi="Arial" w:cs="Arial"/>
          <w:sz w:val="18"/>
        </w:rPr>
      </w:pPr>
      <w:r w:rsidRPr="00D00676">
        <w:rPr>
          <w:rFonts w:ascii="Arial" w:hAnsi="Arial" w:cs="Arial"/>
          <w:sz w:val="18"/>
        </w:rPr>
        <w:t>There is some ongoing doubt around the capacity to realise the full extent of employment development proposed in the Hi Quality master plan, given likely long term constraints associated with the landfill gas buffer on the northern part of this land.</w:t>
      </w:r>
    </w:p>
    <w:p w:rsidR="000274DA" w:rsidRPr="000274DA" w:rsidRDefault="000274DA" w:rsidP="000274DA">
      <w:pPr>
        <w:pStyle w:val="ListParagraph"/>
        <w:rPr>
          <w:rFonts w:ascii="Arial" w:hAnsi="Arial" w:cs="Arial"/>
          <w:sz w:val="18"/>
        </w:rPr>
      </w:pPr>
    </w:p>
    <w:p w:rsidR="000274DA" w:rsidRPr="000274DA" w:rsidRDefault="000274DA" w:rsidP="000274DA">
      <w:pPr>
        <w:rPr>
          <w:rFonts w:cs="Arial"/>
        </w:rPr>
      </w:pPr>
    </w:p>
    <w:p w:rsidR="004E467D" w:rsidRDefault="004E467D" w:rsidP="004E467D">
      <w:pPr>
        <w:pStyle w:val="Heading2"/>
      </w:pPr>
      <w:bookmarkStart w:id="38" w:name="_Toc496183268"/>
      <w:r>
        <w:t>Mr John Ware – Submission 39 (C207)</w:t>
      </w:r>
      <w:bookmarkEnd w:id="38"/>
    </w:p>
    <w:p w:rsidR="004E467D" w:rsidRPr="00FA42CE" w:rsidRDefault="004E467D" w:rsidP="004E467D">
      <w:pPr>
        <w:rPr>
          <w:rFonts w:ascii="VIC" w:hAnsi="VIC" w:cs="Arial"/>
          <w:color w:val="005EA1" w:themeColor="accent1"/>
          <w:sz w:val="22"/>
          <w:szCs w:val="22"/>
          <w:lang w:eastAsia="en-US"/>
        </w:rPr>
      </w:pPr>
      <w:r w:rsidRPr="00FA42CE">
        <w:rPr>
          <w:rFonts w:ascii="VIC" w:hAnsi="VIC" w:cs="Arial"/>
          <w:color w:val="005EA1" w:themeColor="accent1"/>
          <w:sz w:val="22"/>
          <w:szCs w:val="22"/>
          <w:lang w:eastAsia="en-US"/>
        </w:rPr>
        <w:t>Break of Slope</w:t>
      </w:r>
    </w:p>
    <w:p w:rsidR="004E467D" w:rsidRPr="004E467D" w:rsidRDefault="004E467D" w:rsidP="004E467D">
      <w:pPr>
        <w:rPr>
          <w:lang w:eastAsia="en-US"/>
        </w:rPr>
      </w:pPr>
      <w:r w:rsidRPr="004E467D">
        <w:rPr>
          <w:lang w:eastAsia="en-US"/>
        </w:rPr>
        <w:t xml:space="preserve">Mr Ware submitted to the Panel that the VPA has inaccurately defined the break of slope on his property and that there is additional developable potential in areas which were shown in the exhibited version of the PSP as ‘Regionally Significant Landscape Values’ and are now proposed to be shown by the VPA as “Land not serviced by DSS – undevelopable”. </w:t>
      </w:r>
    </w:p>
    <w:p w:rsidR="004E467D" w:rsidRDefault="004E467D" w:rsidP="004E467D">
      <w:pPr>
        <w:rPr>
          <w:lang w:eastAsia="en-US"/>
        </w:rPr>
      </w:pPr>
      <w:r w:rsidRPr="004E467D">
        <w:rPr>
          <w:lang w:eastAsia="en-US"/>
        </w:rPr>
        <w:t>The VPA submit that the Panel ought to recommend that the VPA undertake a review of the break of slope on Mr Ware’s property.</w:t>
      </w:r>
      <w:r>
        <w:rPr>
          <w:lang w:eastAsia="en-US"/>
        </w:rPr>
        <w:t xml:space="preserve"> </w:t>
      </w:r>
    </w:p>
    <w:p w:rsidR="004E467D" w:rsidRPr="00FA42CE" w:rsidRDefault="004E467D" w:rsidP="004E467D">
      <w:pPr>
        <w:rPr>
          <w:rFonts w:ascii="VIC" w:hAnsi="VIC" w:cs="Arial"/>
          <w:color w:val="005EA1" w:themeColor="accent1"/>
          <w:sz w:val="22"/>
          <w:szCs w:val="22"/>
          <w:lang w:eastAsia="en-US"/>
        </w:rPr>
      </w:pPr>
      <w:r w:rsidRPr="00FA42CE">
        <w:rPr>
          <w:rFonts w:ascii="VIC" w:hAnsi="VIC" w:cs="Arial"/>
          <w:color w:val="005EA1" w:themeColor="accent1"/>
          <w:sz w:val="22"/>
          <w:szCs w:val="22"/>
          <w:lang w:eastAsia="en-US"/>
        </w:rPr>
        <w:t xml:space="preserve">Drainage </w:t>
      </w:r>
    </w:p>
    <w:p w:rsidR="004E467D" w:rsidRDefault="004E467D" w:rsidP="004E467D">
      <w:pPr>
        <w:rPr>
          <w:lang w:eastAsia="en-US"/>
        </w:rPr>
      </w:pPr>
      <w:r>
        <w:rPr>
          <w:lang w:eastAsia="en-US"/>
        </w:rPr>
        <w:t xml:space="preserve">Mr Ware also submitted on the location of drainage assets on his property and indicated broad support for the alternative drainage solution put forward by Hi Quality (refer 4.18 above). As outlined previously, the VPA do not support showing Hi Quality’s alternative drainage strategy within the PSP. </w:t>
      </w:r>
    </w:p>
    <w:p w:rsidR="004E467D" w:rsidRDefault="004E467D" w:rsidP="004E467D">
      <w:r>
        <w:t xml:space="preserve">The VPA submit that the Panel ought to recommend that the PSP be updated to reflect any amendments which are made by Melbourne Water to the Development Services Scheme prior to the adoption of the PSP. </w:t>
      </w:r>
    </w:p>
    <w:p w:rsidR="009A726C" w:rsidRDefault="009A726C" w:rsidP="00CF1FAB">
      <w:pPr>
        <w:pStyle w:val="Heading2"/>
      </w:pPr>
      <w:bookmarkStart w:id="39" w:name="_Toc496183269"/>
      <w:r>
        <w:t>Carmody Family – Submission 65 (C207)</w:t>
      </w:r>
      <w:bookmarkEnd w:id="39"/>
    </w:p>
    <w:p w:rsidR="00B31E88" w:rsidRDefault="00B31E88" w:rsidP="0033729C">
      <w:pPr>
        <w:rPr>
          <w:rFonts w:ascii="VIC" w:hAnsi="VIC" w:cs="Arial"/>
          <w:color w:val="005EA1" w:themeColor="accent1"/>
          <w:sz w:val="22"/>
          <w:szCs w:val="22"/>
          <w:lang w:eastAsia="en-US"/>
        </w:rPr>
      </w:pPr>
      <w:r>
        <w:rPr>
          <w:rFonts w:ascii="VIC" w:hAnsi="VIC" w:cs="Arial"/>
          <w:color w:val="005EA1" w:themeColor="accent1"/>
          <w:sz w:val="22"/>
          <w:szCs w:val="22"/>
          <w:lang w:eastAsia="en-US"/>
        </w:rPr>
        <w:t>SUZ10 – Zone Purpose to better recognise agriculture</w:t>
      </w:r>
    </w:p>
    <w:p w:rsidR="00B31E88" w:rsidRDefault="00B31E88" w:rsidP="00B31E88">
      <w:pPr>
        <w:rPr>
          <w:lang w:eastAsia="en-US"/>
        </w:rPr>
      </w:pPr>
      <w:r>
        <w:rPr>
          <w:lang w:eastAsia="en-US"/>
        </w:rPr>
        <w:t xml:space="preserve">The land can continue to be used for agricultural pursuits with existing use rights, and for a range of agricultural uses which are Section 1 – Permit not required land uses. The context of the site will be in an urban environment and the VPA do not consider it appropriate for the zone to aspire to a land use outcome which is more suited to rural environs.  </w:t>
      </w:r>
    </w:p>
    <w:p w:rsidR="00B31E88" w:rsidRPr="00E5559F" w:rsidRDefault="00B31E88" w:rsidP="00B31E88">
      <w:r>
        <w:rPr>
          <w:lang w:eastAsia="en-US"/>
        </w:rPr>
        <w:t>The VPA submits the Panel ought to recommend no change to the exhibited PSP in relation to the Zone purpose.</w:t>
      </w:r>
    </w:p>
    <w:p w:rsidR="005B616B" w:rsidRDefault="005B616B" w:rsidP="005B616B">
      <w:pPr>
        <w:rPr>
          <w:rFonts w:ascii="VIC" w:hAnsi="VIC" w:cs="Arial"/>
          <w:color w:val="005EA1" w:themeColor="accent1"/>
          <w:sz w:val="22"/>
          <w:szCs w:val="22"/>
          <w:lang w:eastAsia="en-US"/>
        </w:rPr>
      </w:pPr>
      <w:r>
        <w:rPr>
          <w:rFonts w:ascii="VIC" w:hAnsi="VIC" w:cs="Arial"/>
          <w:color w:val="005EA1" w:themeColor="accent1"/>
          <w:sz w:val="22"/>
          <w:szCs w:val="22"/>
          <w:lang w:eastAsia="en-US"/>
        </w:rPr>
        <w:t>Permit triggers</w:t>
      </w:r>
      <w:r w:rsidRPr="0033729C">
        <w:rPr>
          <w:rFonts w:ascii="VIC" w:hAnsi="VIC" w:cs="Arial"/>
          <w:color w:val="005EA1" w:themeColor="accent1"/>
          <w:sz w:val="22"/>
          <w:szCs w:val="22"/>
          <w:lang w:eastAsia="en-US"/>
        </w:rPr>
        <w:t xml:space="preserve"> in the SUZ10</w:t>
      </w:r>
    </w:p>
    <w:p w:rsidR="005B616B" w:rsidRDefault="00653002" w:rsidP="0033729C">
      <w:pPr>
        <w:rPr>
          <w:lang w:eastAsia="en-US"/>
        </w:rPr>
      </w:pPr>
      <w:r>
        <w:rPr>
          <w:lang w:eastAsia="en-US"/>
        </w:rPr>
        <w:t>A</w:t>
      </w:r>
      <w:r w:rsidR="005D2979">
        <w:rPr>
          <w:lang w:eastAsia="en-US"/>
        </w:rPr>
        <w:t>t Paragraph 66 of Mr</w:t>
      </w:r>
      <w:r>
        <w:rPr>
          <w:lang w:eastAsia="en-US"/>
        </w:rPr>
        <w:t xml:space="preserve"> Woodland’s written submission</w:t>
      </w:r>
      <w:r w:rsidR="007A38CD">
        <w:rPr>
          <w:lang w:eastAsia="en-US"/>
        </w:rPr>
        <w:t xml:space="preserve"> to Panel</w:t>
      </w:r>
      <w:r>
        <w:rPr>
          <w:lang w:eastAsia="en-US"/>
        </w:rPr>
        <w:t xml:space="preserve"> it is requested that the permit triggers for buildings and works under the SUZ10 should be limited to ‘Section 2’ uses only. The VPA do not support a change this requirement. The VPA would however support amending Clause 4.0 Application Requirements so that the listed requirements only apply to Section 2 land uses. </w:t>
      </w:r>
    </w:p>
    <w:p w:rsidR="00653002" w:rsidRDefault="00653002" w:rsidP="0033729C">
      <w:pPr>
        <w:rPr>
          <w:lang w:eastAsia="en-US"/>
        </w:rPr>
      </w:pPr>
      <w:r>
        <w:rPr>
          <w:lang w:eastAsia="en-US"/>
        </w:rPr>
        <w:t xml:space="preserve">The VPA submits the Panel </w:t>
      </w:r>
      <w:r w:rsidR="001F5377">
        <w:rPr>
          <w:lang w:eastAsia="en-US"/>
        </w:rPr>
        <w:t>ought to</w:t>
      </w:r>
      <w:r>
        <w:rPr>
          <w:lang w:eastAsia="en-US"/>
        </w:rPr>
        <w:t xml:space="preserve"> make the following </w:t>
      </w:r>
      <w:r w:rsidR="00602CBB">
        <w:rPr>
          <w:lang w:eastAsia="en-US"/>
        </w:rPr>
        <w:t>recommendation</w:t>
      </w:r>
      <w:r>
        <w:rPr>
          <w:lang w:eastAsia="en-US"/>
        </w:rPr>
        <w:t xml:space="preserve"> in respect of the submissions of this submitter:</w:t>
      </w:r>
    </w:p>
    <w:p w:rsidR="00653002" w:rsidRDefault="00653002" w:rsidP="00653002">
      <w:pPr>
        <w:pStyle w:val="List1bullet"/>
        <w:rPr>
          <w:lang w:eastAsia="en-US"/>
        </w:rPr>
      </w:pPr>
      <w:r>
        <w:rPr>
          <w:lang w:eastAsia="en-US"/>
        </w:rPr>
        <w:t xml:space="preserve">Amend Clause 4.0 of the Special Use Zone to read: “An application to use land or construct or carry out works must demonstrate consistency with the purpose of this zone and the </w:t>
      </w:r>
      <w:r>
        <w:rPr>
          <w:i/>
          <w:lang w:eastAsia="en-US"/>
        </w:rPr>
        <w:t xml:space="preserve">Craiglee and Ben Eadie Concept Plan. </w:t>
      </w:r>
      <w:r w:rsidRPr="00653002">
        <w:rPr>
          <w:u w:val="single"/>
          <w:lang w:eastAsia="en-US"/>
        </w:rPr>
        <w:t>An application for use land or to construct or carry out works associated with a Section 2 Use, must provide the following information, as appropriate</w:t>
      </w:r>
      <w:r>
        <w:rPr>
          <w:lang w:eastAsia="en-US"/>
        </w:rPr>
        <w:t>:…”</w:t>
      </w:r>
    </w:p>
    <w:p w:rsidR="00602CBB" w:rsidRDefault="005D2979" w:rsidP="00602CBB">
      <w:pPr>
        <w:rPr>
          <w:lang w:eastAsia="en-US"/>
        </w:rPr>
      </w:pPr>
      <w:r>
        <w:rPr>
          <w:lang w:eastAsia="en-US"/>
        </w:rPr>
        <w:t>At Paragraph 69 of Mr</w:t>
      </w:r>
      <w:r w:rsidR="00602CBB">
        <w:rPr>
          <w:lang w:eastAsia="en-US"/>
        </w:rPr>
        <w:t xml:space="preserve"> Woodland’s written submission it is requested that the use of land for a restaurant, conference centre, museum and reception centre be made Section 1 uses under the zone, with the condition that the Use “Must be located within the ‘Potential Development Area” in the Craiglee and Ben Eadie Concept Plan, November 2016”. </w:t>
      </w:r>
    </w:p>
    <w:p w:rsidR="00602CBB" w:rsidRPr="00E5559F" w:rsidRDefault="00602CBB" w:rsidP="00602CBB">
      <w:r>
        <w:rPr>
          <w:lang w:eastAsia="en-US"/>
        </w:rPr>
        <w:t xml:space="preserve">The VPA maintain their position as provided on Page 7 of the VPA Part B submission – Site Specific Issues, and as per Appendix 1 of their Part A submission, which is that VPA considers these to be uses that may have significant off-site impacts. The VPA notes these are not section 1 uses in any zones within the Victoria Planning Provisions. The VPA does not consider this proposed change to be strategically justified in this location and therefore submits that the Panel ought to recommend no change to the exhibited PSP in relation to the Section 1 uses. </w:t>
      </w:r>
    </w:p>
    <w:p w:rsidR="0033729C" w:rsidRPr="0033729C" w:rsidRDefault="0033729C" w:rsidP="0033729C">
      <w:pPr>
        <w:rPr>
          <w:rFonts w:ascii="VIC" w:hAnsi="VIC" w:cs="Arial"/>
          <w:color w:val="005EA1" w:themeColor="accent1"/>
          <w:sz w:val="22"/>
          <w:szCs w:val="22"/>
          <w:lang w:eastAsia="en-US"/>
        </w:rPr>
      </w:pPr>
      <w:r w:rsidRPr="0033729C">
        <w:rPr>
          <w:rFonts w:ascii="VIC" w:hAnsi="VIC" w:cs="Arial"/>
          <w:color w:val="005EA1" w:themeColor="accent1"/>
          <w:sz w:val="22"/>
          <w:szCs w:val="22"/>
          <w:lang w:eastAsia="en-US"/>
        </w:rPr>
        <w:t>Urban Development for the purposes of the Biodiversity Conservation Strategy</w:t>
      </w:r>
    </w:p>
    <w:p w:rsidR="00602CBB" w:rsidRDefault="00661B5D" w:rsidP="00602CBB">
      <w:r>
        <w:rPr>
          <w:lang w:eastAsia="en-US"/>
        </w:rPr>
        <w:t>The VPA submit that the Panel ought make no recommendation in relation to the matter</w:t>
      </w:r>
      <w:r w:rsidR="00602CBB">
        <w:rPr>
          <w:lang w:eastAsia="en-US"/>
        </w:rPr>
        <w:t xml:space="preserve"> at paragraph 82</w:t>
      </w:r>
      <w:r w:rsidR="005D2979">
        <w:rPr>
          <w:lang w:eastAsia="en-US"/>
        </w:rPr>
        <w:t xml:space="preserve"> of Mr</w:t>
      </w:r>
      <w:r>
        <w:rPr>
          <w:lang w:eastAsia="en-US"/>
        </w:rPr>
        <w:t xml:space="preserve"> Woodland</w:t>
      </w:r>
      <w:r w:rsidR="00602CBB">
        <w:rPr>
          <w:lang w:eastAsia="en-US"/>
        </w:rPr>
        <w:t>’</w:t>
      </w:r>
      <w:r>
        <w:rPr>
          <w:lang w:eastAsia="en-US"/>
        </w:rPr>
        <w:t xml:space="preserve">s submission </w:t>
      </w:r>
      <w:r w:rsidR="00602CBB">
        <w:t>that all of the relevant provisions should be removed from SUZ10 on the basis that this zone does not permit urban development to occur on the subject land, and that the MSA approvals and BCS requirements therefore cannot be legally made to apply via SUZ10.</w:t>
      </w:r>
    </w:p>
    <w:p w:rsidR="00E01E88" w:rsidRDefault="00E01E88" w:rsidP="00E01E88">
      <w:r>
        <w:t>In part Mr Woodland sought to rely on a dictionary definition of the word urban. The Macquarie concise dictionary defines urban as:</w:t>
      </w:r>
    </w:p>
    <w:p w:rsidR="00E01E88" w:rsidRPr="00E01E88" w:rsidRDefault="001F5377" w:rsidP="00E01E88">
      <w:pPr>
        <w:pStyle w:val="List1number"/>
        <w:numPr>
          <w:ilvl w:val="0"/>
          <w:numId w:val="12"/>
        </w:numPr>
      </w:pPr>
      <w:r w:rsidRPr="00E01E88">
        <w:t>Of</w:t>
      </w:r>
      <w:r w:rsidR="00E01E88" w:rsidRPr="00E01E88">
        <w:t>, relating to, or comprising a city or town.</w:t>
      </w:r>
    </w:p>
    <w:p w:rsidR="00E01E88" w:rsidRPr="00E01E88" w:rsidRDefault="00E01E88" w:rsidP="00E01E88">
      <w:pPr>
        <w:pStyle w:val="List1number"/>
        <w:numPr>
          <w:ilvl w:val="0"/>
          <w:numId w:val="12"/>
        </w:numPr>
      </w:pPr>
      <w:r w:rsidRPr="00E01E88">
        <w:t>Living in a city or cities.</w:t>
      </w:r>
    </w:p>
    <w:p w:rsidR="00E01E88" w:rsidRPr="00E01E88" w:rsidRDefault="00E01E88" w:rsidP="00E01E88">
      <w:pPr>
        <w:pStyle w:val="List1number"/>
        <w:numPr>
          <w:ilvl w:val="0"/>
          <w:numId w:val="12"/>
        </w:numPr>
      </w:pPr>
      <w:r w:rsidRPr="00E01E88">
        <w:t>Occurring or situated in a city or town.</w:t>
      </w:r>
    </w:p>
    <w:p w:rsidR="00E01E88" w:rsidRPr="00E01E88" w:rsidRDefault="00E01E88" w:rsidP="00E01E88">
      <w:pPr>
        <w:pStyle w:val="List1number"/>
        <w:numPr>
          <w:ilvl w:val="0"/>
          <w:numId w:val="12"/>
        </w:numPr>
      </w:pPr>
      <w:r w:rsidRPr="00E01E88">
        <w:t>Characteristic of or accustomed to cities.</w:t>
      </w:r>
    </w:p>
    <w:p w:rsidR="00E01E88" w:rsidRDefault="00E01E88" w:rsidP="00E01E88">
      <w:pPr>
        <w:rPr>
          <w:lang w:eastAsia="en-US"/>
        </w:rPr>
      </w:pPr>
      <w:r>
        <w:rPr>
          <w:lang w:eastAsia="en-US"/>
        </w:rPr>
        <w:t>The Carmody parcel is currently at the edge of urban development within the township of Sunbury. It will consequent upon the approval of the PSP’s form part of a continuum of urban development. To the west it will about conventional residential development and separated only by Jackson’s Creek to the east will be surrounded by conventional urban development. It will comprise part of Sunbury. In each and every PSP there exists parcels or pockets of land that have a rural aspect or character. While the company land does not form part of the PSP area is directly influenced by a consequent upon further development will form part of the urbanised area as a matter of fact having regard to the definition above.</w:t>
      </w:r>
    </w:p>
    <w:p w:rsidR="00661B5D" w:rsidRDefault="00E01E88" w:rsidP="0033729C">
      <w:pPr>
        <w:rPr>
          <w:lang w:eastAsia="en-US"/>
        </w:rPr>
      </w:pPr>
      <w:r>
        <w:rPr>
          <w:lang w:eastAsia="en-US"/>
        </w:rPr>
        <w:t xml:space="preserve">As indicated at the time of the Carmody submission the department was present and the VPA have sought further advice in writing regarding the position of DWELP and urban development. The VPA refers to the </w:t>
      </w:r>
      <w:r w:rsidR="00661B5D">
        <w:rPr>
          <w:lang w:eastAsia="en-US"/>
        </w:rPr>
        <w:t>letter from DELWP d</w:t>
      </w:r>
      <w:r w:rsidR="005B706F">
        <w:rPr>
          <w:lang w:eastAsia="en-US"/>
        </w:rPr>
        <w:t>ated 17 Octob</w:t>
      </w:r>
      <w:r w:rsidR="005B706F" w:rsidRPr="00E01E88">
        <w:rPr>
          <w:lang w:eastAsia="en-US"/>
        </w:rPr>
        <w:t>er 2017 (Appendix</w:t>
      </w:r>
      <w:r w:rsidR="00661B5D" w:rsidRPr="00E01E88">
        <w:rPr>
          <w:lang w:eastAsia="en-US"/>
        </w:rPr>
        <w:t xml:space="preserve"> </w:t>
      </w:r>
      <w:r w:rsidRPr="00E01E88">
        <w:rPr>
          <w:lang w:eastAsia="en-US"/>
        </w:rPr>
        <w:t>5</w:t>
      </w:r>
      <w:r w:rsidR="00661B5D" w:rsidRPr="00E01E88">
        <w:rPr>
          <w:lang w:eastAsia="en-US"/>
        </w:rPr>
        <w:t>) wh</w:t>
      </w:r>
      <w:r w:rsidR="00661B5D">
        <w:rPr>
          <w:lang w:eastAsia="en-US"/>
        </w:rPr>
        <w:t>ich advises that:</w:t>
      </w:r>
    </w:p>
    <w:p w:rsidR="00661B5D" w:rsidRPr="009F6E56" w:rsidRDefault="00661B5D" w:rsidP="00661B5D">
      <w:pPr>
        <w:rPr>
          <w:i/>
          <w:lang w:eastAsia="en-US"/>
        </w:rPr>
      </w:pPr>
      <w:r w:rsidRPr="009F6E56">
        <w:rPr>
          <w:i/>
          <w:lang w:eastAsia="en-US"/>
        </w:rPr>
        <w:t xml:space="preserve">The Craiglee and Ben Eadie properties are covered by the 2013 Commonwealth approval. </w:t>
      </w:r>
    </w:p>
    <w:p w:rsidR="00661B5D" w:rsidRPr="009F6E56" w:rsidRDefault="00661B5D" w:rsidP="00661B5D">
      <w:pPr>
        <w:rPr>
          <w:i/>
          <w:lang w:eastAsia="en-US"/>
        </w:rPr>
      </w:pPr>
      <w:r w:rsidRPr="009F6E56">
        <w:rPr>
          <w:i/>
          <w:lang w:eastAsia="en-US"/>
        </w:rPr>
        <w:t>As set out in the attached definition, the uses identified in Section 2 of the proposed Special Use Zone (SUZ) are considered 'urban development' for the purposes of the MSA program. The SUZ Section 2 are:</w:t>
      </w:r>
    </w:p>
    <w:p w:rsidR="00661B5D" w:rsidRPr="009F6E56" w:rsidRDefault="009F6E56" w:rsidP="009F6E56">
      <w:pPr>
        <w:pStyle w:val="List1bullet"/>
        <w:rPr>
          <w:i/>
          <w:lang w:eastAsia="en-US"/>
        </w:rPr>
      </w:pPr>
      <w:r w:rsidRPr="009F6E56">
        <w:rPr>
          <w:i/>
          <w:lang w:eastAsia="en-US"/>
        </w:rPr>
        <w:t>C</w:t>
      </w:r>
      <w:r w:rsidR="00661B5D" w:rsidRPr="009F6E56">
        <w:rPr>
          <w:i/>
          <w:lang w:eastAsia="en-US"/>
        </w:rPr>
        <w:t>onference centre</w:t>
      </w:r>
    </w:p>
    <w:p w:rsidR="00661B5D" w:rsidRPr="009F6E56" w:rsidRDefault="00661B5D" w:rsidP="009F6E56">
      <w:pPr>
        <w:pStyle w:val="List1bullet"/>
        <w:rPr>
          <w:i/>
          <w:lang w:eastAsia="en-US"/>
        </w:rPr>
      </w:pPr>
      <w:r w:rsidRPr="009F6E56">
        <w:rPr>
          <w:i/>
          <w:lang w:eastAsia="en-US"/>
        </w:rPr>
        <w:t>Group Accommodation</w:t>
      </w:r>
    </w:p>
    <w:p w:rsidR="00661B5D" w:rsidRPr="009F6E56" w:rsidRDefault="00661B5D" w:rsidP="009F6E56">
      <w:pPr>
        <w:pStyle w:val="List1bullet"/>
        <w:rPr>
          <w:i/>
          <w:lang w:eastAsia="en-US"/>
        </w:rPr>
      </w:pPr>
      <w:r w:rsidRPr="009F6E56">
        <w:rPr>
          <w:i/>
          <w:lang w:eastAsia="en-US"/>
        </w:rPr>
        <w:t>Hotel</w:t>
      </w:r>
    </w:p>
    <w:p w:rsidR="00661B5D" w:rsidRPr="009F6E56" w:rsidRDefault="00661B5D" w:rsidP="009F6E56">
      <w:pPr>
        <w:pStyle w:val="List1bullet"/>
        <w:rPr>
          <w:i/>
          <w:lang w:eastAsia="en-US"/>
        </w:rPr>
      </w:pPr>
      <w:r w:rsidRPr="009F6E56">
        <w:rPr>
          <w:i/>
          <w:lang w:eastAsia="en-US"/>
        </w:rPr>
        <w:t>Museum</w:t>
      </w:r>
    </w:p>
    <w:p w:rsidR="00661B5D" w:rsidRPr="009F6E56" w:rsidRDefault="00661B5D" w:rsidP="009F6E56">
      <w:pPr>
        <w:pStyle w:val="List1bullet"/>
        <w:rPr>
          <w:i/>
          <w:lang w:eastAsia="en-US"/>
        </w:rPr>
      </w:pPr>
      <w:r w:rsidRPr="009F6E56">
        <w:rPr>
          <w:i/>
          <w:lang w:eastAsia="en-US"/>
        </w:rPr>
        <w:t>Reception Centre</w:t>
      </w:r>
    </w:p>
    <w:p w:rsidR="00661B5D" w:rsidRPr="009F6E56" w:rsidRDefault="00661B5D" w:rsidP="009F6E56">
      <w:pPr>
        <w:pStyle w:val="List1bullet"/>
        <w:rPr>
          <w:i/>
          <w:lang w:eastAsia="en-US"/>
        </w:rPr>
      </w:pPr>
      <w:r w:rsidRPr="009F6E56">
        <w:rPr>
          <w:i/>
          <w:lang w:eastAsia="en-US"/>
        </w:rPr>
        <w:t>Residential Hotel</w:t>
      </w:r>
    </w:p>
    <w:p w:rsidR="00661B5D" w:rsidRPr="009F6E56" w:rsidRDefault="00661B5D" w:rsidP="009F6E56">
      <w:pPr>
        <w:pStyle w:val="List1bullet"/>
        <w:rPr>
          <w:i/>
          <w:lang w:eastAsia="en-US"/>
        </w:rPr>
      </w:pPr>
      <w:r w:rsidRPr="009F6E56">
        <w:rPr>
          <w:i/>
          <w:lang w:eastAsia="en-US"/>
        </w:rPr>
        <w:t>Restaurant</w:t>
      </w:r>
    </w:p>
    <w:p w:rsidR="00661B5D" w:rsidRPr="009F6E56" w:rsidRDefault="00661B5D" w:rsidP="00661B5D">
      <w:pPr>
        <w:rPr>
          <w:i/>
          <w:lang w:eastAsia="en-US"/>
        </w:rPr>
      </w:pPr>
      <w:r w:rsidRPr="009F6E56">
        <w:rPr>
          <w:i/>
          <w:lang w:eastAsia="en-US"/>
        </w:rPr>
        <w:t>DELWP's primary concern is to ensure that any urban development that occurs on this site, meets the requirements of the Commonwealth approval conditions (described by the BCS). Specifically, when urban development occurs:</w:t>
      </w:r>
    </w:p>
    <w:p w:rsidR="00661B5D" w:rsidRPr="009F6E56" w:rsidRDefault="00661B5D" w:rsidP="009F6E56">
      <w:pPr>
        <w:pStyle w:val="List1number"/>
        <w:rPr>
          <w:i/>
        </w:rPr>
      </w:pPr>
      <w:r w:rsidRPr="009F6E56">
        <w:rPr>
          <w:i/>
        </w:rPr>
        <w:t>Urban development must be excluded from the conservation area</w:t>
      </w:r>
    </w:p>
    <w:p w:rsidR="00661B5D" w:rsidRPr="009F6E56" w:rsidRDefault="00661B5D" w:rsidP="009F6E56">
      <w:pPr>
        <w:pStyle w:val="List1number"/>
        <w:rPr>
          <w:i/>
        </w:rPr>
      </w:pPr>
      <w:r w:rsidRPr="009F6E56">
        <w:rPr>
          <w:i/>
        </w:rPr>
        <w:t>The conservation area portion of the land must be protected for conservation in perpetuity, in accordance with the Victorian Government's commitments under the BCS and the 2013Commonwealth approval.</w:t>
      </w:r>
    </w:p>
    <w:p w:rsidR="00661B5D" w:rsidRPr="009F6E56" w:rsidRDefault="00661B5D" w:rsidP="00661B5D">
      <w:pPr>
        <w:rPr>
          <w:i/>
          <w:lang w:eastAsia="en-US"/>
        </w:rPr>
      </w:pPr>
      <w:r w:rsidRPr="009F6E56">
        <w:rPr>
          <w:i/>
          <w:lang w:eastAsia="en-US"/>
        </w:rPr>
        <w:t xml:space="preserve">DELWP considers that </w:t>
      </w:r>
      <w:r w:rsidR="009F6E56" w:rsidRPr="009F6E56">
        <w:rPr>
          <w:i/>
          <w:lang w:eastAsia="en-US"/>
        </w:rPr>
        <w:t xml:space="preserve">the proposed SUZ is consistent </w:t>
      </w:r>
      <w:r w:rsidRPr="009F6E56">
        <w:rPr>
          <w:i/>
          <w:lang w:eastAsia="en-US"/>
        </w:rPr>
        <w:t>with the Commonwealth conditions that apply to the site, if the proposed change to the conservation area boundary is approved.</w:t>
      </w:r>
    </w:p>
    <w:p w:rsidR="005D2979" w:rsidRDefault="009F6E56" w:rsidP="00661B5D">
      <w:pPr>
        <w:rPr>
          <w:lang w:eastAsia="en-US"/>
        </w:rPr>
      </w:pPr>
      <w:r>
        <w:rPr>
          <w:lang w:eastAsia="en-US"/>
        </w:rPr>
        <w:t>Accordingly</w:t>
      </w:r>
      <w:r w:rsidRPr="005D2979">
        <w:rPr>
          <w:lang w:eastAsia="en-US"/>
        </w:rPr>
        <w:t>, the VPA submit</w:t>
      </w:r>
      <w:r w:rsidR="00602CBB" w:rsidRPr="005D2979">
        <w:rPr>
          <w:lang w:eastAsia="en-US"/>
        </w:rPr>
        <w:t xml:space="preserve"> that it is necessary to retain</w:t>
      </w:r>
      <w:r w:rsidRPr="005D2979">
        <w:rPr>
          <w:lang w:eastAsia="en-US"/>
        </w:rPr>
        <w:t xml:space="preserve"> Clause </w:t>
      </w:r>
      <w:r w:rsidR="005D2979">
        <w:rPr>
          <w:lang w:eastAsia="en-US"/>
        </w:rPr>
        <w:t>6</w:t>
      </w:r>
      <w:r w:rsidRPr="005D2979">
        <w:rPr>
          <w:lang w:eastAsia="en-US"/>
        </w:rPr>
        <w:t>.0 in the SUZ10</w:t>
      </w:r>
      <w:r w:rsidR="00602CBB" w:rsidRPr="005D2979">
        <w:rPr>
          <w:lang w:eastAsia="en-US"/>
        </w:rPr>
        <w:t>, and that it is entirely appropriate for the zone purpose and d</w:t>
      </w:r>
      <w:r w:rsidR="00602CBB">
        <w:rPr>
          <w:lang w:eastAsia="en-US"/>
        </w:rPr>
        <w:t>ecisio</w:t>
      </w:r>
      <w:r w:rsidR="005D2979">
        <w:rPr>
          <w:lang w:eastAsia="en-US"/>
        </w:rPr>
        <w:t xml:space="preserve">n guidelines to refer to the Biodiversity Conservation Strategy. </w:t>
      </w:r>
    </w:p>
    <w:p w:rsidR="000274DA" w:rsidRDefault="000274DA" w:rsidP="00661B5D">
      <w:pPr>
        <w:rPr>
          <w:lang w:eastAsia="en-US"/>
        </w:rPr>
      </w:pPr>
    </w:p>
    <w:p w:rsidR="000274DA" w:rsidRDefault="000274DA" w:rsidP="00661B5D">
      <w:pPr>
        <w:rPr>
          <w:lang w:eastAsia="en-US"/>
        </w:rPr>
      </w:pPr>
    </w:p>
    <w:p w:rsidR="005D2979" w:rsidRDefault="005D2979" w:rsidP="005D2979">
      <w:pPr>
        <w:rPr>
          <w:rFonts w:ascii="VIC" w:hAnsi="VIC" w:cs="Arial"/>
          <w:color w:val="005EA1" w:themeColor="accent1"/>
          <w:sz w:val="22"/>
          <w:szCs w:val="22"/>
          <w:lang w:eastAsia="en-US"/>
        </w:rPr>
      </w:pPr>
      <w:r>
        <w:rPr>
          <w:rFonts w:ascii="VIC" w:hAnsi="VIC" w:cs="Arial"/>
          <w:color w:val="005EA1" w:themeColor="accent1"/>
          <w:sz w:val="22"/>
          <w:szCs w:val="22"/>
          <w:lang w:eastAsia="en-US"/>
        </w:rPr>
        <w:t>Boundary of Conservation Area 21</w:t>
      </w:r>
    </w:p>
    <w:p w:rsidR="005D2979" w:rsidRDefault="005D2979" w:rsidP="0033729C">
      <w:pPr>
        <w:rPr>
          <w:lang w:eastAsia="en-US"/>
        </w:rPr>
      </w:pPr>
      <w:r>
        <w:rPr>
          <w:lang w:eastAsia="en-US"/>
        </w:rPr>
        <w:t xml:space="preserve">As noted by Mr Woodland at Paragraph 95 of his written submission to Panel, the BCS is not a document that is before the Panel and therefore the request for the excision of land from Conservation Area 21 is not one that the Panel can consider. </w:t>
      </w:r>
    </w:p>
    <w:p w:rsidR="005D2979" w:rsidRPr="005D2979" w:rsidRDefault="005D2979" w:rsidP="0033729C">
      <w:pPr>
        <w:rPr>
          <w:lang w:eastAsia="en-US"/>
        </w:rPr>
      </w:pPr>
      <w:r>
        <w:rPr>
          <w:lang w:eastAsia="en-US"/>
        </w:rPr>
        <w:t xml:space="preserve">DELWP has provided in-principle support for a number of changes to the Conservation Area 21 boundary on the Carmody property, which will be included within a no-net loss application </w:t>
      </w:r>
      <w:r w:rsidR="00DE57C2">
        <w:rPr>
          <w:lang w:eastAsia="en-US"/>
        </w:rPr>
        <w:t xml:space="preserve">by the VPA </w:t>
      </w:r>
      <w:r>
        <w:rPr>
          <w:lang w:eastAsia="en-US"/>
        </w:rPr>
        <w:t xml:space="preserve">to amend the </w:t>
      </w:r>
      <w:r w:rsidR="00DE57C2">
        <w:rPr>
          <w:lang w:eastAsia="en-US"/>
        </w:rPr>
        <w:t xml:space="preserve">Conservation Area boundary prior to the adoption of the Amendment. The Concept Plan in the SUZ10 will reflect the updated boundary to the Conservation Area. </w:t>
      </w:r>
    </w:p>
    <w:p w:rsidR="005D2979" w:rsidRPr="005D2979" w:rsidRDefault="00DE57C2" w:rsidP="0033729C">
      <w:pPr>
        <w:rPr>
          <w:lang w:eastAsia="en-US"/>
        </w:rPr>
      </w:pPr>
      <w:r>
        <w:rPr>
          <w:lang w:eastAsia="en-US"/>
        </w:rPr>
        <w:t xml:space="preserve">However, </w:t>
      </w:r>
      <w:r w:rsidR="005D2979">
        <w:rPr>
          <w:lang w:eastAsia="en-US"/>
        </w:rPr>
        <w:t>D</w:t>
      </w:r>
      <w:r w:rsidR="005D2979" w:rsidRPr="005D2979">
        <w:rPr>
          <w:lang w:eastAsia="en-US"/>
        </w:rPr>
        <w:t xml:space="preserve">ELWP </w:t>
      </w:r>
      <w:r>
        <w:rPr>
          <w:lang w:eastAsia="en-US"/>
        </w:rPr>
        <w:t xml:space="preserve">has advised that </w:t>
      </w:r>
      <w:r w:rsidR="005D2979" w:rsidRPr="005D2979">
        <w:rPr>
          <w:lang w:eastAsia="en-US"/>
        </w:rPr>
        <w:t>is not likely to support the excision of the additional building and building ruin</w:t>
      </w:r>
      <w:r>
        <w:rPr>
          <w:lang w:eastAsia="en-US"/>
        </w:rPr>
        <w:t xml:space="preserve"> which are the subject of the submission to Panel</w:t>
      </w:r>
      <w:r w:rsidR="005D2979" w:rsidRPr="005D2979">
        <w:rPr>
          <w:lang w:eastAsia="en-US"/>
        </w:rPr>
        <w:t>. Both of these are located a distance from the conservation area boundary and relatively close to the Jacksons Creek. Excision of these buildings would result in undesirable isolated 'holes' in the conservation not consistent with Growling Grass Frog conservation. Note that a future Section 69 agreement would not place restrictions on the maintenance and use of these buildings.</w:t>
      </w:r>
    </w:p>
    <w:p w:rsidR="00DE57C2" w:rsidRDefault="00DE57C2" w:rsidP="0033729C">
      <w:pPr>
        <w:rPr>
          <w:rFonts w:ascii="VIC" w:hAnsi="VIC" w:cs="Arial"/>
          <w:color w:val="005EA1" w:themeColor="accent1"/>
          <w:sz w:val="22"/>
          <w:szCs w:val="22"/>
          <w:lang w:eastAsia="en-US"/>
        </w:rPr>
      </w:pPr>
      <w:r>
        <w:rPr>
          <w:rFonts w:ascii="VIC" w:hAnsi="VIC" w:cs="Arial"/>
          <w:color w:val="005EA1" w:themeColor="accent1"/>
          <w:sz w:val="22"/>
          <w:szCs w:val="22"/>
          <w:lang w:eastAsia="en-US"/>
        </w:rPr>
        <w:t>Craiglee and Ben Eadie Concept Plan modifications</w:t>
      </w:r>
    </w:p>
    <w:p w:rsidR="00717649" w:rsidRDefault="00717649" w:rsidP="0033729C">
      <w:pPr>
        <w:rPr>
          <w:lang w:eastAsia="en-US"/>
        </w:rPr>
      </w:pPr>
      <w:r>
        <w:rPr>
          <w:lang w:eastAsia="en-US"/>
        </w:rPr>
        <w:t xml:space="preserve">At Paragraph 109 of Mr Woodland’s submission he sets out a series of changes to the Craiglee and Ben Eadie Concept Plan. </w:t>
      </w:r>
      <w:r w:rsidR="00DE57C2" w:rsidRPr="00DE57C2">
        <w:rPr>
          <w:lang w:eastAsia="en-US"/>
        </w:rPr>
        <w:t>The</w:t>
      </w:r>
      <w:r>
        <w:rPr>
          <w:lang w:eastAsia="en-US"/>
        </w:rPr>
        <w:t xml:space="preserve"> VPA note that: </w:t>
      </w:r>
    </w:p>
    <w:p w:rsidR="00DE57C2" w:rsidRDefault="00717649" w:rsidP="006357D8">
      <w:pPr>
        <w:pStyle w:val="List1bullet"/>
        <w:rPr>
          <w:lang w:eastAsia="en-US"/>
        </w:rPr>
      </w:pPr>
      <w:r>
        <w:rPr>
          <w:lang w:eastAsia="en-US"/>
        </w:rPr>
        <w:t xml:space="preserve">The ‘creek environs’ in the exhibited concept plan accurately reflects the extent of Conservation Area 21 insofar as DELWP has provided in-principle support for changes to the Conservation Area 21 boundary. The VPA consider that this is the appropriate boundary of the creek environs. If there are further changes agreed to by DELWP then the ‘creek environs’ will be updated to reflect these. </w:t>
      </w:r>
    </w:p>
    <w:p w:rsidR="006357D8" w:rsidRPr="009C7B20" w:rsidRDefault="006357D8" w:rsidP="009C7B20">
      <w:pPr>
        <w:pStyle w:val="List1bullet"/>
      </w:pPr>
      <w:r>
        <w:rPr>
          <w:lang w:eastAsia="en-US"/>
        </w:rPr>
        <w:t xml:space="preserve">The request for the increase of the ‘potential development area’ has not been discussed with the VPA previously. The zone purpose has been drafted to provide for the </w:t>
      </w:r>
      <w:r w:rsidRPr="006357D8">
        <w:rPr>
          <w:u w:val="single"/>
          <w:lang w:eastAsia="en-US"/>
        </w:rPr>
        <w:t>continued use and development of the land for vineyard</w:t>
      </w:r>
      <w:r>
        <w:rPr>
          <w:lang w:eastAsia="en-US"/>
        </w:rPr>
        <w:t xml:space="preserve"> and a winery and to allow for complementary activities to </w:t>
      </w:r>
      <w:r w:rsidRPr="009C7B20">
        <w:t xml:space="preserve">be undertaken in conjunction with these uses. The VPA therefore consider that it is not appropriate to foreshadow development over the vineyard component of the site. </w:t>
      </w:r>
    </w:p>
    <w:p w:rsidR="006357D8" w:rsidRPr="009C7B20" w:rsidRDefault="006357D8" w:rsidP="009C7B20">
      <w:pPr>
        <w:pStyle w:val="List1bullet"/>
      </w:pPr>
      <w:r w:rsidRPr="009C7B20">
        <w:t xml:space="preserve">The VPA will revise the Concept Plan to reflect the creek line accurately. </w:t>
      </w:r>
    </w:p>
    <w:p w:rsidR="0033729C" w:rsidRDefault="00872175" w:rsidP="0033729C">
      <w:pPr>
        <w:rPr>
          <w:rFonts w:ascii="VIC" w:hAnsi="VIC" w:cs="Arial"/>
          <w:color w:val="005EA1" w:themeColor="accent1"/>
          <w:sz w:val="22"/>
          <w:szCs w:val="22"/>
          <w:lang w:eastAsia="en-US"/>
        </w:rPr>
      </w:pPr>
      <w:r>
        <w:rPr>
          <w:rFonts w:ascii="VIC" w:hAnsi="VIC" w:cs="Arial"/>
          <w:color w:val="005EA1" w:themeColor="accent1"/>
          <w:sz w:val="22"/>
          <w:szCs w:val="22"/>
          <w:lang w:eastAsia="en-US"/>
        </w:rPr>
        <w:t>Subdivision in the SUZ10</w:t>
      </w:r>
    </w:p>
    <w:p w:rsidR="008C5A22" w:rsidRDefault="008C5A22" w:rsidP="0033729C">
      <w:pPr>
        <w:rPr>
          <w:lang w:eastAsia="en-US"/>
        </w:rPr>
      </w:pPr>
      <w:r w:rsidRPr="008C5A22">
        <w:rPr>
          <w:lang w:eastAsia="en-US"/>
        </w:rPr>
        <w:t xml:space="preserve">At Paragraph 120 of Mr Woodland’s submission </w:t>
      </w:r>
      <w:r>
        <w:rPr>
          <w:lang w:eastAsia="en-US"/>
        </w:rPr>
        <w:t>he submits that provision be made for a permit to be grated for the creation of one additional lot where it is associated with a use consistent with the zone purpose.</w:t>
      </w:r>
    </w:p>
    <w:p w:rsidR="008C5A22" w:rsidRDefault="008C5A22" w:rsidP="0033729C">
      <w:pPr>
        <w:rPr>
          <w:lang w:eastAsia="en-US"/>
        </w:rPr>
      </w:pPr>
      <w:r>
        <w:rPr>
          <w:lang w:eastAsia="en-US"/>
        </w:rPr>
        <w:t xml:space="preserve">The VPA notes that the zone purpose includes ‘to provide for the use and development of the land for tourism purposes’, which could be liberally interpreted. </w:t>
      </w:r>
    </w:p>
    <w:p w:rsidR="005D2979" w:rsidRPr="008C5A22" w:rsidRDefault="008C5A22" w:rsidP="0033729C">
      <w:pPr>
        <w:rPr>
          <w:lang w:eastAsia="en-US"/>
        </w:rPr>
      </w:pPr>
      <w:r>
        <w:rPr>
          <w:lang w:eastAsia="en-US"/>
        </w:rPr>
        <w:t xml:space="preserve">The VPA would support a recommendation by the Panel that Clause 2.0 of the SUZ10 be amended to allow for the creation of one additional lot where it is associated with a Section 1 Use.  </w:t>
      </w:r>
    </w:p>
    <w:p w:rsidR="00C6186B" w:rsidRDefault="00C6186B" w:rsidP="0033729C">
      <w:pPr>
        <w:rPr>
          <w:rFonts w:ascii="VIC" w:hAnsi="VIC" w:cs="Arial"/>
          <w:color w:val="005EA1" w:themeColor="accent1"/>
          <w:sz w:val="22"/>
          <w:szCs w:val="22"/>
          <w:lang w:eastAsia="en-US"/>
        </w:rPr>
      </w:pPr>
      <w:r>
        <w:rPr>
          <w:rFonts w:ascii="VIC" w:hAnsi="VIC" w:cs="Arial"/>
          <w:color w:val="005EA1" w:themeColor="accent1"/>
          <w:sz w:val="22"/>
          <w:szCs w:val="22"/>
          <w:lang w:eastAsia="en-US"/>
        </w:rPr>
        <w:t>Conservation Interface Plan requirement</w:t>
      </w:r>
    </w:p>
    <w:p w:rsidR="00C6186B" w:rsidRDefault="00C6186B" w:rsidP="0033729C">
      <w:pPr>
        <w:rPr>
          <w:lang w:eastAsia="en-US"/>
        </w:rPr>
      </w:pPr>
      <w:r w:rsidRPr="00C6186B">
        <w:rPr>
          <w:lang w:eastAsia="en-US"/>
        </w:rPr>
        <w:t>The VPA support Mr Woodland’s request at Paragraph 120 of his written submission to Panel that the requirement for a conservation interface</w:t>
      </w:r>
      <w:r>
        <w:rPr>
          <w:lang w:eastAsia="en-US"/>
        </w:rPr>
        <w:t xml:space="preserve"> plan be deleted from Clause 4.0 of the SUZ10. </w:t>
      </w:r>
    </w:p>
    <w:p w:rsidR="00C6186B" w:rsidRDefault="00C6186B" w:rsidP="0033729C">
      <w:pPr>
        <w:rPr>
          <w:rFonts w:ascii="VIC" w:hAnsi="VIC" w:cs="Arial"/>
          <w:color w:val="005EA1" w:themeColor="accent1"/>
          <w:sz w:val="22"/>
          <w:szCs w:val="22"/>
          <w:lang w:eastAsia="en-US"/>
        </w:rPr>
      </w:pPr>
      <w:r w:rsidRPr="00C6186B">
        <w:rPr>
          <w:rFonts w:ascii="VIC" w:hAnsi="VIC" w:cs="Arial"/>
          <w:color w:val="005EA1" w:themeColor="accent1"/>
          <w:sz w:val="22"/>
          <w:szCs w:val="22"/>
          <w:lang w:eastAsia="en-US"/>
        </w:rPr>
        <w:t>Other matters</w:t>
      </w:r>
    </w:p>
    <w:p w:rsidR="00C6186B" w:rsidRDefault="00C6186B" w:rsidP="0033729C">
      <w:pPr>
        <w:rPr>
          <w:lang w:eastAsia="en-US"/>
        </w:rPr>
      </w:pPr>
      <w:r w:rsidRPr="00AC291F">
        <w:rPr>
          <w:lang w:eastAsia="en-US"/>
        </w:rPr>
        <w:t xml:space="preserve">The VPA’s position remains unchanged on other matters raised within Mr Woodland’s submission.  </w:t>
      </w:r>
    </w:p>
    <w:p w:rsidR="000274DA" w:rsidRPr="00AC291F" w:rsidRDefault="000274DA" w:rsidP="0033729C">
      <w:pPr>
        <w:rPr>
          <w:rFonts w:ascii="VIC" w:hAnsi="VIC" w:cs="Arial"/>
          <w:color w:val="005EA1" w:themeColor="accent1"/>
          <w:sz w:val="22"/>
          <w:szCs w:val="22"/>
          <w:lang w:eastAsia="en-US"/>
        </w:rPr>
      </w:pPr>
    </w:p>
    <w:p w:rsidR="009A726C" w:rsidRPr="00AC291F" w:rsidRDefault="009A726C" w:rsidP="00CF1FAB">
      <w:pPr>
        <w:pStyle w:val="Heading2"/>
      </w:pPr>
      <w:bookmarkStart w:id="40" w:name="_Toc496183270"/>
      <w:r w:rsidRPr="00AC291F">
        <w:t>235 Old Vineyard Road – Submission 62 (C207)</w:t>
      </w:r>
      <w:bookmarkEnd w:id="40"/>
    </w:p>
    <w:p w:rsidR="00AC291F" w:rsidRPr="00AC291F" w:rsidRDefault="00AC291F" w:rsidP="00AC291F">
      <w:pPr>
        <w:rPr>
          <w:rFonts w:ascii="VIC" w:hAnsi="VIC" w:cs="Arial"/>
          <w:color w:val="005EA1" w:themeColor="accent1"/>
          <w:sz w:val="22"/>
          <w:szCs w:val="22"/>
          <w:lang w:eastAsia="en-US"/>
        </w:rPr>
      </w:pPr>
      <w:r w:rsidRPr="00AC291F">
        <w:rPr>
          <w:rFonts w:ascii="VIC" w:hAnsi="VIC" w:cs="Arial"/>
          <w:color w:val="005EA1" w:themeColor="accent1"/>
          <w:sz w:val="22"/>
          <w:szCs w:val="22"/>
          <w:lang w:eastAsia="en-US"/>
        </w:rPr>
        <w:t>Reduced Commercial/Business land and with mixed use interface</w:t>
      </w:r>
    </w:p>
    <w:p w:rsidR="00AC291F" w:rsidRPr="00AC291F" w:rsidRDefault="00AC291F" w:rsidP="00AC291F">
      <w:pPr>
        <w:rPr>
          <w:color w:val="000000"/>
        </w:rPr>
      </w:pPr>
      <w:r w:rsidRPr="00AC291F">
        <w:rPr>
          <w:color w:val="000000"/>
        </w:rPr>
        <w:t>Mesh, on behalf of the landowner of 235 Old Vineyard Road, made submissions seeking a reconfiguration of the Commercial/Employment Land in the Vineyard Road Employment Area. These submissions sought changes to the Sunbury South Future Urban Structure, and to the Vineyard Road Employment Area Concept Plan.</w:t>
      </w:r>
    </w:p>
    <w:p w:rsidR="00AC291F" w:rsidRPr="00AC291F" w:rsidRDefault="00AC291F" w:rsidP="00AC291F">
      <w:pPr>
        <w:rPr>
          <w:color w:val="000000"/>
        </w:rPr>
      </w:pPr>
      <w:r w:rsidRPr="00AC291F">
        <w:rPr>
          <w:color w:val="000000"/>
        </w:rPr>
        <w:t xml:space="preserve">This submission represented a new position, not outlined in the original submission with respect to the land received by the VPA during exhibition. </w:t>
      </w:r>
    </w:p>
    <w:p w:rsidR="00AC291F" w:rsidRDefault="00AC291F" w:rsidP="00AC291F">
      <w:pPr>
        <w:rPr>
          <w:color w:val="000000"/>
        </w:rPr>
      </w:pPr>
      <w:r w:rsidRPr="00AC291F">
        <w:rPr>
          <w:color w:val="000000"/>
        </w:rPr>
        <w:t>The VPA understands that this new position is in response to the changed access arrangements to Vineyard Road, made following submissions received from VicRoads. This revised access sa</w:t>
      </w:r>
      <w:r>
        <w:rPr>
          <w:color w:val="000000"/>
        </w:rPr>
        <w:t>w a signalised intersection move north on Vineyard Road to Moore Road, providing access to the northern edge of the Vineyard Road Employment Area, rather than centrally as set out in the exhibited PSP.</w:t>
      </w:r>
    </w:p>
    <w:p w:rsidR="00AC291F" w:rsidRDefault="00AC291F" w:rsidP="00AC291F">
      <w:pPr>
        <w:rPr>
          <w:color w:val="000000"/>
        </w:rPr>
      </w:pPr>
      <w:r>
        <w:rPr>
          <w:color w:val="000000"/>
        </w:rPr>
        <w:t>The VPA acknowledge that viable employment areas require strong access to the arterial road network, and that the changed access requirements represent a significant change in the road network that initially supported the employment designation of the land.</w:t>
      </w:r>
    </w:p>
    <w:p w:rsidR="00AC291F" w:rsidRDefault="00AC291F" w:rsidP="00AC291F">
      <w:pPr>
        <w:rPr>
          <w:color w:val="000000"/>
        </w:rPr>
      </w:pPr>
      <w:r>
        <w:rPr>
          <w:color w:val="000000"/>
        </w:rPr>
        <w:t>There is, nevertheless, strong policy support for the continued identification of the land for employment uses, including the designation of employment uses further north of Vineyard Road in the Growth Corridor Plan (moved south in the exhibited PSP to maximise residential development opportunities in the catchment to the future potential rail station), as well as the City of Hume’s new Municipal Strategic Statement (which identifies the land as a key bulky goods retailing node).</w:t>
      </w:r>
    </w:p>
    <w:p w:rsidR="00AC291F" w:rsidRDefault="00AC291F" w:rsidP="00AC291F">
      <w:pPr>
        <w:rPr>
          <w:color w:val="000000"/>
        </w:rPr>
      </w:pPr>
      <w:r>
        <w:rPr>
          <w:color w:val="000000"/>
        </w:rPr>
        <w:t>The VPA strongly supports the provision of sufficient land to generate local employment to support the growth of Sunbury (see 1.5), and sees this site is an important part of that overall provision. However, we acknowledge that these employment opportunities will be provided in a range of different contexts, not all of which require a large amount of land to generate significant employment numbers.</w:t>
      </w:r>
    </w:p>
    <w:p w:rsidR="00AC291F" w:rsidRDefault="00AC291F" w:rsidP="00AC291F">
      <w:pPr>
        <w:rPr>
          <w:color w:val="000000"/>
        </w:rPr>
      </w:pPr>
      <w:r>
        <w:rPr>
          <w:color w:val="000000"/>
        </w:rPr>
        <w:t xml:space="preserve">Given the fact that this submission represents a fundamentally different position than that received during exhibition, the VPA does not consider that there is sufficient information before it, or before the Panel, to justify the revised outcome now proposed. </w:t>
      </w:r>
    </w:p>
    <w:p w:rsidR="00AC291F" w:rsidRDefault="00AC291F" w:rsidP="00AC291F">
      <w:pPr>
        <w:rPr>
          <w:color w:val="000000"/>
        </w:rPr>
      </w:pPr>
      <w:r>
        <w:rPr>
          <w:color w:val="000000"/>
        </w:rPr>
        <w:t>The VPA seeks a recommendation from the Panel that additional work is undertaken following the Panel Hearing, but prior to approval of the PSP, to demonstrate that:</w:t>
      </w:r>
    </w:p>
    <w:p w:rsidR="00AC291F" w:rsidRDefault="00AC291F" w:rsidP="00AC291F">
      <w:pPr>
        <w:pStyle w:val="List1bullet"/>
      </w:pPr>
      <w:r>
        <w:t>Any reconfigured employment area can continue to support the employment numbers generated by the employment area as depicted in the exhibited PSP.</w:t>
      </w:r>
    </w:p>
    <w:p w:rsidR="00AC291F" w:rsidRDefault="00AC291F" w:rsidP="00AC291F">
      <w:pPr>
        <w:pStyle w:val="List1bullet"/>
      </w:pPr>
      <w:r>
        <w:t>Sufficient demand exists (or will exist) in Sunbury for the ‘small office’ and mixed-use outcomes proposed in the submission.</w:t>
      </w:r>
    </w:p>
    <w:p w:rsidR="00AC291F" w:rsidRDefault="00AC291F" w:rsidP="00AC291F">
      <w:pPr>
        <w:pStyle w:val="List1bullet"/>
      </w:pPr>
      <w:r>
        <w:t>Appropriate planning controls can be drafted to protect any remaining employment land from residential encroachment (either through ground floor residential uses or amenity impacts for future residents); and</w:t>
      </w:r>
    </w:p>
    <w:p w:rsidR="00AC291F" w:rsidRDefault="00AC291F" w:rsidP="00AC291F">
      <w:pPr>
        <w:pStyle w:val="List1bullet"/>
      </w:pPr>
      <w:r>
        <w:t>The area can sustain the ‘bulky goods’ retail outcomes reflected in the exhibited concept plan, and supported by the new Hume MSS.</w:t>
      </w:r>
    </w:p>
    <w:p w:rsidR="009A726C" w:rsidRPr="00CC49F5" w:rsidRDefault="009A726C" w:rsidP="00CF1FAB">
      <w:pPr>
        <w:pStyle w:val="Heading2"/>
      </w:pPr>
      <w:bookmarkStart w:id="41" w:name="_Toc496183271"/>
      <w:r w:rsidRPr="00CC49F5">
        <w:t>280 Lancefield Road (Spiire) – Submission 60 (C208)</w:t>
      </w:r>
      <w:bookmarkEnd w:id="41"/>
    </w:p>
    <w:p w:rsidR="00CC49F5" w:rsidRPr="00CC49F5" w:rsidRDefault="00CC49F5" w:rsidP="00CC49F5">
      <w:pPr>
        <w:rPr>
          <w:lang w:eastAsia="en-US"/>
        </w:rPr>
      </w:pPr>
      <w:r w:rsidRPr="00CC49F5">
        <w:rPr>
          <w:lang w:eastAsia="en-US"/>
        </w:rPr>
        <w:t xml:space="preserve">This is a submission from a prospective purchaser of the property at 280 Lancefield Road. The VPA do not currently have a copy of the submission presented to the Panel. </w:t>
      </w:r>
    </w:p>
    <w:p w:rsidR="00CC49F5" w:rsidRPr="00CC49F5" w:rsidRDefault="00CC49F5" w:rsidP="00CC49F5">
      <w:pPr>
        <w:rPr>
          <w:lang w:eastAsia="en-US"/>
        </w:rPr>
      </w:pPr>
      <w:r w:rsidRPr="00CC49F5">
        <w:rPr>
          <w:lang w:eastAsia="en-US"/>
        </w:rPr>
        <w:t>Many of the issues presented were consistent with those described below, as they both relate to the same property. The VPA will however provide further direction to Panel on our position in relation to outstanding matters with this submission, if required, once the VPA has received a copy.</w:t>
      </w:r>
    </w:p>
    <w:p w:rsidR="009A726C" w:rsidRDefault="009A726C" w:rsidP="00CF1FAB">
      <w:pPr>
        <w:pStyle w:val="Heading2"/>
      </w:pPr>
      <w:bookmarkStart w:id="42" w:name="_Toc496183272"/>
      <w:r>
        <w:t>280 Lancefield Road (Insight Planning) – Submission 53 (C208)</w:t>
      </w:r>
      <w:bookmarkEnd w:id="42"/>
    </w:p>
    <w:p w:rsidR="004D7BF5" w:rsidRDefault="004D7BF5" w:rsidP="004D7BF5">
      <w:r>
        <w:t>The owners of the land at 280 Lancefield Road presented submissions the PSP’s application to that parcel.</w:t>
      </w:r>
    </w:p>
    <w:p w:rsidR="004D7BF5" w:rsidRPr="00AC291F" w:rsidRDefault="004D7BF5" w:rsidP="004D7BF5">
      <w:pPr>
        <w:rPr>
          <w:rFonts w:ascii="VIC" w:hAnsi="VIC" w:cs="Arial"/>
          <w:color w:val="005EA1" w:themeColor="accent1"/>
          <w:sz w:val="22"/>
          <w:szCs w:val="22"/>
          <w:lang w:eastAsia="en-US"/>
        </w:rPr>
      </w:pPr>
      <w:r w:rsidRPr="00AC291F">
        <w:rPr>
          <w:rFonts w:ascii="VIC" w:hAnsi="VIC" w:cs="Arial"/>
          <w:color w:val="005EA1" w:themeColor="accent1"/>
          <w:sz w:val="22"/>
          <w:szCs w:val="22"/>
          <w:lang w:eastAsia="en-US"/>
        </w:rPr>
        <w:t>Extension of Precinct Boundary</w:t>
      </w:r>
    </w:p>
    <w:p w:rsidR="004D7BF5" w:rsidRDefault="004D7BF5" w:rsidP="004D7BF5">
      <w:r>
        <w:t xml:space="preserve">The first issue addressed by this owner concerned a request that the PSP be extended to include the balance of property 8 and property 13 to the east of the Emu Creek tributary. The submission was made that the splitting of the property between two PSP areas is ‘impractical, illogical and uncommon’. To the contrary the VPA position as expressed in the part B submission is that the creek represents a logical boundary for the PSP. There are a series of practical and policy reasons why this land should not be included within the PSP at this time. </w:t>
      </w:r>
    </w:p>
    <w:p w:rsidR="004D7BF5" w:rsidRDefault="004D7BF5" w:rsidP="004D7BF5">
      <w:r>
        <w:t>The necessary background consideration for the Panel is that this land is not precluded from development for it will form part of the Lancefield Road North PSP which will be prepared in coming years.</w:t>
      </w:r>
    </w:p>
    <w:p w:rsidR="004D7BF5" w:rsidRDefault="004D7BF5" w:rsidP="004D7BF5">
      <w:r>
        <w:t xml:space="preserve">Page 5 of the owner’s submission contains an extract from the Sunbury growth corridor plan. That plan identifies a series of local </w:t>
      </w:r>
      <w:r w:rsidR="001F5377">
        <w:t>neighbourhoods</w:t>
      </w:r>
      <w:r>
        <w:t xml:space="preserve">. The distinction between the land to the east and to the west of tributary is consistent with the growth corridor plan which identifies these areas as separate ‘local </w:t>
      </w:r>
      <w:r w:rsidR="001F5377">
        <w:t>neighbourhoods</w:t>
      </w:r>
      <w:r>
        <w:t xml:space="preserve">’. </w:t>
      </w:r>
    </w:p>
    <w:p w:rsidR="004D7BF5" w:rsidRDefault="004D7BF5" w:rsidP="004D7BF5">
      <w:r>
        <w:t xml:space="preserve">While it could be argued that the land or part of it may form part of the walkable catchment for the Yellow Gum Town Centre this will be the case whether that development occurs now or at some later time. The submitter’s representative indicated that the preparation of the Lancefield Road North PSP could be five or more years away. While this sounds like a long period of time, this is in the context of a PSP which will not be built out until between 2040 and 2050 and in respect of which a number of large developers including Wincity will already have permits and will be bringing services to the north along Lancefield Road in the course of their development.  280 Lancefield Road is not a shovel ready development.  </w:t>
      </w:r>
    </w:p>
    <w:p w:rsidR="004D7BF5" w:rsidRDefault="004D7BF5" w:rsidP="004D7BF5">
      <w:r>
        <w:t xml:space="preserve">Accordingly any alleged prejudice is minor if it exists at all. </w:t>
      </w:r>
    </w:p>
    <w:p w:rsidR="004D7BF5" w:rsidRDefault="004D7BF5" w:rsidP="004D7BF5">
      <w:r>
        <w:t>Finally there exist practical reasons why the amendment should not be changed in this manner. This Panel must consider the implication of including new land within the PSP. The inclusion of land from outside the PSP area following a period of extensive exhibition raises issues of procedural fairness and transformation. Further, the full suite of background reports and planning for this neighbourhood has simply not been completed. While it is easy to say that the land will just be a residential area, residential areas still undergo investigation and planning to create the future urban structure.</w:t>
      </w:r>
    </w:p>
    <w:p w:rsidR="004D7BF5" w:rsidRDefault="004D7BF5" w:rsidP="004D7BF5">
      <w:r>
        <w:t>It is not appropriate that this additional land is brought into the PSP.</w:t>
      </w:r>
    </w:p>
    <w:p w:rsidR="004D7BF5" w:rsidRPr="00AC291F" w:rsidRDefault="004D7BF5" w:rsidP="004D7BF5">
      <w:pPr>
        <w:rPr>
          <w:rFonts w:ascii="VIC" w:hAnsi="VIC" w:cs="Arial"/>
          <w:color w:val="005EA1" w:themeColor="accent1"/>
          <w:sz w:val="22"/>
          <w:szCs w:val="22"/>
          <w:lang w:eastAsia="en-US"/>
        </w:rPr>
      </w:pPr>
      <w:r w:rsidRPr="00AC291F">
        <w:rPr>
          <w:rFonts w:ascii="VIC" w:hAnsi="VIC" w:cs="Arial"/>
          <w:color w:val="005EA1" w:themeColor="accent1"/>
          <w:sz w:val="22"/>
          <w:szCs w:val="22"/>
          <w:lang w:eastAsia="en-US"/>
        </w:rPr>
        <w:t>Conservation Area 19</w:t>
      </w:r>
      <w:r>
        <w:rPr>
          <w:rFonts w:ascii="VIC" w:hAnsi="VIC" w:cs="Arial"/>
          <w:color w:val="005EA1" w:themeColor="accent1"/>
          <w:sz w:val="22"/>
          <w:szCs w:val="22"/>
          <w:lang w:eastAsia="en-US"/>
        </w:rPr>
        <w:t xml:space="preserve"> boundary</w:t>
      </w:r>
    </w:p>
    <w:p w:rsidR="004D7BF5" w:rsidRDefault="004D7BF5" w:rsidP="004D7BF5">
      <w:r>
        <w:t xml:space="preserve">The second issue raised by this submitter concerns the mapping of a proposed conservation area on the land. It was submitted that the existence of an outlier tree had distorted the shape and orientation of the conservation area. In response to this submission the VPA contacted DWELP to test this position.  DELWP confirmed that the site had been surveyed and that it was a considered decision to provide for the conservation area in the form exhibited.  The submitter has not made the appropriate contact with DELWP, nor produced any expert evidence to substantively challenge the basis of the PSP.  </w:t>
      </w:r>
    </w:p>
    <w:p w:rsidR="004D7BF5" w:rsidRDefault="004D7BF5" w:rsidP="004D7BF5">
      <w:r w:rsidRPr="006C1E5C">
        <w:t xml:space="preserve">The submitter objects to the identification of a waterway on land to the south of the open space area. The relevant waterway was the subject of direct evidence from Dr Blackham of </w:t>
      </w:r>
      <w:r w:rsidR="005F19B0" w:rsidRPr="006C1E5C">
        <w:t>A</w:t>
      </w:r>
      <w:r w:rsidRPr="006C1E5C">
        <w:t xml:space="preserve">lluvium. </w:t>
      </w:r>
      <w:r w:rsidR="00806FDB" w:rsidRPr="006C1E5C">
        <w:t>As discussed earlier (refer Section 3.10 above)</w:t>
      </w:r>
      <w:r w:rsidR="00806FDB">
        <w:t xml:space="preserve">, </w:t>
      </w:r>
      <w:r>
        <w:t>Dr Blackham inspected this particular reach and concluded that it has ‘extreme’ geomorphic value representing an area with less than</w:t>
      </w:r>
      <w:r w:rsidR="00806FDB">
        <w:t xml:space="preserve"> 5% prevalence across the state</w:t>
      </w:r>
      <w:r>
        <w:t>. Dr Blackham’s evidence was not tested by this submitter. Great weight should be given to the evidence of this expert in circumstances where there is no opposing evidence and the expert presented themselves for cross examination.</w:t>
      </w:r>
    </w:p>
    <w:p w:rsidR="004D7BF5" w:rsidRDefault="004D7BF5" w:rsidP="004D7BF5">
      <w:r>
        <w:t>The submitter seeks the reorientation of the government secondary school. The VPA understands this is sought to be achieved through reorientation of the north-south connector as it traverses this land. The VPA is sceptical about whether this represents a realistic opportunity in circumstances where the conservation area and the waterway are present but recognizes that the panel has provided the opportunity to the submitter to sketch these proposed changes and reserves the right to comment on those changes.</w:t>
      </w:r>
    </w:p>
    <w:p w:rsidR="004D7BF5" w:rsidRPr="00E65912" w:rsidRDefault="004D7BF5" w:rsidP="004D7BF5">
      <w:r>
        <w:t xml:space="preserve">The submitter contends that the areas earmarked for regionally significant landscape values bracket more recently updated through material submitted mean that the area may be being under planned and underdeveloped. There can be no doubt that this area is a much more highly constrained PSP than many other PSP’s. The constrained nature of the PSP means that these areas will have a lower net developable area than more unconstrained PSP’s. While the VPA agrees that it should not be wasteful with the resource that is developable land that does not mean that place values should be ignored to make what would constitute marginal increases to the developable area. This submission is rejected. </w:t>
      </w:r>
    </w:p>
    <w:p w:rsidR="004D7BF5" w:rsidRPr="004D7BF5" w:rsidRDefault="004D7BF5" w:rsidP="004D7BF5">
      <w:pPr>
        <w:rPr>
          <w:rFonts w:ascii="VIC" w:hAnsi="VIC" w:cs="Arial"/>
          <w:color w:val="005EA1" w:themeColor="accent1"/>
          <w:sz w:val="22"/>
          <w:szCs w:val="22"/>
          <w:lang w:eastAsia="en-US"/>
        </w:rPr>
      </w:pPr>
      <w:r w:rsidRPr="004D7BF5">
        <w:rPr>
          <w:rFonts w:ascii="VIC" w:hAnsi="VIC" w:cs="Arial"/>
          <w:color w:val="005EA1" w:themeColor="accent1"/>
          <w:sz w:val="22"/>
          <w:szCs w:val="22"/>
          <w:lang w:eastAsia="en-US"/>
        </w:rPr>
        <w:t>Visually Sensitive Interfaces</w:t>
      </w:r>
    </w:p>
    <w:p w:rsidR="004D7BF5" w:rsidRDefault="004D7BF5" w:rsidP="004D7BF5">
      <w:pPr>
        <w:rPr>
          <w:color w:val="000000"/>
        </w:rPr>
      </w:pPr>
      <w:r>
        <w:rPr>
          <w:color w:val="000000"/>
        </w:rPr>
        <w:t>The VPA has considered further the submission in relation to the ‘visually sensitive interfaces’ on this site, and agrees that even in the revised form tabled at the commencement of the hearing, the interfaces are conservative in relation to their application on this property.</w:t>
      </w:r>
    </w:p>
    <w:p w:rsidR="004D7BF5" w:rsidRDefault="004D7BF5" w:rsidP="004D7BF5">
      <w:pPr>
        <w:rPr>
          <w:color w:val="000000"/>
        </w:rPr>
      </w:pPr>
      <w:r>
        <w:rPr>
          <w:color w:val="000000"/>
        </w:rPr>
        <w:t>The interface with the Emu Creek along the southern part of the site is set well back from the ‘break of slope’, (beyond Conversation Area 18). The VPA therefore support the application of the ‘Conservation Area’ interface to this part of the site.</w:t>
      </w:r>
    </w:p>
    <w:p w:rsidR="004D7BF5" w:rsidRDefault="004D7BF5" w:rsidP="004D7BF5">
      <w:pPr>
        <w:rPr>
          <w:color w:val="000000"/>
        </w:rPr>
      </w:pPr>
      <w:r>
        <w:rPr>
          <w:color w:val="000000"/>
        </w:rPr>
        <w:t>The interface with the tributary to the Emu Creek along the northern part of the site is likewise conservative. Whilst this tributary is incised at this point, it is not dissimilar in profile to a number of existing, secondary waterways across the two precincts (including, for example, Harpers Creek). It does not form part of the two major creek corridors of Emu Creek and Jacksons Creek. The VPA therefore support the application of the “Waterway’ interface to this part of the site.</w:t>
      </w:r>
    </w:p>
    <w:p w:rsidR="009A726C" w:rsidRDefault="009A726C" w:rsidP="00CF1FAB">
      <w:pPr>
        <w:pStyle w:val="Heading2"/>
      </w:pPr>
      <w:bookmarkStart w:id="43" w:name="_Toc496183273"/>
      <w:r>
        <w:t>Mr Neil and Ms Robyn Isles – Submission 23 (C207) and 19 (C208)</w:t>
      </w:r>
      <w:bookmarkEnd w:id="43"/>
    </w:p>
    <w:p w:rsidR="00E5559F" w:rsidRPr="003B4265" w:rsidRDefault="00E5559F" w:rsidP="00E5559F">
      <w:pPr>
        <w:rPr>
          <w:highlight w:val="yellow"/>
        </w:rPr>
      </w:pPr>
      <w:r w:rsidRPr="009B47B2">
        <w:rPr>
          <w:rFonts w:ascii="VIC" w:hAnsi="VIC" w:cs="Arial"/>
          <w:color w:val="005EA1" w:themeColor="accent1"/>
          <w:sz w:val="22"/>
          <w:szCs w:val="22"/>
          <w:lang w:eastAsia="en-US"/>
        </w:rPr>
        <w:t>Northern Jacksons Creek Crossing</w:t>
      </w:r>
    </w:p>
    <w:p w:rsidR="00E5559F" w:rsidRPr="003B4265" w:rsidRDefault="00E5559F" w:rsidP="00E5559F">
      <w:r w:rsidRPr="00B17A37">
        <w:t>Refer Section 3.</w:t>
      </w:r>
      <w:r w:rsidR="00B17A37" w:rsidRPr="00B17A37">
        <w:t>1</w:t>
      </w:r>
      <w:r w:rsidRPr="00B17A37">
        <w:t xml:space="preserve"> above.</w:t>
      </w:r>
      <w:r>
        <w:t xml:space="preserve"> </w:t>
      </w:r>
    </w:p>
    <w:p w:rsidR="00E5559F" w:rsidRPr="009B47B2" w:rsidRDefault="00E5559F" w:rsidP="00E5559F">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 xml:space="preserve">Racecourse Road </w:t>
      </w:r>
      <w:r w:rsidR="008E5A88">
        <w:rPr>
          <w:rFonts w:ascii="VIC" w:hAnsi="VIC" w:cs="Arial"/>
          <w:color w:val="005EA1" w:themeColor="accent1"/>
          <w:sz w:val="22"/>
          <w:szCs w:val="22"/>
          <w:lang w:eastAsia="en-US"/>
        </w:rPr>
        <w:t>residential area – Sherwood Heights</w:t>
      </w:r>
    </w:p>
    <w:p w:rsidR="00E5559F" w:rsidRPr="003B4265" w:rsidRDefault="00E5559F" w:rsidP="00E5559F">
      <w:pPr>
        <w:rPr>
          <w:lang w:eastAsia="en-US"/>
        </w:rPr>
      </w:pPr>
      <w:r w:rsidRPr="008E5A88">
        <w:rPr>
          <w:lang w:eastAsia="en-US"/>
        </w:rPr>
        <w:t>Refer Section 3.</w:t>
      </w:r>
      <w:r w:rsidR="008E5A88" w:rsidRPr="008E5A88">
        <w:rPr>
          <w:lang w:eastAsia="en-US"/>
        </w:rPr>
        <w:t>3</w:t>
      </w:r>
      <w:r w:rsidRPr="008E5A88">
        <w:rPr>
          <w:lang w:eastAsia="en-US"/>
        </w:rPr>
        <w:t xml:space="preserve"> above.</w:t>
      </w:r>
    </w:p>
    <w:p w:rsidR="00E5559F" w:rsidRDefault="00E5559F" w:rsidP="00E5559F">
      <w:pPr>
        <w:rPr>
          <w:rFonts w:ascii="VIC" w:hAnsi="VIC" w:cs="Arial"/>
          <w:color w:val="005EA1" w:themeColor="accent1"/>
          <w:sz w:val="22"/>
          <w:szCs w:val="22"/>
          <w:lang w:eastAsia="en-US"/>
        </w:rPr>
      </w:pPr>
      <w:r w:rsidRPr="00E5559F">
        <w:rPr>
          <w:rFonts w:ascii="VIC" w:hAnsi="VIC" w:cs="Arial"/>
          <w:color w:val="005EA1" w:themeColor="accent1"/>
          <w:sz w:val="22"/>
          <w:szCs w:val="22"/>
          <w:lang w:eastAsia="en-US"/>
        </w:rPr>
        <w:t xml:space="preserve">Fauna protection </w:t>
      </w:r>
      <w:r w:rsidR="007D2562">
        <w:rPr>
          <w:rFonts w:ascii="VIC" w:hAnsi="VIC" w:cs="Arial"/>
          <w:color w:val="005EA1" w:themeColor="accent1"/>
          <w:sz w:val="22"/>
          <w:szCs w:val="22"/>
          <w:lang w:eastAsia="en-US"/>
        </w:rPr>
        <w:t>– Platypus habitat</w:t>
      </w:r>
    </w:p>
    <w:p w:rsidR="007D2562" w:rsidRPr="007D2562" w:rsidRDefault="007D2562" w:rsidP="00E5559F">
      <w:r w:rsidRPr="007D2562">
        <w:t>The Biodiversity Conservation Strategy requires that urban development be excluded from Conservation Area 21 and that it be protected and managed for co</w:t>
      </w:r>
      <w:r w:rsidRPr="008E5A88">
        <w:t>nservation in perpetuity. Within the two precincts, Conservation Area 21 extends mostly between 80 and 100 metres either side of the Jacksons Creek</w:t>
      </w:r>
      <w:r w:rsidR="008E5A88" w:rsidRPr="008E5A88">
        <w:t xml:space="preserve">. </w:t>
      </w:r>
      <w:r w:rsidRPr="008E5A88">
        <w:t>It is considered that this buffer distance will protect key platypus habitat, within the two precincts, from urban development.</w:t>
      </w:r>
      <w:r w:rsidRPr="007D2562">
        <w:t xml:space="preserve"> </w:t>
      </w:r>
    </w:p>
    <w:p w:rsidR="00E5559F" w:rsidRDefault="00E5559F" w:rsidP="00E5559F">
      <w:pPr>
        <w:rPr>
          <w:rFonts w:ascii="VIC" w:hAnsi="VIC" w:cs="Arial"/>
          <w:color w:val="005EA1" w:themeColor="accent1"/>
          <w:sz w:val="22"/>
          <w:szCs w:val="22"/>
          <w:lang w:eastAsia="en-US"/>
        </w:rPr>
      </w:pPr>
      <w:r>
        <w:rPr>
          <w:rFonts w:ascii="VIC" w:hAnsi="VIC" w:cs="Arial"/>
          <w:color w:val="005EA1" w:themeColor="accent1"/>
          <w:sz w:val="22"/>
          <w:szCs w:val="22"/>
          <w:lang w:eastAsia="en-US"/>
        </w:rPr>
        <w:t>Employment opportunities</w:t>
      </w:r>
    </w:p>
    <w:p w:rsidR="007D2562" w:rsidRDefault="005F19B0" w:rsidP="00E5559F">
      <w:r w:rsidRPr="006C1E5C">
        <w:t>Refer Section 3.8</w:t>
      </w:r>
      <w:r w:rsidR="00E5559F" w:rsidRPr="006C1E5C">
        <w:t xml:space="preserve"> ab</w:t>
      </w:r>
      <w:r w:rsidR="00E5559F">
        <w:t xml:space="preserve">ove. </w:t>
      </w:r>
      <w:r w:rsidR="007D2562">
        <w:t xml:space="preserve">The VPA consider that the PSPs provide a diverse range of zones to facilitate varied employment opportunities. The VPA does not consider it appropriate for a PSP to dictate the specific types of industries that may develop in these areas.  </w:t>
      </w:r>
    </w:p>
    <w:p w:rsidR="00E5559F" w:rsidRPr="00E5559F" w:rsidRDefault="007D2562" w:rsidP="00E5559F">
      <w:r>
        <w:rPr>
          <w:lang w:eastAsia="en-US"/>
        </w:rPr>
        <w:t xml:space="preserve">The VPA submits the Panel ought to recommend no change to the exhibited PSP in relation to employment types. </w:t>
      </w:r>
    </w:p>
    <w:p w:rsidR="009A726C" w:rsidRDefault="009A726C" w:rsidP="00CF1FAB">
      <w:pPr>
        <w:pStyle w:val="Heading2"/>
      </w:pPr>
      <w:bookmarkStart w:id="44" w:name="_Toc496183274"/>
      <w:r>
        <w:t>295 Lancefield Road JV Pty Ltd – Submission 52 (C208)</w:t>
      </w:r>
      <w:bookmarkEnd w:id="44"/>
    </w:p>
    <w:p w:rsidR="003920C9" w:rsidRDefault="003920C9" w:rsidP="003920C9">
      <w:pPr>
        <w:rPr>
          <w:lang w:val="en-US"/>
        </w:rPr>
      </w:pPr>
      <w:r>
        <w:rPr>
          <w:lang w:val="en-US"/>
        </w:rPr>
        <w:t xml:space="preserve">Document 145 before the panel is the submission on behalf of 295 Lancefield Road JV Pty Ltd.  The submission concerns property 4 in the Lancefield Road PSP.   The core ongoing concerns of the submitter are described from paragraph 32 to paragraph 47 of the submission document. </w:t>
      </w:r>
    </w:p>
    <w:p w:rsidR="003920C9" w:rsidRPr="003920C9" w:rsidRDefault="003920C9" w:rsidP="003920C9">
      <w:pPr>
        <w:rPr>
          <w:rFonts w:ascii="VIC" w:hAnsi="VIC" w:cs="Arial"/>
          <w:color w:val="005EA1" w:themeColor="accent1"/>
          <w:sz w:val="22"/>
          <w:szCs w:val="22"/>
          <w:lang w:eastAsia="en-US"/>
        </w:rPr>
      </w:pPr>
      <w:r w:rsidRPr="003920C9">
        <w:rPr>
          <w:rFonts w:ascii="VIC" w:hAnsi="VIC" w:cs="Arial"/>
          <w:color w:val="005EA1" w:themeColor="accent1"/>
          <w:sz w:val="22"/>
          <w:szCs w:val="22"/>
          <w:lang w:eastAsia="en-US"/>
        </w:rPr>
        <w:t>Yellow Gum Town Centre expansion area</w:t>
      </w:r>
    </w:p>
    <w:p w:rsidR="003920C9" w:rsidRDefault="003920C9" w:rsidP="003920C9">
      <w:pPr>
        <w:rPr>
          <w:lang w:val="en-US"/>
        </w:rPr>
      </w:pPr>
      <w:r>
        <w:rPr>
          <w:lang w:val="en-US"/>
        </w:rPr>
        <w:t xml:space="preserve">The key change sought at paragraph 36 is that the land identified for the potential northern extension of the Yellow Gum Town Centre to the north of the Boulevard connector should be identified as a mixed use zone area. </w:t>
      </w:r>
    </w:p>
    <w:p w:rsidR="003920C9" w:rsidRDefault="003920C9" w:rsidP="003920C9">
      <w:pPr>
        <w:rPr>
          <w:lang w:val="en-US"/>
        </w:rPr>
      </w:pPr>
      <w:r>
        <w:rPr>
          <w:lang w:val="en-US"/>
        </w:rPr>
        <w:t>The basis for this submission is that the form of development and use in this area will be guided by an urban design framework. It is further submitted that the secondary role of the area north of the Boulevard connector is a better fit with a mixed use zone.</w:t>
      </w:r>
    </w:p>
    <w:p w:rsidR="003920C9" w:rsidRDefault="003920C9" w:rsidP="003920C9">
      <w:pPr>
        <w:rPr>
          <w:lang w:val="en-US"/>
        </w:rPr>
      </w:pPr>
      <w:r>
        <w:rPr>
          <w:lang w:val="en-US"/>
        </w:rPr>
        <w:t xml:space="preserve">The VPA does not agree but is prepared to consider some mixed use land potential to the north.  </w:t>
      </w:r>
    </w:p>
    <w:p w:rsidR="003920C9" w:rsidRDefault="003920C9" w:rsidP="003920C9">
      <w:pPr>
        <w:rPr>
          <w:lang w:val="en-US"/>
        </w:rPr>
      </w:pPr>
      <w:r>
        <w:rPr>
          <w:lang w:val="en-US"/>
        </w:rPr>
        <w:t xml:space="preserve">A key difference between the application of the Commercial 1 Zone and the Mixed Use Zone is the ability to develop residential uses at ground floor.  Within the C1Z accommodation is a section 1 use only where the frontage to the </w:t>
      </w:r>
      <w:r w:rsidR="00D90D4B">
        <w:rPr>
          <w:lang w:val="en-US"/>
        </w:rPr>
        <w:t>accommodation does not exceed 2</w:t>
      </w:r>
      <w:r>
        <w:rPr>
          <w:lang w:val="en-US"/>
        </w:rPr>
        <w:t>m at ground floor level. Where this is exceeded the use becomes a section two use.</w:t>
      </w:r>
    </w:p>
    <w:p w:rsidR="003920C9" w:rsidRDefault="003920C9" w:rsidP="003920C9">
      <w:pPr>
        <w:rPr>
          <w:lang w:val="en-US"/>
        </w:rPr>
      </w:pPr>
      <w:r>
        <w:rPr>
          <w:lang w:val="en-US"/>
        </w:rPr>
        <w:t>Within the MUZ, one of the residential suite of zones, accommodation or more specifically a dwelling is a section 1 use without restriction. This is important because it has implications for the built form and activation of the town centre. In circumstances where the mixed use became the zone for all of the land to the north of the Boulevard connector the developer could develop any form of residential development without constraint. It is the VPA submission that this would constitute an unacceptable outcome in a designated town centre.</w:t>
      </w:r>
    </w:p>
    <w:p w:rsidR="003920C9" w:rsidRDefault="003920C9" w:rsidP="003920C9">
      <w:pPr>
        <w:rPr>
          <w:lang w:val="en-US"/>
        </w:rPr>
      </w:pPr>
      <w:r>
        <w:rPr>
          <w:lang w:val="en-US"/>
        </w:rPr>
        <w:t>It is also important to consider the controls that are proposed with the preparation of an urban design framework for the Yellow Gum Town Centre. It is true that the proposed text for the new requirement within the PSP requires that the urban design framework be prepared before the development of any land north of the Boulevard connector. However the bullets that the urban design framework must respond to a relatively limited insofar as they would influence land-use. The proposed provision for the schedule to the UGZ relates to permits for use the subdivision of land for the construction of a building but this would not necessarily respond well to the provision of an activated Boulevard forming part of a single integrated town centre.</w:t>
      </w:r>
    </w:p>
    <w:p w:rsidR="003920C9" w:rsidRDefault="003920C9" w:rsidP="003920C9">
      <w:pPr>
        <w:rPr>
          <w:lang w:val="en-US"/>
        </w:rPr>
      </w:pPr>
      <w:r>
        <w:rPr>
          <w:lang w:val="en-US"/>
        </w:rPr>
        <w:t>That is not to say that the prospect of some MUZ land within the northern portion of the town centre is not appropriate. The VPA considers that there may be an opportunity for land to the north of the town centre where it interfaces with land within the residential growth zone to have a mixed use zone. Under this scenario that portion of the town centre fronting the Boulevard connector would be within the C1Z and that portion fronting the street to the north within the MUZ, with the precise delineation between the zones to be determined through the urban design framework. In the short time since this submission the VPA has not had an opportunity to fully resolve this concept, and it requests a recommendation on the following terms being that:</w:t>
      </w:r>
    </w:p>
    <w:p w:rsidR="003920C9" w:rsidRDefault="003920C9" w:rsidP="003920C9">
      <w:pPr>
        <w:pStyle w:val="List1bullet"/>
        <w:rPr>
          <w:rFonts w:eastAsia="Times New Roman"/>
          <w:lang w:val="en-US"/>
        </w:rPr>
      </w:pPr>
      <w:r>
        <w:rPr>
          <w:rFonts w:eastAsia="Times New Roman"/>
          <w:lang w:val="en-US"/>
        </w:rPr>
        <w:t>The VPA consider the appropriateness and statutory implementation of the provision of land within a commercial one zone fronting the northern side of the Boulevard connector within the yellow gum town centre and the northern side of this land within a mixed use zone.</w:t>
      </w:r>
    </w:p>
    <w:p w:rsidR="003920C9" w:rsidRDefault="003920C9" w:rsidP="003920C9">
      <w:pPr>
        <w:pStyle w:val="List1bullet"/>
        <w:rPr>
          <w:rFonts w:eastAsia="Times New Roman"/>
          <w:lang w:val="en-US"/>
        </w:rPr>
      </w:pPr>
      <w:r>
        <w:rPr>
          <w:rFonts w:eastAsia="Times New Roman"/>
          <w:lang w:val="en-US"/>
        </w:rPr>
        <w:t>In assessing the above the VPA should liaise with both the affected landholder, the landholder of the southern portion of the town centre, and the Hume City Council.</w:t>
      </w:r>
    </w:p>
    <w:p w:rsidR="009A726C" w:rsidRDefault="009A726C" w:rsidP="00CF1FAB">
      <w:pPr>
        <w:pStyle w:val="Heading2"/>
      </w:pPr>
      <w:bookmarkStart w:id="45" w:name="_Toc496183275"/>
      <w:r>
        <w:t xml:space="preserve">Jinding United Sunbury Pty </w:t>
      </w:r>
      <w:r w:rsidR="00CF1FAB">
        <w:t>Ltd -</w:t>
      </w:r>
      <w:r>
        <w:t xml:space="preserve"> Submission 55 (C208)</w:t>
      </w:r>
      <w:bookmarkEnd w:id="45"/>
    </w:p>
    <w:p w:rsidR="00BD54D1" w:rsidRPr="00BD54D1" w:rsidRDefault="00BD54D1" w:rsidP="00BD54D1">
      <w:r w:rsidRPr="00BD54D1">
        <w:t xml:space="preserve">The submission of Jinding United Pty </w:t>
      </w:r>
      <w:r w:rsidR="001F5377" w:rsidRPr="00BD54D1">
        <w:t>Ltd’s</w:t>
      </w:r>
      <w:r w:rsidRPr="00BD54D1">
        <w:t xml:space="preserve"> document 146. The submission raises a limited range of issues which aff</w:t>
      </w:r>
      <w:r>
        <w:t>ects properties six, seven and R</w:t>
      </w:r>
      <w:r w:rsidRPr="00BD54D1">
        <w:t>7 within the Lancefield Road PSP.</w:t>
      </w:r>
    </w:p>
    <w:p w:rsidR="00AA5EB4" w:rsidRPr="00AA5EB4" w:rsidRDefault="00AA5EB4" w:rsidP="00BD54D1">
      <w:pPr>
        <w:rPr>
          <w:rFonts w:ascii="VIC" w:hAnsi="VIC" w:cs="Arial"/>
          <w:color w:val="005EA1" w:themeColor="accent1"/>
          <w:sz w:val="22"/>
          <w:szCs w:val="22"/>
          <w:lang w:eastAsia="en-US"/>
        </w:rPr>
      </w:pPr>
      <w:r w:rsidRPr="00AA5EB4">
        <w:rPr>
          <w:rFonts w:ascii="VIC" w:hAnsi="VIC" w:cs="Arial"/>
          <w:color w:val="005EA1" w:themeColor="accent1"/>
          <w:sz w:val="22"/>
          <w:szCs w:val="22"/>
          <w:lang w:eastAsia="en-US"/>
        </w:rPr>
        <w:t>Drainage</w:t>
      </w:r>
      <w:r>
        <w:rPr>
          <w:rFonts w:ascii="VIC" w:hAnsi="VIC" w:cs="Arial"/>
          <w:color w:val="005EA1" w:themeColor="accent1"/>
          <w:sz w:val="22"/>
          <w:szCs w:val="22"/>
          <w:lang w:eastAsia="en-US"/>
        </w:rPr>
        <w:t xml:space="preserve"> Assets</w:t>
      </w:r>
    </w:p>
    <w:p w:rsidR="00AA5EB4" w:rsidRDefault="00BD54D1" w:rsidP="00BD54D1">
      <w:r w:rsidRPr="00BD54D1">
        <w:t>T</w:t>
      </w:r>
      <w:r w:rsidR="006C1E5C">
        <w:t>he specific submissions comments</w:t>
      </w:r>
      <w:r w:rsidRPr="00BD54D1">
        <w:t xml:space="preserve"> from paragraph 48 of the document</w:t>
      </w:r>
      <w:r w:rsidR="00FD0E68" w:rsidRPr="00FD0E68">
        <w:t>.</w:t>
      </w:r>
      <w:r w:rsidRPr="00BD54D1">
        <w:t xml:space="preserve"> The submission at paragraphs 48 to 54 are addressed in the text above concerning changes to water assets as depicted in the integrated water management plan. </w:t>
      </w:r>
      <w:r w:rsidR="00AA5EB4">
        <w:t>S</w:t>
      </w:r>
      <w:r w:rsidR="00AA5EB4" w:rsidRPr="006C1E5C">
        <w:t xml:space="preserve">ee </w:t>
      </w:r>
      <w:r w:rsidR="006C1E5C" w:rsidRPr="006C1E5C">
        <w:t>Section 3.10</w:t>
      </w:r>
      <w:r w:rsidR="00AA5EB4" w:rsidRPr="006C1E5C">
        <w:t xml:space="preserve"> above.</w:t>
      </w:r>
      <w:r w:rsidR="00AA5EB4">
        <w:t xml:space="preserve"> </w:t>
      </w:r>
    </w:p>
    <w:p w:rsidR="00AA5EB4" w:rsidRPr="00AA5EB4" w:rsidRDefault="00AA5EB4" w:rsidP="00BD54D1">
      <w:pPr>
        <w:rPr>
          <w:rFonts w:ascii="VIC" w:hAnsi="VIC" w:cs="Arial"/>
          <w:color w:val="005EA1" w:themeColor="accent1"/>
          <w:sz w:val="22"/>
          <w:szCs w:val="22"/>
          <w:lang w:eastAsia="en-US"/>
        </w:rPr>
      </w:pPr>
      <w:r w:rsidRPr="00AA5EB4">
        <w:rPr>
          <w:rFonts w:ascii="VIC" w:hAnsi="VIC" w:cs="Arial"/>
          <w:color w:val="005EA1" w:themeColor="accent1"/>
          <w:sz w:val="22"/>
          <w:szCs w:val="22"/>
          <w:lang w:eastAsia="en-US"/>
        </w:rPr>
        <w:t>Landscape Values</w:t>
      </w:r>
    </w:p>
    <w:p w:rsidR="00BD54D1" w:rsidRPr="00BD54D1" w:rsidRDefault="00BD54D1" w:rsidP="00BD54D1">
      <w:r w:rsidRPr="00BD54D1">
        <w:t>From paragraph 54 on</w:t>
      </w:r>
      <w:r w:rsidR="00AA5EB4">
        <w:t>,</w:t>
      </w:r>
      <w:r w:rsidRPr="00BD54D1">
        <w:t xml:space="preserve"> the submission addresses a small area of land which on the future urban structure is identified as having landscape values. This land is inside the break of slope and the VPA accepts that it has been incorrectly identified. Accordingly the VPA accepts that this triangular parcel is identified at figure 7 within the submission should be described as developable land.</w:t>
      </w:r>
    </w:p>
    <w:p w:rsidR="00BD54D1" w:rsidRPr="00BD54D1" w:rsidRDefault="00BD54D1" w:rsidP="00BD54D1">
      <w:r w:rsidRPr="00BD54D1">
        <w:t>The VPA considers that this submission is accordingly resolved.</w:t>
      </w:r>
    </w:p>
    <w:p w:rsidR="009A726C" w:rsidRPr="00E5559F" w:rsidRDefault="00AA5EB4" w:rsidP="00CF1FAB">
      <w:pPr>
        <w:pStyle w:val="Heading2"/>
      </w:pPr>
      <w:bookmarkStart w:id="46" w:name="_Toc496183276"/>
      <w:r>
        <w:t xml:space="preserve">Kolceg Family – Submission 84 </w:t>
      </w:r>
      <w:r w:rsidR="00CF1FAB" w:rsidRPr="00E5559F">
        <w:t>(C207)</w:t>
      </w:r>
      <w:bookmarkEnd w:id="46"/>
    </w:p>
    <w:p w:rsidR="008A074E" w:rsidRPr="00E5559F" w:rsidRDefault="008A074E" w:rsidP="003B4265">
      <w:pPr>
        <w:rPr>
          <w:rFonts w:ascii="VIC" w:hAnsi="VIC" w:cs="Arial"/>
          <w:color w:val="005EA1" w:themeColor="accent1"/>
          <w:sz w:val="22"/>
          <w:szCs w:val="22"/>
          <w:lang w:eastAsia="en-US"/>
        </w:rPr>
      </w:pPr>
      <w:r w:rsidRPr="00E5559F">
        <w:rPr>
          <w:rFonts w:ascii="VIC" w:hAnsi="VIC" w:cs="Arial"/>
          <w:color w:val="005EA1" w:themeColor="accent1"/>
          <w:sz w:val="22"/>
          <w:szCs w:val="22"/>
          <w:lang w:eastAsia="en-US"/>
        </w:rPr>
        <w:t>Harpers Creek Sports Fields (SR-01)</w:t>
      </w:r>
    </w:p>
    <w:p w:rsidR="008A074E" w:rsidRDefault="008A074E" w:rsidP="003B4265">
      <w:r w:rsidRPr="00E5559F">
        <w:t xml:space="preserve">The VPA </w:t>
      </w:r>
      <w:r w:rsidR="00381A03">
        <w:t xml:space="preserve">generally </w:t>
      </w:r>
      <w:r w:rsidRPr="00E5559F">
        <w:t xml:space="preserve">support the </w:t>
      </w:r>
      <w:r w:rsidR="00381A03">
        <w:t>request at Paragraph 12 of Ms Ancell’s written submission to shift</w:t>
      </w:r>
      <w:r w:rsidRPr="00E5559F">
        <w:t xml:space="preserve"> SR-01 further to the south</w:t>
      </w:r>
      <w:r w:rsidR="00E5559F" w:rsidRPr="00E5559F">
        <w:rPr>
          <w:lang w:eastAsia="en-US"/>
        </w:rPr>
        <w:t xml:space="preserve"> to support further higher density residential development in the catchment to the Harpers Creek LTC,</w:t>
      </w:r>
      <w:r w:rsidRPr="00E5559F">
        <w:t xml:space="preserve"> </w:t>
      </w:r>
      <w:r w:rsidR="00381A03">
        <w:t>generall</w:t>
      </w:r>
      <w:r w:rsidR="00381A03" w:rsidRPr="005E281B">
        <w:t xml:space="preserve">y </w:t>
      </w:r>
      <w:r w:rsidRPr="005E281B">
        <w:t xml:space="preserve">as per </w:t>
      </w:r>
      <w:r w:rsidR="00446F9B" w:rsidRPr="005E281B">
        <w:t>Figure 10</w:t>
      </w:r>
      <w:r w:rsidRPr="005E281B">
        <w:t xml:space="preserve"> of</w:t>
      </w:r>
      <w:r>
        <w:t xml:space="preserve"> th</w:t>
      </w:r>
      <w:r w:rsidR="00446F9B">
        <w:t xml:space="preserve">e </w:t>
      </w:r>
      <w:r w:rsidR="005E281B">
        <w:t>supplementary information provided with the submission to Panel (Tabled Document 150)</w:t>
      </w:r>
      <w:r w:rsidR="00E5559F">
        <w:t>. Ho</w:t>
      </w:r>
      <w:r>
        <w:t>wever</w:t>
      </w:r>
      <w:r w:rsidR="00E5559F">
        <w:t>, the VPA</w:t>
      </w:r>
      <w:r>
        <w:t xml:space="preserve"> has been</w:t>
      </w:r>
      <w:r w:rsidR="00E5559F">
        <w:t xml:space="preserve"> unsuccessful to date in</w:t>
      </w:r>
      <w:r>
        <w:t xml:space="preserve"> contact</w:t>
      </w:r>
      <w:r w:rsidR="00E5559F">
        <w:t>ing</w:t>
      </w:r>
      <w:r>
        <w:t xml:space="preserve"> the landowner of the property to the south which will be affected by the proposal. </w:t>
      </w:r>
    </w:p>
    <w:p w:rsidR="008A074E" w:rsidRDefault="008A074E" w:rsidP="003B4265">
      <w:r>
        <w:t xml:space="preserve">The VPA note that the submitter has liaised with APA GasNet in relation to the proposal, and that APA are broadly comfortable with the proposed shift, subject to certain conditions. </w:t>
      </w:r>
    </w:p>
    <w:p w:rsidR="008A074E" w:rsidRDefault="008A074E" w:rsidP="003B4265">
      <w:r>
        <w:t>The VPA submit that the Panel ought to recommend that the VPA liaise with the submitter, the landowner to the south and Hume City Council to progress this matter.</w:t>
      </w:r>
      <w:r w:rsidR="005E281B">
        <w:t xml:space="preserve"> </w:t>
      </w:r>
      <w:r>
        <w:t xml:space="preserve"> </w:t>
      </w:r>
    </w:p>
    <w:p w:rsidR="00CF1FAB" w:rsidRPr="008A074E" w:rsidRDefault="00CF1FAB" w:rsidP="00CF1FAB">
      <w:pPr>
        <w:pStyle w:val="Heading2"/>
      </w:pPr>
      <w:bookmarkStart w:id="47" w:name="_Toc496183277"/>
      <w:r w:rsidRPr="008A074E">
        <w:t>QOD Property Group Pty Ltd – Submission 59 (C208)</w:t>
      </w:r>
      <w:bookmarkEnd w:id="47"/>
    </w:p>
    <w:p w:rsidR="009B47B2" w:rsidRPr="008A074E" w:rsidRDefault="008A074E" w:rsidP="009B47B2">
      <w:pPr>
        <w:rPr>
          <w:rFonts w:ascii="VIC" w:hAnsi="VIC" w:cs="Arial"/>
          <w:color w:val="005EA1" w:themeColor="accent1"/>
          <w:sz w:val="22"/>
          <w:szCs w:val="22"/>
          <w:lang w:eastAsia="en-US"/>
        </w:rPr>
      </w:pPr>
      <w:r w:rsidRPr="008A074E">
        <w:rPr>
          <w:rFonts w:ascii="VIC" w:hAnsi="VIC" w:cs="Arial"/>
          <w:color w:val="005EA1" w:themeColor="accent1"/>
          <w:sz w:val="22"/>
          <w:szCs w:val="22"/>
          <w:lang w:eastAsia="en-US"/>
        </w:rPr>
        <w:t xml:space="preserve">Shared path along rail reserve and designation of plantation reserve </w:t>
      </w:r>
    </w:p>
    <w:p w:rsidR="00C8295E" w:rsidRPr="008A074E" w:rsidRDefault="008A074E" w:rsidP="008A074E">
      <w:r w:rsidRPr="008A074E">
        <w:t xml:space="preserve">The VPA agree to the requests for a </w:t>
      </w:r>
      <w:r w:rsidR="00FE40F5" w:rsidRPr="008A074E">
        <w:t>r</w:t>
      </w:r>
      <w:r w:rsidR="00702B21" w:rsidRPr="008A074E">
        <w:t>evision</w:t>
      </w:r>
      <w:r w:rsidR="003B6672" w:rsidRPr="008A074E">
        <w:t xml:space="preserve"> of the Balbethan Residential Concept Plan to incorporate </w:t>
      </w:r>
      <w:r w:rsidR="00702B21" w:rsidRPr="008A074E">
        <w:t xml:space="preserve">a shared path along the rail reserve from The Skyline to Raes Road, and amendment to the “Tree Reserve” designation to “Plantation Reserve” and “Plantation and </w:t>
      </w:r>
      <w:r w:rsidR="00C8295E" w:rsidRPr="008A074E">
        <w:t>Drainage Reserve” respectively</w:t>
      </w:r>
      <w:r>
        <w:t>.</w:t>
      </w:r>
    </w:p>
    <w:p w:rsidR="00B13AC4" w:rsidRPr="008A074E" w:rsidRDefault="008A074E" w:rsidP="008A074E">
      <w:r w:rsidRPr="008A074E">
        <w:t>T</w:t>
      </w:r>
      <w:r w:rsidR="00B02B9B" w:rsidRPr="008A074E">
        <w:t>he VPA considers all outstanding issues in relation to this submission have now been resolved.</w:t>
      </w:r>
      <w:r w:rsidR="003B6672" w:rsidRPr="008A074E">
        <w:t xml:space="preserve"> </w:t>
      </w:r>
    </w:p>
    <w:p w:rsidR="00CF1FAB" w:rsidRPr="008A074E" w:rsidRDefault="00CF1FAB" w:rsidP="00CF1FAB">
      <w:pPr>
        <w:pStyle w:val="Heading2"/>
      </w:pPr>
      <w:bookmarkStart w:id="48" w:name="_Toc496183278"/>
      <w:r w:rsidRPr="008A074E">
        <w:t>Ive, Danica, Nikola and Ljubica Kolceg – Submission 85 (C207)</w:t>
      </w:r>
      <w:bookmarkEnd w:id="48"/>
    </w:p>
    <w:p w:rsidR="001D2824" w:rsidRDefault="001D2824" w:rsidP="008616DF">
      <w:pPr>
        <w:rPr>
          <w:rFonts w:ascii="VIC" w:hAnsi="VIC" w:cs="Arial"/>
          <w:color w:val="005EA1" w:themeColor="accent1"/>
          <w:sz w:val="22"/>
          <w:szCs w:val="22"/>
          <w:lang w:eastAsia="en-US"/>
        </w:rPr>
      </w:pPr>
      <w:r>
        <w:rPr>
          <w:rFonts w:ascii="VIC" w:hAnsi="VIC" w:cs="Arial"/>
          <w:color w:val="005EA1" w:themeColor="accent1"/>
          <w:sz w:val="22"/>
          <w:szCs w:val="22"/>
          <w:lang w:eastAsia="en-US"/>
        </w:rPr>
        <w:t>Drainage Assets – WI-24</w:t>
      </w:r>
    </w:p>
    <w:p w:rsidR="008A074E" w:rsidRDefault="008A074E" w:rsidP="008A074E">
      <w:r>
        <w:t xml:space="preserve">The VPA submit that the Panel ought to recommend that the PSP be updated to reflect any amendments which are made by Melbourne Water to the Development Services Scheme prior to the adoption of the PSP. </w:t>
      </w:r>
    </w:p>
    <w:p w:rsidR="008616DF" w:rsidRPr="009B47B2" w:rsidRDefault="004F0BC3" w:rsidP="008616DF">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 xml:space="preserve">Harpers Creek and Fox Hollow </w:t>
      </w:r>
      <w:r w:rsidR="008E2FE0" w:rsidRPr="009B47B2">
        <w:rPr>
          <w:rFonts w:ascii="VIC" w:hAnsi="VIC" w:cs="Arial"/>
          <w:color w:val="005EA1" w:themeColor="accent1"/>
          <w:sz w:val="22"/>
          <w:szCs w:val="22"/>
          <w:lang w:eastAsia="en-US"/>
        </w:rPr>
        <w:t>Residential</w:t>
      </w:r>
      <w:r w:rsidRPr="009B47B2">
        <w:rPr>
          <w:rFonts w:ascii="VIC" w:hAnsi="VIC" w:cs="Arial"/>
          <w:color w:val="005EA1" w:themeColor="accent1"/>
          <w:sz w:val="22"/>
          <w:szCs w:val="22"/>
          <w:lang w:eastAsia="en-US"/>
        </w:rPr>
        <w:t xml:space="preserve"> Concept Plan – Level of Detail</w:t>
      </w:r>
      <w:r w:rsidR="00892437" w:rsidRPr="009B47B2">
        <w:rPr>
          <w:rFonts w:ascii="VIC" w:hAnsi="VIC" w:cs="Arial"/>
          <w:color w:val="005EA1" w:themeColor="accent1"/>
          <w:sz w:val="22"/>
          <w:szCs w:val="22"/>
          <w:lang w:eastAsia="en-US"/>
        </w:rPr>
        <w:t xml:space="preserve"> (including tree reserve)</w:t>
      </w:r>
    </w:p>
    <w:p w:rsidR="00271ED8" w:rsidRPr="00271ED8" w:rsidRDefault="00271ED8" w:rsidP="00271ED8">
      <w:pPr>
        <w:rPr>
          <w:lang w:eastAsia="en-US"/>
        </w:rPr>
      </w:pPr>
      <w:r w:rsidRPr="00271ED8">
        <w:rPr>
          <w:lang w:eastAsia="en-US"/>
        </w:rPr>
        <w:t>The VPA submits that the level of detail reflected in the updated concept plan is appropriate, but agrees that greater acknowledgement of its role and the capacity to vary the local subdivision design elements to the concept plan should be included within the PSP. The VPA would welcome a Panel recommendation that VPA draft additional guidance for inclusion within the PSP as to the status and level of discretion associated with all residential concept plans.</w:t>
      </w:r>
    </w:p>
    <w:p w:rsidR="004F0BC3" w:rsidRDefault="00FE6537" w:rsidP="008616DF">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 xml:space="preserve">R99 </w:t>
      </w:r>
      <w:r w:rsidR="00892437" w:rsidRPr="009B47B2">
        <w:rPr>
          <w:rFonts w:ascii="VIC" w:hAnsi="VIC" w:cs="Arial"/>
          <w:color w:val="005EA1" w:themeColor="accent1"/>
          <w:sz w:val="22"/>
          <w:szCs w:val="22"/>
          <w:lang w:eastAsia="en-US"/>
        </w:rPr>
        <w:t>–</w:t>
      </w:r>
      <w:r w:rsidRPr="009B47B2">
        <w:rPr>
          <w:rFonts w:ascii="VIC" w:hAnsi="VIC" w:cs="Arial"/>
          <w:color w:val="005EA1" w:themeColor="accent1"/>
          <w:sz w:val="22"/>
          <w:szCs w:val="22"/>
          <w:lang w:eastAsia="en-US"/>
        </w:rPr>
        <w:t xml:space="preserve"> </w:t>
      </w:r>
      <w:r w:rsidR="00892437" w:rsidRPr="009B47B2">
        <w:rPr>
          <w:rFonts w:ascii="VIC" w:hAnsi="VIC" w:cs="Arial"/>
          <w:color w:val="005EA1" w:themeColor="accent1"/>
          <w:sz w:val="22"/>
          <w:szCs w:val="22"/>
          <w:lang w:eastAsia="en-US"/>
        </w:rPr>
        <w:t>Access to Buckland Way or Fox Hollow Road only</w:t>
      </w:r>
    </w:p>
    <w:p w:rsidR="001D2824" w:rsidRDefault="009B47B2" w:rsidP="009B47B2">
      <w:pPr>
        <w:rPr>
          <w:lang w:eastAsia="en-US"/>
        </w:rPr>
      </w:pPr>
      <w:r>
        <w:rPr>
          <w:lang w:eastAsia="en-US"/>
        </w:rPr>
        <w:t>The VPA</w:t>
      </w:r>
      <w:r w:rsidR="00381A03">
        <w:rPr>
          <w:lang w:eastAsia="en-US"/>
        </w:rPr>
        <w:t xml:space="preserve"> agree with the request at Paragraph 31 of Ms Ancell’s written submission to Panel to add the wording “unless otherwise agreed with the responsible authority” to the end of Requirement 99 in the Sunbury South PSP. </w:t>
      </w:r>
    </w:p>
    <w:p w:rsidR="00892437" w:rsidRDefault="00B033A0" w:rsidP="008616DF">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Interface with Jacksons Hill cross section – shared path</w:t>
      </w:r>
    </w:p>
    <w:p w:rsidR="00271ED8" w:rsidRPr="00271ED8" w:rsidRDefault="00271ED8" w:rsidP="00271ED8">
      <w:pPr>
        <w:rPr>
          <w:lang w:eastAsia="en-US"/>
        </w:rPr>
      </w:pPr>
      <w:r w:rsidRPr="00271ED8">
        <w:rPr>
          <w:lang w:eastAsia="en-US"/>
        </w:rPr>
        <w:t xml:space="preserve">The VPA submits that the tree reserve and adjacent local road interface along the southern edge of Jacksons Creek area to the north of the Sunbury South PSP are existing features that provide a unique opportunity to provide a connection between the Harpers Creek and Jacksons Creek, and positively address a development interface with an existing area. </w:t>
      </w:r>
    </w:p>
    <w:p w:rsidR="00271ED8" w:rsidRPr="00271ED8" w:rsidRDefault="00271ED8" w:rsidP="00271ED8">
      <w:pPr>
        <w:rPr>
          <w:lang w:eastAsia="en-US"/>
        </w:rPr>
      </w:pPr>
      <w:r w:rsidRPr="00271ED8">
        <w:rPr>
          <w:lang w:eastAsia="en-US"/>
        </w:rPr>
        <w:t>The VPA agrees however that the shared path is an opportunity only, and that it would not necessarily be required subdivisional works. The VPA would support a notation on the relevant cross section to clarify that the opportunity exists for a future shared path, and that this would not necessarily be delivered in association with development within the precinct.</w:t>
      </w:r>
    </w:p>
    <w:p w:rsidR="00CF1FAB" w:rsidRDefault="00CF1FAB" w:rsidP="00CF1FAB">
      <w:pPr>
        <w:pStyle w:val="Heading2"/>
      </w:pPr>
      <w:bookmarkStart w:id="49" w:name="_Toc496183279"/>
      <w:r>
        <w:t>National Trust of Australia (Victoria) – Submission 61 (C208)</w:t>
      </w:r>
      <w:bookmarkEnd w:id="49"/>
    </w:p>
    <w:p w:rsidR="003B4265" w:rsidRPr="003B4265" w:rsidRDefault="003B4265" w:rsidP="003B4265">
      <w:pPr>
        <w:rPr>
          <w:highlight w:val="yellow"/>
        </w:rPr>
      </w:pPr>
      <w:r w:rsidRPr="009B47B2">
        <w:rPr>
          <w:rFonts w:ascii="VIC" w:hAnsi="VIC" w:cs="Arial"/>
          <w:color w:val="005EA1" w:themeColor="accent1"/>
          <w:sz w:val="22"/>
          <w:szCs w:val="22"/>
          <w:lang w:eastAsia="en-US"/>
        </w:rPr>
        <w:t>Northern Jacksons Creek Crossing</w:t>
      </w:r>
    </w:p>
    <w:p w:rsidR="009B47B2" w:rsidRPr="003B4265" w:rsidRDefault="009B47B2" w:rsidP="009B47B2">
      <w:r w:rsidRPr="00B17A37">
        <w:t>Refer Section</w:t>
      </w:r>
      <w:r w:rsidR="00B17A37" w:rsidRPr="00B17A37">
        <w:t xml:space="preserve"> 3.1</w:t>
      </w:r>
      <w:r w:rsidRPr="00B17A37">
        <w:t xml:space="preserve"> above.</w:t>
      </w:r>
      <w:r>
        <w:t xml:space="preserve"> </w:t>
      </w:r>
    </w:p>
    <w:p w:rsidR="003B4265" w:rsidRPr="009B47B2" w:rsidRDefault="003B4265" w:rsidP="003B4265">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Racecourse Road Design Controls</w:t>
      </w:r>
    </w:p>
    <w:p w:rsidR="00F36BA4" w:rsidRPr="00F36BA4" w:rsidRDefault="00F36BA4" w:rsidP="00F36BA4">
      <w:pPr>
        <w:rPr>
          <w:lang w:eastAsia="en-US"/>
        </w:rPr>
      </w:pPr>
      <w:r w:rsidRPr="00F36BA4">
        <w:rPr>
          <w:lang w:eastAsia="en-US"/>
        </w:rPr>
        <w:t>Refer to Section 3.3 with the exception of the following matters raised in Tabled Document 155:</w:t>
      </w:r>
    </w:p>
    <w:p w:rsidR="00F36BA4" w:rsidRPr="00F36BA4" w:rsidRDefault="00F36BA4" w:rsidP="00F36BA4">
      <w:pPr>
        <w:pStyle w:val="List1bullet"/>
        <w:rPr>
          <w:lang w:eastAsia="en-US"/>
        </w:rPr>
      </w:pPr>
      <w:r w:rsidRPr="00F36BA4">
        <w:rPr>
          <w:lang w:eastAsia="en-US"/>
        </w:rPr>
        <w:t>Paragraph 23 - Building envelopes and ensuring building works with the contour of the land.</w:t>
      </w:r>
    </w:p>
    <w:p w:rsidR="00F36BA4" w:rsidRPr="00F36BA4" w:rsidRDefault="00F36BA4" w:rsidP="00F36BA4">
      <w:pPr>
        <w:pStyle w:val="List1bullet"/>
        <w:numPr>
          <w:ilvl w:val="0"/>
          <w:numId w:val="0"/>
        </w:numPr>
        <w:ind w:left="1145"/>
        <w:rPr>
          <w:lang w:eastAsia="en-US"/>
        </w:rPr>
      </w:pPr>
      <w:r w:rsidRPr="00F36BA4">
        <w:rPr>
          <w:lang w:eastAsia="en-US"/>
        </w:rPr>
        <w:t>The VPA is satisfied that the combination of subdivisional works providing for lots on the upper side of lots to largely maintain their existing slope, with sites on the lower side to be cut will provide for a regular rhythm of built form across the hillside. On a prominent site such as this providing this regularity is more likely to visually reflect broad topography of the hillside. Requiring very specific lot level responses to topography is likely to result in a dis-jointed rhythm of built form that disrupts the visual integrity of the overall hillside as a complete landscape feature.</w:t>
      </w:r>
    </w:p>
    <w:p w:rsidR="00F36BA4" w:rsidRPr="00F36BA4" w:rsidRDefault="00F36BA4" w:rsidP="00F36BA4">
      <w:pPr>
        <w:pStyle w:val="List1bullet"/>
        <w:rPr>
          <w:lang w:eastAsia="en-US"/>
        </w:rPr>
      </w:pPr>
      <w:r w:rsidRPr="00F36BA4">
        <w:rPr>
          <w:lang w:eastAsia="en-US"/>
        </w:rPr>
        <w:t>Paragraph 25 – Providing a Council member to the Design Assessment Panel.</w:t>
      </w:r>
    </w:p>
    <w:p w:rsidR="00F36BA4" w:rsidRPr="00F36BA4" w:rsidRDefault="00F36BA4" w:rsidP="00F36BA4">
      <w:pPr>
        <w:pStyle w:val="List1bullet"/>
        <w:numPr>
          <w:ilvl w:val="0"/>
          <w:numId w:val="0"/>
        </w:numPr>
        <w:ind w:left="1145"/>
        <w:rPr>
          <w:lang w:eastAsia="en-US"/>
        </w:rPr>
      </w:pPr>
      <w:r w:rsidRPr="00F36BA4">
        <w:rPr>
          <w:lang w:eastAsia="en-US"/>
        </w:rPr>
        <w:t>The Design Assessment Panel (DAP) will be guided by guidelines approved by the responsible authority. These guidelines are informed by the subdivision application and proposed permit with conditions, the precinct structure plan and the PSPs informing documents and policy. This lineage is sufficient to ensure the design guidelines are an expression of the policy environment for this site.</w:t>
      </w:r>
    </w:p>
    <w:p w:rsidR="00F36BA4" w:rsidRPr="00F36BA4" w:rsidRDefault="00F36BA4" w:rsidP="00F36BA4">
      <w:pPr>
        <w:pStyle w:val="List1bullet"/>
        <w:numPr>
          <w:ilvl w:val="0"/>
          <w:numId w:val="0"/>
        </w:numPr>
        <w:ind w:left="1145"/>
        <w:rPr>
          <w:lang w:eastAsia="en-US"/>
        </w:rPr>
      </w:pPr>
      <w:r w:rsidRPr="00F36BA4">
        <w:rPr>
          <w:lang w:eastAsia="en-US"/>
        </w:rPr>
        <w:t>The VPA does not strongly oppose a Council representative on the DAP. However, we note that the Council, with the VPA and others, have had substantial input to policy development for the site as expressed in the PSP. We also note that Council may have a view as to whether they need to expend further resources on individual home design variations for a site that is already highly regulated on these matters.</w:t>
      </w:r>
    </w:p>
    <w:p w:rsidR="00F36BA4" w:rsidRPr="00F36BA4" w:rsidRDefault="00F36BA4" w:rsidP="00F36BA4">
      <w:pPr>
        <w:pStyle w:val="List1bullet"/>
        <w:rPr>
          <w:lang w:eastAsia="en-US"/>
        </w:rPr>
      </w:pPr>
      <w:r w:rsidRPr="00F36BA4">
        <w:rPr>
          <w:lang w:eastAsia="en-US"/>
        </w:rPr>
        <w:t>Paragraph 26 – Responsiveness to existing slope.</w:t>
      </w:r>
    </w:p>
    <w:p w:rsidR="00F36BA4" w:rsidRPr="00F36BA4" w:rsidRDefault="00F36BA4" w:rsidP="00F36BA4">
      <w:pPr>
        <w:pStyle w:val="List1bullet"/>
        <w:numPr>
          <w:ilvl w:val="0"/>
          <w:numId w:val="0"/>
        </w:numPr>
        <w:ind w:left="1145"/>
        <w:rPr>
          <w:lang w:eastAsia="en-US"/>
        </w:rPr>
      </w:pPr>
      <w:r w:rsidRPr="00F36BA4">
        <w:rPr>
          <w:lang w:eastAsia="en-US"/>
        </w:rPr>
        <w:t>The VPA supports the inclusion of a ‘consideration’ as to existing slope and visual connections across the landscape into the design guidelines.</w:t>
      </w:r>
    </w:p>
    <w:p w:rsidR="00F36BA4" w:rsidRPr="00F36BA4" w:rsidRDefault="00F36BA4" w:rsidP="00F36BA4">
      <w:pPr>
        <w:pStyle w:val="List1bullet"/>
        <w:rPr>
          <w:lang w:eastAsia="en-US"/>
        </w:rPr>
      </w:pPr>
      <w:r w:rsidRPr="00F36BA4">
        <w:rPr>
          <w:lang w:eastAsia="en-US"/>
        </w:rPr>
        <w:t>Paragraph 27 – Dwelling articulation.</w:t>
      </w:r>
    </w:p>
    <w:p w:rsidR="00F36BA4" w:rsidRPr="00F36BA4" w:rsidRDefault="00F36BA4" w:rsidP="00F36BA4">
      <w:pPr>
        <w:pStyle w:val="List1bullet"/>
        <w:numPr>
          <w:ilvl w:val="0"/>
          <w:numId w:val="0"/>
        </w:numPr>
        <w:ind w:left="1145"/>
        <w:rPr>
          <w:lang w:eastAsia="en-US"/>
        </w:rPr>
      </w:pPr>
      <w:r w:rsidRPr="00F36BA4">
        <w:rPr>
          <w:lang w:eastAsia="en-US"/>
        </w:rPr>
        <w:t>There is no evidence that ordinary elements of a house frontage such as porticos and the like are likely to be detrimentally ‘conspicuous or dominating’ when viewed from the surrounding landscape. Such articulation is designed to enliven the presentation of a building at the micro level e.g. when viewed from the immediate street frontage. These elements, particularly as they are to be designed at the same time as the body of the dwelling, are highly unlikely to be distinguishable from the body of a dwelling in a long view scenario.</w:t>
      </w:r>
    </w:p>
    <w:p w:rsidR="00F36BA4" w:rsidRPr="00F36BA4" w:rsidRDefault="00F36BA4" w:rsidP="00F36BA4">
      <w:pPr>
        <w:pStyle w:val="List1bullet"/>
        <w:rPr>
          <w:lang w:eastAsia="en-US"/>
        </w:rPr>
      </w:pPr>
      <w:r w:rsidRPr="00F36BA4">
        <w:rPr>
          <w:lang w:eastAsia="en-US"/>
        </w:rPr>
        <w:t>Paragraph 27 – Site coverage.</w:t>
      </w:r>
    </w:p>
    <w:p w:rsidR="00F36BA4" w:rsidRPr="00F36BA4" w:rsidRDefault="00F36BA4" w:rsidP="00F36BA4">
      <w:pPr>
        <w:pStyle w:val="List1bullet"/>
        <w:numPr>
          <w:ilvl w:val="0"/>
          <w:numId w:val="0"/>
        </w:numPr>
        <w:ind w:left="1145"/>
        <w:rPr>
          <w:lang w:eastAsia="en-US"/>
        </w:rPr>
      </w:pPr>
      <w:r w:rsidRPr="00F36BA4">
        <w:rPr>
          <w:lang w:eastAsia="en-US"/>
        </w:rPr>
        <w:t>There are no demonstrated issues with drainage on the site that would require additional pervious surface. Both Melbourne Water and Council appear satisfied that drainage of the site is sustainable.</w:t>
      </w:r>
    </w:p>
    <w:p w:rsidR="00F36BA4" w:rsidRPr="00F36BA4" w:rsidRDefault="00F36BA4" w:rsidP="00F36BA4">
      <w:pPr>
        <w:pStyle w:val="List1bullet"/>
        <w:rPr>
          <w:lang w:eastAsia="en-US"/>
        </w:rPr>
      </w:pPr>
      <w:r w:rsidRPr="00F36BA4">
        <w:rPr>
          <w:lang w:eastAsia="en-US"/>
        </w:rPr>
        <w:t>Paragraph 29-32 – Built form.</w:t>
      </w:r>
    </w:p>
    <w:p w:rsidR="00F36BA4" w:rsidRPr="00F36BA4" w:rsidRDefault="00F36BA4" w:rsidP="00F36BA4">
      <w:pPr>
        <w:pStyle w:val="List1bullet"/>
        <w:numPr>
          <w:ilvl w:val="0"/>
          <w:numId w:val="0"/>
        </w:numPr>
        <w:ind w:left="1145"/>
        <w:rPr>
          <w:lang w:eastAsia="en-US"/>
        </w:rPr>
      </w:pPr>
      <w:r w:rsidRPr="00F36BA4">
        <w:rPr>
          <w:lang w:eastAsia="en-US"/>
        </w:rPr>
        <w:t>National Trust’s proposal that built form be ‘recessive within the landscape’ is already achieved to varying degrees by the overall composition of the subdivision. The development area has been reduced to only the hillside, the road layout hugs the contours of the hill to allow for screening vegetation and reduced visibility of road surfaces and lots on the lower side of blocks will be cut to allow dwellings to sit back into the hillside. However the suggestion that upper storeys be subject to setbacks from the ground floor walls may assist in achieving the objective of space between buildings.</w:t>
      </w:r>
    </w:p>
    <w:p w:rsidR="00F36BA4" w:rsidRPr="00F36BA4" w:rsidRDefault="00F36BA4" w:rsidP="00F36BA4">
      <w:pPr>
        <w:pStyle w:val="List1bullet"/>
        <w:numPr>
          <w:ilvl w:val="0"/>
          <w:numId w:val="0"/>
        </w:numPr>
        <w:ind w:left="1145"/>
        <w:rPr>
          <w:lang w:eastAsia="en-US"/>
        </w:rPr>
      </w:pPr>
      <w:r w:rsidRPr="00F36BA4">
        <w:rPr>
          <w:lang w:eastAsia="en-US"/>
        </w:rPr>
        <w:t>On balance the VPA does not consider it unacceptable that some built form will be visible on this hillside. The land is within an established township. While it sits adjacent a significant landscape feature, it follows a history of development alongside, and in the case of the Rupertswood complex in Jackson Creek. The significant dimensions and ample views of the Jackson Creek valley are unlikely to be significantly detracted from by some visible development on this hillside.</w:t>
      </w:r>
    </w:p>
    <w:p w:rsidR="00F36BA4" w:rsidRPr="00F36BA4" w:rsidRDefault="00F36BA4" w:rsidP="00F36BA4">
      <w:pPr>
        <w:pStyle w:val="List1bullet"/>
        <w:rPr>
          <w:lang w:eastAsia="en-US"/>
        </w:rPr>
      </w:pPr>
      <w:r w:rsidRPr="00F36BA4">
        <w:rPr>
          <w:lang w:eastAsia="en-US"/>
        </w:rPr>
        <w:t>Paragraph 34 – Landscaping and tree protection.</w:t>
      </w:r>
    </w:p>
    <w:p w:rsidR="00F36BA4" w:rsidRPr="00F36BA4" w:rsidRDefault="00F36BA4" w:rsidP="00F36BA4">
      <w:pPr>
        <w:pStyle w:val="List1bullet"/>
        <w:numPr>
          <w:ilvl w:val="0"/>
          <w:numId w:val="0"/>
        </w:numPr>
        <w:ind w:left="1145"/>
        <w:rPr>
          <w:lang w:eastAsia="en-US"/>
        </w:rPr>
      </w:pPr>
      <w:r w:rsidRPr="00F36BA4">
        <w:rPr>
          <w:lang w:eastAsia="en-US"/>
        </w:rPr>
        <w:t>As suggested by the National landscaping on private lots will aid the aims of ensuring the development is sympathetic to the surrounding landscape.</w:t>
      </w:r>
    </w:p>
    <w:p w:rsidR="00F36BA4" w:rsidRDefault="00F36BA4" w:rsidP="00F36BA4">
      <w:pPr>
        <w:pStyle w:val="List1bullet"/>
        <w:numPr>
          <w:ilvl w:val="0"/>
          <w:numId w:val="0"/>
        </w:numPr>
        <w:ind w:left="1145"/>
        <w:rPr>
          <w:lang w:eastAsia="en-US"/>
        </w:rPr>
      </w:pPr>
      <w:r w:rsidRPr="00F36BA4">
        <w:rPr>
          <w:lang w:eastAsia="en-US"/>
        </w:rPr>
        <w:t>The difficulty in such an approach is largely one of enforcement and individual preference. The prospect of council officers entering private yards to locate and measure individual trees seems excessive. Gardens on residential lots are a place of private retreat and, albeit their overall area is to be managed as a corollary of built form controls and tree planting is encouraged, they should not be subject to detailed enforcement as to their internal composition. This is particularly the case here where the lots are part of a master-planned development including public streets and green spaces providing ample opportunity to establish substantial trees in a more sustainable long-term setting.</w:t>
      </w:r>
    </w:p>
    <w:p w:rsidR="00B17A37" w:rsidRDefault="00B17A37" w:rsidP="00B17A37">
      <w:pPr>
        <w:rPr>
          <w:rFonts w:ascii="VIC" w:hAnsi="VIC" w:cs="Arial"/>
          <w:color w:val="005EA1" w:themeColor="accent1"/>
          <w:sz w:val="22"/>
          <w:szCs w:val="22"/>
          <w:lang w:eastAsia="en-US"/>
        </w:rPr>
      </w:pPr>
      <w:r w:rsidRPr="003A352B">
        <w:rPr>
          <w:rFonts w:ascii="VIC" w:hAnsi="VIC" w:cs="Arial"/>
          <w:color w:val="005EA1" w:themeColor="accent1"/>
          <w:sz w:val="22"/>
          <w:szCs w:val="22"/>
          <w:lang w:eastAsia="en-US"/>
        </w:rPr>
        <w:t>Revised ex</w:t>
      </w:r>
      <w:r>
        <w:rPr>
          <w:rFonts w:ascii="VIC" w:hAnsi="VIC" w:cs="Arial"/>
          <w:color w:val="005EA1" w:themeColor="accent1"/>
          <w:sz w:val="22"/>
          <w:szCs w:val="22"/>
          <w:lang w:eastAsia="en-US"/>
        </w:rPr>
        <w:t>tent of development</w:t>
      </w:r>
    </w:p>
    <w:p w:rsidR="00B17A37" w:rsidRDefault="00B17A37" w:rsidP="00B17A37">
      <w:r>
        <w:t>The VPA notes National Trust’s support for the revised extent of development allowed for in the PSP and reflected in the planning permit application.</w:t>
      </w:r>
    </w:p>
    <w:p w:rsidR="00B17A37" w:rsidRPr="00585A2E" w:rsidRDefault="003A352B" w:rsidP="00B17A37">
      <w:pPr>
        <w:rPr>
          <w:rFonts w:ascii="VIC" w:hAnsi="VIC" w:cs="Arial"/>
          <w:color w:val="005EA1" w:themeColor="accent1"/>
          <w:sz w:val="22"/>
          <w:szCs w:val="22"/>
          <w:lang w:eastAsia="en-US"/>
        </w:rPr>
      </w:pPr>
      <w:r>
        <w:rPr>
          <w:rFonts w:ascii="VIC" w:hAnsi="VIC" w:cs="Arial"/>
          <w:color w:val="005EA1" w:themeColor="accent1"/>
          <w:sz w:val="22"/>
          <w:szCs w:val="22"/>
          <w:lang w:eastAsia="en-US"/>
        </w:rPr>
        <w:t>Local p</w:t>
      </w:r>
      <w:r w:rsidR="00B17A37" w:rsidRPr="00585A2E">
        <w:rPr>
          <w:rFonts w:ascii="VIC" w:hAnsi="VIC" w:cs="Arial"/>
          <w:color w:val="005EA1" w:themeColor="accent1"/>
          <w:sz w:val="22"/>
          <w:szCs w:val="22"/>
          <w:lang w:eastAsia="en-US"/>
        </w:rPr>
        <w:t>ark on</w:t>
      </w:r>
      <w:r>
        <w:rPr>
          <w:rFonts w:ascii="VIC" w:hAnsi="VIC" w:cs="Arial"/>
          <w:color w:val="005EA1" w:themeColor="accent1"/>
          <w:sz w:val="22"/>
          <w:szCs w:val="22"/>
          <w:lang w:eastAsia="en-US"/>
        </w:rPr>
        <w:t xml:space="preserve"> the</w:t>
      </w:r>
      <w:r w:rsidR="00B17A37" w:rsidRPr="00585A2E">
        <w:rPr>
          <w:rFonts w:ascii="VIC" w:hAnsi="VIC" w:cs="Arial"/>
          <w:color w:val="005EA1" w:themeColor="accent1"/>
          <w:sz w:val="22"/>
          <w:szCs w:val="22"/>
          <w:lang w:eastAsia="en-US"/>
        </w:rPr>
        <w:t xml:space="preserve"> valley floor </w:t>
      </w:r>
    </w:p>
    <w:p w:rsidR="003A352B" w:rsidRPr="003A352B" w:rsidRDefault="009C7B20" w:rsidP="00B17A37">
      <w:r>
        <w:t xml:space="preserve">At Paragraph 14 of their submission, the National Trust indicate that the passive open space (LP-14) does not sufficiently respond to the undulating landform of the precinct. </w:t>
      </w:r>
      <w:r w:rsidR="003A352B" w:rsidRPr="003A352B">
        <w:t>The VPA do</w:t>
      </w:r>
      <w:r w:rsidR="00B17A37" w:rsidRPr="003A352B">
        <w:t xml:space="preserve"> not agree that </w:t>
      </w:r>
      <w:r>
        <w:t>the</w:t>
      </w:r>
      <w:r w:rsidR="00B17A37" w:rsidRPr="003A352B">
        <w:t xml:space="preserve"> local park on the valley floor would present an unacceptable detriment to the visual or ecological landscape. Visually the proposed 0.75ha park will be dwarfed by the relatively enormous scale and dramatic composition of the valley.</w:t>
      </w:r>
    </w:p>
    <w:p w:rsidR="003A352B" w:rsidRPr="003A352B" w:rsidRDefault="00B17A37" w:rsidP="00B17A37">
      <w:r w:rsidRPr="003A352B">
        <w:t>Ecologically, Commonwealth and State government ecology advisers and approval provide for planned local parks to be located adjacent conservation areas subject to specific performance and design provisions described in the ‘Biodiversity and threatened species’ section and the ‘conservation area concept plans’ in the Lancefield Road PSP.</w:t>
      </w:r>
      <w:r w:rsidR="003A352B" w:rsidRPr="003A352B">
        <w:t xml:space="preserve"> </w:t>
      </w:r>
    </w:p>
    <w:p w:rsidR="00B17A37" w:rsidRPr="00585A2E" w:rsidRDefault="00B17A37" w:rsidP="00B17A37">
      <w:pPr>
        <w:rPr>
          <w:rFonts w:ascii="VIC" w:hAnsi="VIC" w:cs="Arial"/>
          <w:color w:val="005EA1" w:themeColor="accent1"/>
          <w:sz w:val="22"/>
          <w:szCs w:val="22"/>
          <w:lang w:eastAsia="en-US"/>
        </w:rPr>
      </w:pPr>
      <w:r w:rsidRPr="00585A2E">
        <w:rPr>
          <w:rFonts w:ascii="VIC" w:hAnsi="VIC" w:cs="Arial"/>
          <w:color w:val="005EA1" w:themeColor="accent1"/>
          <w:sz w:val="22"/>
          <w:szCs w:val="22"/>
          <w:lang w:eastAsia="en-US"/>
        </w:rPr>
        <w:t>‘Green fingers’ concept from Czarny evidence</w:t>
      </w:r>
    </w:p>
    <w:p w:rsidR="00B17A37" w:rsidRPr="008C040C" w:rsidRDefault="008C040C" w:rsidP="008C040C">
      <w:r w:rsidRPr="008C040C">
        <w:t xml:space="preserve">Paragraph 15 of the National Trust submission notes support for Mr Czarny’s concept of four lines of visual and physical linkages. </w:t>
      </w:r>
      <w:r w:rsidR="00B17A37" w:rsidRPr="008C040C">
        <w:t xml:space="preserve">The </w:t>
      </w:r>
      <w:r w:rsidRPr="008C040C">
        <w:t xml:space="preserve">VPA note that the </w:t>
      </w:r>
      <w:r w:rsidR="00B17A37" w:rsidRPr="008C040C">
        <w:t>revised subdivision plan for the land provides four direct visual links between Racecourse Road or the top of the hill and the valley</w:t>
      </w:r>
      <w:r w:rsidRPr="008C040C">
        <w:t>, being</w:t>
      </w:r>
      <w:r w:rsidR="00B17A37" w:rsidRPr="008C040C">
        <w:t xml:space="preserve">: </w:t>
      </w:r>
    </w:p>
    <w:p w:rsidR="00B17A37" w:rsidRPr="008C040C" w:rsidRDefault="00B17A37" w:rsidP="00814C2B">
      <w:pPr>
        <w:pStyle w:val="List1number"/>
        <w:numPr>
          <w:ilvl w:val="0"/>
          <w:numId w:val="13"/>
        </w:numPr>
      </w:pPr>
      <w:r w:rsidRPr="008C040C">
        <w:t>At 34m wide Elizabeth Drive will present a wide vista down the hill to the valley. Dwellings are set back a further 7m dwelling on either side.</w:t>
      </w:r>
    </w:p>
    <w:p w:rsidR="00B17A37" w:rsidRPr="008C040C" w:rsidRDefault="00B17A37" w:rsidP="00814C2B">
      <w:pPr>
        <w:pStyle w:val="List1number"/>
        <w:numPr>
          <w:ilvl w:val="0"/>
          <w:numId w:val="13"/>
        </w:numPr>
      </w:pPr>
      <w:r w:rsidRPr="008C040C">
        <w:t>The southern waterway and abutting streets now provide a 79m wide uninterrupted line-of-sight between Racecourse Road and the valley including the waterway open space. Dwellings are set back a further 7m dwelling on either side.</w:t>
      </w:r>
    </w:p>
    <w:p w:rsidR="00B17A37" w:rsidRPr="008C040C" w:rsidRDefault="00B17A37" w:rsidP="00814C2B">
      <w:pPr>
        <w:pStyle w:val="List1number"/>
        <w:numPr>
          <w:ilvl w:val="0"/>
          <w:numId w:val="13"/>
        </w:numPr>
      </w:pPr>
      <w:r w:rsidRPr="008C040C">
        <w:t>A 16m local street providing a direct view from Racecourse Road through to the billabong at Emu Bottom wetlands.</w:t>
      </w:r>
    </w:p>
    <w:p w:rsidR="00B17A37" w:rsidRPr="008C040C" w:rsidRDefault="00B17A37" w:rsidP="00814C2B">
      <w:pPr>
        <w:pStyle w:val="List1number"/>
        <w:numPr>
          <w:ilvl w:val="0"/>
          <w:numId w:val="13"/>
        </w:numPr>
      </w:pPr>
      <w:r w:rsidRPr="008C040C">
        <w:t>A second shorter 16m local street parallel to the above local street and providing the same aspect.</w:t>
      </w:r>
    </w:p>
    <w:p w:rsidR="00B17A37" w:rsidRPr="008C040C" w:rsidRDefault="00B17A37" w:rsidP="008C040C">
      <w:r w:rsidRPr="008C040C">
        <w:t>Further views to the valley will likely be available at certain points along the 18m local road banding around the hill as the land below this street falls away quite quickly.</w:t>
      </w:r>
    </w:p>
    <w:p w:rsidR="00B17A37" w:rsidRPr="00A856B1" w:rsidRDefault="00B17A37" w:rsidP="008C040C">
      <w:r w:rsidRPr="00A856B1">
        <w:t>It is true than no additional visual/open space link is provide in the ‘southern quadrant’ as per the Czarny evidence. This is an attractive option in the plan view. However, the steeper terrain in this area will inhibit movement directly up and down the hill, and the reconfigured southern waterway now provides more direct access to open space than previous plans. There is now less than 200m between Elizabeth Drive and the southern waterway for most of its length resulting in no-one being more than 100m from a ‘green finger’. On balance, additional open space risks over-providing for this area.</w:t>
      </w:r>
    </w:p>
    <w:p w:rsidR="00B17A37" w:rsidRPr="00003EAC" w:rsidRDefault="00B17A37" w:rsidP="00B17A37">
      <w:pPr>
        <w:rPr>
          <w:highlight w:val="yellow"/>
        </w:rPr>
      </w:pPr>
      <w:r w:rsidRPr="00585A2E">
        <w:rPr>
          <w:rFonts w:ascii="VIC" w:hAnsi="VIC" w:cs="Arial"/>
          <w:color w:val="005EA1" w:themeColor="accent1"/>
          <w:sz w:val="22"/>
          <w:szCs w:val="22"/>
          <w:lang w:eastAsia="en-US"/>
        </w:rPr>
        <w:t>The interface of the development with the valley</w:t>
      </w:r>
    </w:p>
    <w:p w:rsidR="00B17A37" w:rsidRPr="00A15ACE" w:rsidRDefault="005E0E27" w:rsidP="00B17A37">
      <w:r w:rsidRPr="00A15ACE">
        <w:t xml:space="preserve">The National Trust, at Paragraph 16 of their submission, submit that the boundary between the edge of development and the valley floor should be carefully managed in line with current best practice, be publically accessible, and not create a barrier for the landscape. </w:t>
      </w:r>
      <w:r w:rsidR="00B17A37" w:rsidRPr="00A15ACE">
        <w:t xml:space="preserve">The VPA is satisfied that the proposed public road interface shown in the application plans </w:t>
      </w:r>
      <w:r w:rsidR="00542FBC" w:rsidRPr="00A15ACE">
        <w:t xml:space="preserve">achieves this outcome. </w:t>
      </w:r>
      <w:r w:rsidR="00B17A37" w:rsidRPr="00A15ACE">
        <w:t xml:space="preserve">Council and the applicant can provide further detail around the interface treatment through landscape requirements under permit. </w:t>
      </w:r>
    </w:p>
    <w:p w:rsidR="00B17A37" w:rsidRPr="00A15ACE" w:rsidRDefault="00B17A37" w:rsidP="00B17A37">
      <w:r w:rsidRPr="00A15ACE">
        <w:t>Notably, this is the first development along the entire easte</w:t>
      </w:r>
      <w:r w:rsidR="00A15ACE" w:rsidRPr="00A15ACE">
        <w:t>rn side of Jacksons Creek, excepting</w:t>
      </w:r>
      <w:r w:rsidRPr="00A15ACE">
        <w:t xml:space="preserve"> some very short stretches of local roads north and south Sunbury town centre, that directly address</w:t>
      </w:r>
      <w:r w:rsidR="00A15ACE" w:rsidRPr="00A15ACE">
        <w:t>es</w:t>
      </w:r>
      <w:r w:rsidRPr="00A15ACE">
        <w:t xml:space="preserve"> and bring</w:t>
      </w:r>
      <w:r w:rsidR="00A15ACE" w:rsidRPr="00A15ACE">
        <w:t>s</w:t>
      </w:r>
      <w:r w:rsidRPr="00A15ACE">
        <w:t xml:space="preserve"> the valley directly into the public’s experience of Sunbury.</w:t>
      </w:r>
    </w:p>
    <w:p w:rsidR="00B17A37" w:rsidRPr="00A15ACE" w:rsidRDefault="00B17A37" w:rsidP="00B17A37">
      <w:r w:rsidRPr="00A15ACE">
        <w:t>National Trust’s proposed interpretation plan is a suitable requirement provided its scope is clear. Aborig</w:t>
      </w:r>
      <w:r w:rsidR="00A15ACE" w:rsidRPr="00A15ACE">
        <w:t>inal cultural heritage, the Can</w:t>
      </w:r>
      <w:r w:rsidRPr="00A15ACE">
        <w:t xml:space="preserve">on Gully site and its associated land are all to be subdivided </w:t>
      </w:r>
      <w:r w:rsidR="00A15ACE" w:rsidRPr="00A15ACE">
        <w:t xml:space="preserve">out of the development area and </w:t>
      </w:r>
      <w:r w:rsidRPr="00A15ACE">
        <w:t>into lots that are unlikely to experience further subdivision. In light of the development rights being granted for this land, it is an appropriate point at which to interpret the newly public landscape and its cultural history. VPA will consult with Hume City Council to formulate a suitable condition.</w:t>
      </w:r>
    </w:p>
    <w:p w:rsidR="00CF1FAB" w:rsidRDefault="00CF1FAB" w:rsidP="00CF1FAB">
      <w:pPr>
        <w:pStyle w:val="Heading2"/>
      </w:pPr>
      <w:bookmarkStart w:id="50" w:name="_Toc496183280"/>
      <w:r>
        <w:t>Foschia Family – Submission 91 (C208)</w:t>
      </w:r>
      <w:bookmarkEnd w:id="50"/>
    </w:p>
    <w:p w:rsidR="009B47B2" w:rsidRPr="009B47B2" w:rsidRDefault="009B47B2" w:rsidP="009B47B2">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Conservation Area 18 boundary</w:t>
      </w:r>
    </w:p>
    <w:p w:rsidR="009B47B2" w:rsidRPr="00AD0140" w:rsidRDefault="00AD0140" w:rsidP="009B47B2">
      <w:pPr>
        <w:rPr>
          <w:lang w:eastAsia="en-US"/>
        </w:rPr>
      </w:pPr>
      <w:r>
        <w:rPr>
          <w:lang w:eastAsia="en-US"/>
        </w:rPr>
        <w:t xml:space="preserve">The submission sought to confirm that the land which will be removed from Conservation Area 18, should the Commonwealth approve the boundary change, then that land will revert to residential land. The VPA has confirmed that this is the case. </w:t>
      </w:r>
      <w:r w:rsidR="009B47B2">
        <w:rPr>
          <w:lang w:eastAsia="en-US"/>
        </w:rPr>
        <w:t xml:space="preserve">The VPA submits the Panel ought to recommend no change to the exhibited </w:t>
      </w:r>
      <w:r w:rsidR="009B47B2" w:rsidRPr="00AD0140">
        <w:rPr>
          <w:lang w:eastAsia="en-US"/>
        </w:rPr>
        <w:t xml:space="preserve">PSP. </w:t>
      </w:r>
    </w:p>
    <w:p w:rsidR="00CF1FAB" w:rsidRPr="00AD0140" w:rsidRDefault="00CF1FAB" w:rsidP="00CF1FAB">
      <w:pPr>
        <w:pStyle w:val="Heading2"/>
      </w:pPr>
      <w:bookmarkStart w:id="51" w:name="_Toc496183281"/>
      <w:r w:rsidRPr="00AD0140">
        <w:t>Asia-Pacific Property Pty Ltd – Submission 39 (C207)</w:t>
      </w:r>
      <w:bookmarkEnd w:id="51"/>
    </w:p>
    <w:p w:rsidR="007C17D5" w:rsidRDefault="00F953F9" w:rsidP="007C17D5">
      <w:pPr>
        <w:rPr>
          <w:rFonts w:ascii="VIC" w:hAnsi="VIC" w:cs="Arial"/>
          <w:color w:val="005EA1" w:themeColor="accent1"/>
          <w:sz w:val="22"/>
          <w:szCs w:val="22"/>
          <w:lang w:eastAsia="en-US"/>
        </w:rPr>
      </w:pPr>
      <w:r w:rsidRPr="008A074E">
        <w:rPr>
          <w:rFonts w:ascii="VIC" w:hAnsi="VIC" w:cs="Arial"/>
          <w:color w:val="005EA1" w:themeColor="accent1"/>
          <w:sz w:val="22"/>
          <w:szCs w:val="22"/>
          <w:lang w:eastAsia="en-US"/>
        </w:rPr>
        <w:t>Alternate l</w:t>
      </w:r>
      <w:r w:rsidR="002747FE" w:rsidRPr="008A074E">
        <w:rPr>
          <w:rFonts w:ascii="VIC" w:hAnsi="VIC" w:cs="Arial"/>
          <w:color w:val="005EA1" w:themeColor="accent1"/>
          <w:sz w:val="22"/>
          <w:szCs w:val="22"/>
          <w:lang w:eastAsia="en-US"/>
        </w:rPr>
        <w:t>ocation of the Break of Slope</w:t>
      </w:r>
    </w:p>
    <w:p w:rsidR="00370E9F" w:rsidRPr="00AD0140" w:rsidRDefault="00AD0140" w:rsidP="007C17D5">
      <w:pPr>
        <w:rPr>
          <w:lang w:eastAsia="en-US"/>
        </w:rPr>
      </w:pPr>
      <w:r w:rsidRPr="00AD0140">
        <w:rPr>
          <w:lang w:eastAsia="en-US"/>
        </w:rPr>
        <w:t xml:space="preserve">The submitter is seeking a review of the break of slope. </w:t>
      </w:r>
      <w:r>
        <w:rPr>
          <w:lang w:eastAsia="en-US"/>
        </w:rPr>
        <w:t>This was discussed earlier in this submission (</w:t>
      </w:r>
      <w:r w:rsidRPr="00AD0140">
        <w:rPr>
          <w:lang w:eastAsia="en-US"/>
        </w:rPr>
        <w:t xml:space="preserve">Refer </w:t>
      </w:r>
      <w:r>
        <w:rPr>
          <w:lang w:eastAsia="en-US"/>
        </w:rPr>
        <w:t>Section 3.11)</w:t>
      </w:r>
      <w:r w:rsidRPr="00AD0140">
        <w:rPr>
          <w:lang w:eastAsia="en-US"/>
        </w:rPr>
        <w:t xml:space="preserve">. </w:t>
      </w:r>
    </w:p>
    <w:p w:rsidR="00CF1FAB" w:rsidRDefault="00CF1FAB" w:rsidP="00CF1FAB">
      <w:pPr>
        <w:pStyle w:val="Heading2"/>
      </w:pPr>
      <w:bookmarkStart w:id="52" w:name="_Toc496183282"/>
      <w:r>
        <w:t>Catholic Education Melbourne – Submission 56 (C207)</w:t>
      </w:r>
      <w:bookmarkEnd w:id="52"/>
    </w:p>
    <w:p w:rsidR="005962AF" w:rsidRPr="00F60F94" w:rsidRDefault="00F60F94" w:rsidP="005962AF">
      <w:pPr>
        <w:rPr>
          <w:rFonts w:ascii="VIC" w:hAnsi="VIC" w:cs="Arial"/>
          <w:color w:val="005EA1" w:themeColor="accent1"/>
          <w:sz w:val="22"/>
          <w:szCs w:val="22"/>
          <w:lang w:eastAsia="en-US"/>
        </w:rPr>
      </w:pPr>
      <w:r w:rsidRPr="00F60F94">
        <w:rPr>
          <w:rFonts w:ascii="VIC" w:hAnsi="VIC" w:cs="Arial"/>
          <w:color w:val="005EA1" w:themeColor="accent1"/>
          <w:sz w:val="22"/>
          <w:szCs w:val="22"/>
          <w:lang w:eastAsia="en-US"/>
        </w:rPr>
        <w:t>Designation of non-government schools</w:t>
      </w:r>
    </w:p>
    <w:p w:rsidR="00F60F94" w:rsidRDefault="00C20D24" w:rsidP="005962AF">
      <w:pPr>
        <w:rPr>
          <w:lang w:eastAsia="en-US"/>
        </w:rPr>
      </w:pPr>
      <w:r w:rsidRPr="006C1E5C">
        <w:rPr>
          <w:lang w:eastAsia="en-US"/>
        </w:rPr>
        <w:t>Refer Section 3.12</w:t>
      </w:r>
      <w:r w:rsidR="00F60F94" w:rsidRPr="006C1E5C">
        <w:rPr>
          <w:lang w:eastAsia="en-US"/>
        </w:rPr>
        <w:t xml:space="preserve"> above fo</w:t>
      </w:r>
      <w:r w:rsidR="00F60F94">
        <w:rPr>
          <w:lang w:eastAsia="en-US"/>
        </w:rPr>
        <w:t xml:space="preserve">r VPA position on this matter. </w:t>
      </w:r>
    </w:p>
    <w:p w:rsidR="005962AF" w:rsidRPr="00EA1176" w:rsidRDefault="005962AF" w:rsidP="005962AF">
      <w:pPr>
        <w:rPr>
          <w:rFonts w:cs="Arial"/>
          <w:sz w:val="22"/>
          <w:szCs w:val="22"/>
        </w:rPr>
      </w:pPr>
      <w:r w:rsidRPr="005962AF">
        <w:rPr>
          <w:lang w:eastAsia="en-US"/>
        </w:rPr>
        <w:t>The submission of the CEOM indicates an alternate position that all schools, including government schools should be left with a ‘vanilla’ designation of ‘school’.  In the limited time since the submission of the CEOM the VPA has not had the opportunity to explore this issue with the Department of Education.  If the Panel was of the view this approach had some merit, notwithstanding the logic expressed above, it could recommend that the VPA engage in these discussions with the Department of Education in order to ascertain its views and to permit consideration of the appropriateness of this action.</w:t>
      </w:r>
      <w:r>
        <w:rPr>
          <w:rFonts w:cs="Arial"/>
          <w:sz w:val="22"/>
          <w:szCs w:val="22"/>
        </w:rPr>
        <w:t xml:space="preserve">  </w:t>
      </w:r>
    </w:p>
    <w:p w:rsidR="00CF1FAB" w:rsidRDefault="00CF1FAB" w:rsidP="00CF1FAB">
      <w:pPr>
        <w:pStyle w:val="Heading2"/>
      </w:pPr>
      <w:bookmarkStart w:id="53" w:name="_Toc496183283"/>
      <w:r>
        <w:t>Mr Trevor Dance – Submission 83 (C207) and 84 (C208)</w:t>
      </w:r>
      <w:bookmarkEnd w:id="53"/>
    </w:p>
    <w:p w:rsidR="003B4265" w:rsidRPr="001B1AFC" w:rsidRDefault="003B4265" w:rsidP="003B4265">
      <w:pPr>
        <w:rPr>
          <w:rFonts w:ascii="VIC" w:hAnsi="VIC" w:cs="Arial"/>
          <w:color w:val="005EA1" w:themeColor="accent1"/>
          <w:sz w:val="22"/>
          <w:szCs w:val="22"/>
          <w:lang w:eastAsia="en-US"/>
        </w:rPr>
      </w:pPr>
      <w:r w:rsidRPr="001B1AFC">
        <w:rPr>
          <w:rFonts w:ascii="VIC" w:hAnsi="VIC" w:cs="Arial"/>
          <w:color w:val="005EA1" w:themeColor="accent1"/>
          <w:sz w:val="22"/>
          <w:szCs w:val="22"/>
          <w:lang w:eastAsia="en-US"/>
        </w:rPr>
        <w:t>Northern Jacksons Creek Crossing</w:t>
      </w:r>
    </w:p>
    <w:p w:rsidR="003B4265" w:rsidRPr="006C1E5C" w:rsidRDefault="001B1AFC" w:rsidP="003B4265">
      <w:pPr>
        <w:rPr>
          <w:lang w:eastAsia="en-US"/>
        </w:rPr>
      </w:pPr>
      <w:r w:rsidRPr="006C1E5C">
        <w:rPr>
          <w:lang w:eastAsia="en-US"/>
        </w:rPr>
        <w:t xml:space="preserve">Refer Section </w:t>
      </w:r>
      <w:r w:rsidR="00B17A37" w:rsidRPr="006C1E5C">
        <w:rPr>
          <w:lang w:eastAsia="en-US"/>
        </w:rPr>
        <w:t>3.1</w:t>
      </w:r>
      <w:r w:rsidRPr="006C1E5C">
        <w:rPr>
          <w:lang w:eastAsia="en-US"/>
        </w:rPr>
        <w:t xml:space="preserve"> above. </w:t>
      </w:r>
    </w:p>
    <w:p w:rsidR="008D0CD7" w:rsidRPr="006C1E5C" w:rsidRDefault="008D0CD7" w:rsidP="008D0CD7">
      <w:pPr>
        <w:rPr>
          <w:rFonts w:ascii="VIC" w:hAnsi="VIC" w:cs="Arial"/>
          <w:color w:val="005EA1" w:themeColor="accent1"/>
          <w:sz w:val="22"/>
          <w:szCs w:val="22"/>
          <w:lang w:eastAsia="en-US"/>
        </w:rPr>
      </w:pPr>
      <w:r w:rsidRPr="006C1E5C">
        <w:rPr>
          <w:rFonts w:ascii="VIC" w:hAnsi="VIC" w:cs="Arial"/>
          <w:color w:val="005EA1" w:themeColor="accent1"/>
          <w:sz w:val="22"/>
          <w:szCs w:val="22"/>
          <w:lang w:eastAsia="en-US"/>
        </w:rPr>
        <w:t>Racecourse Road Design Controls</w:t>
      </w:r>
    </w:p>
    <w:p w:rsidR="008D0CD7" w:rsidRPr="006C1E5C" w:rsidRDefault="00AD0140" w:rsidP="008D0CD7">
      <w:pPr>
        <w:rPr>
          <w:lang w:eastAsia="en-US"/>
        </w:rPr>
      </w:pPr>
      <w:r w:rsidRPr="006C1E5C">
        <w:rPr>
          <w:lang w:eastAsia="en-US"/>
        </w:rPr>
        <w:t xml:space="preserve">Refer Section 3.3 above for detailed discussion. </w:t>
      </w:r>
    </w:p>
    <w:p w:rsidR="00373BB0" w:rsidRPr="00373BB0" w:rsidRDefault="00373BB0" w:rsidP="003B4265">
      <w:pPr>
        <w:rPr>
          <w:rFonts w:ascii="VIC" w:hAnsi="VIC" w:cs="Arial"/>
          <w:color w:val="005EA1" w:themeColor="accent1"/>
          <w:sz w:val="22"/>
          <w:szCs w:val="22"/>
          <w:lang w:eastAsia="en-US"/>
        </w:rPr>
      </w:pPr>
      <w:r w:rsidRPr="006C1E5C">
        <w:rPr>
          <w:rFonts w:ascii="VIC" w:hAnsi="VIC" w:cs="Arial"/>
          <w:color w:val="005EA1" w:themeColor="accent1"/>
          <w:sz w:val="22"/>
          <w:szCs w:val="22"/>
          <w:lang w:eastAsia="en-US"/>
        </w:rPr>
        <w:t>Setback of 50 metr</w:t>
      </w:r>
      <w:r>
        <w:rPr>
          <w:rFonts w:ascii="VIC" w:hAnsi="VIC" w:cs="Arial"/>
          <w:color w:val="005EA1" w:themeColor="accent1"/>
          <w:sz w:val="22"/>
          <w:szCs w:val="22"/>
          <w:lang w:eastAsia="en-US"/>
        </w:rPr>
        <w:t>es</w:t>
      </w:r>
      <w:r w:rsidRPr="00373BB0">
        <w:rPr>
          <w:rFonts w:ascii="VIC" w:hAnsi="VIC" w:cs="Arial"/>
          <w:color w:val="005EA1" w:themeColor="accent1"/>
          <w:sz w:val="22"/>
          <w:szCs w:val="22"/>
          <w:lang w:eastAsia="en-US"/>
        </w:rPr>
        <w:t xml:space="preserve"> to Racecourse Road</w:t>
      </w:r>
    </w:p>
    <w:p w:rsidR="008D0CD7" w:rsidRDefault="008B4D43" w:rsidP="003B4265">
      <w:pPr>
        <w:rPr>
          <w:lang w:eastAsia="en-US"/>
        </w:rPr>
      </w:pPr>
      <w:r>
        <w:rPr>
          <w:lang w:eastAsia="en-US"/>
        </w:rPr>
        <w:t xml:space="preserve">Mr Dance submitted that if </w:t>
      </w:r>
      <w:r w:rsidR="007B2637">
        <w:rPr>
          <w:lang w:eastAsia="en-US"/>
        </w:rPr>
        <w:t xml:space="preserve">the Sherwood Heights planning permit application is </w:t>
      </w:r>
      <w:r>
        <w:rPr>
          <w:lang w:eastAsia="en-US"/>
        </w:rPr>
        <w:t xml:space="preserve">approved, all development should be set back from Racecourse Road by 50 metres. </w:t>
      </w:r>
    </w:p>
    <w:p w:rsidR="008B4D43" w:rsidRPr="008B4D43" w:rsidRDefault="008B4D43" w:rsidP="008B4D43">
      <w:pPr>
        <w:rPr>
          <w:lang w:eastAsia="en-US"/>
        </w:rPr>
      </w:pPr>
      <w:r>
        <w:rPr>
          <w:lang w:eastAsia="en-US"/>
        </w:rPr>
        <w:t>The VPA are of the view that t</w:t>
      </w:r>
      <w:r w:rsidRPr="008B4D43">
        <w:rPr>
          <w:lang w:eastAsia="en-US"/>
        </w:rPr>
        <w:t>here is no particular advantage to a fixed 50m setback from Racecourse Road for this site with regard to landscape and visual amenity. The approach is rather to assess the quality of the presentation to Racecourse Road with regard to its setting.</w:t>
      </w:r>
    </w:p>
    <w:p w:rsidR="008B4D43" w:rsidRPr="005A677F" w:rsidRDefault="008B4D43" w:rsidP="008B4D43">
      <w:pPr>
        <w:rPr>
          <w:i/>
          <w:iCs/>
          <w:color w:val="005EA1" w:themeColor="accent1"/>
        </w:rPr>
      </w:pPr>
      <w:r w:rsidRPr="005A677F">
        <w:rPr>
          <w:i/>
          <w:iCs/>
          <w:color w:val="005EA1" w:themeColor="accent1"/>
        </w:rPr>
        <w:t xml:space="preserve">The existing setting of Racecourse Road </w:t>
      </w:r>
    </w:p>
    <w:p w:rsidR="008B4D43" w:rsidRPr="005A677F" w:rsidRDefault="008B4D43" w:rsidP="008B4D43">
      <w:r w:rsidRPr="005A677F">
        <w:t>The eastern edge of Racecourse Road is currently planted with medium to tall eucalypt trees. The application site generally slopes down from Racecourse Road. These factors already provides for the development on the application site to be less visually intrusive from Racecourse Road.</w:t>
      </w:r>
    </w:p>
    <w:p w:rsidR="008B4D43" w:rsidRPr="005A677F" w:rsidRDefault="008B4D43" w:rsidP="008B4D43">
      <w:r w:rsidRPr="005A677F">
        <w:t xml:space="preserve">This contrasts with the Sunbury Fields site which has no trees in the Racecourse Road reserve and is uphill from the road. In that case the response was to setback housing behind wetlands. In fact the wetlands at Sunbury Fields had to be located on the Racecourse Road frontage as the low point of that site. In the absence of that topographical fact development may well have come closer to Racecourse Road with suitable landscaping. </w:t>
      </w:r>
    </w:p>
    <w:p w:rsidR="008B4D43" w:rsidRPr="005A677F" w:rsidRDefault="008B4D43" w:rsidP="008B4D43">
      <w:pPr>
        <w:rPr>
          <w:i/>
          <w:iCs/>
          <w:color w:val="005EA1" w:themeColor="accent1"/>
        </w:rPr>
      </w:pPr>
      <w:r w:rsidRPr="005A677F">
        <w:rPr>
          <w:i/>
          <w:iCs/>
          <w:color w:val="005EA1" w:themeColor="accent1"/>
        </w:rPr>
        <w:t>The composition of the Racecourse Road frontage in the permit application</w:t>
      </w:r>
    </w:p>
    <w:p w:rsidR="008B4D43" w:rsidRPr="005A677F" w:rsidRDefault="008B4D43" w:rsidP="008B4D43">
      <w:r w:rsidRPr="005A677F">
        <w:t>The application currently proposes a 12m tree reserve along the length of the site’s Racecourse Road frontage excepting road intersections. This will provide for additional tree planting and screening of development from Racecourse Road and vice versa.</w:t>
      </w:r>
    </w:p>
    <w:p w:rsidR="008B4D43" w:rsidRPr="005A677F" w:rsidRDefault="008B4D43" w:rsidP="008B4D43">
      <w:r w:rsidRPr="005A677F">
        <w:t xml:space="preserve">For the most part the tree reserve is abutted by an internal 14.5m road with the exceptions being: </w:t>
      </w:r>
    </w:p>
    <w:p w:rsidR="008B4D43" w:rsidRPr="00373BB0" w:rsidRDefault="008B4D43" w:rsidP="00373BB0">
      <w:pPr>
        <w:pStyle w:val="List1bullet"/>
      </w:pPr>
      <w:r w:rsidRPr="00373BB0">
        <w:t>a stretch of lots backing onto the tree reserve south of Elizabeth Drive</w:t>
      </w:r>
    </w:p>
    <w:p w:rsidR="008B4D43" w:rsidRPr="00373BB0" w:rsidRDefault="008B4D43" w:rsidP="00373BB0">
      <w:pPr>
        <w:pStyle w:val="List1bullet"/>
      </w:pPr>
      <w:r w:rsidRPr="00373BB0">
        <w:t>lots siding onto the tree reserve at the northern end of the neighbourhood</w:t>
      </w:r>
    </w:p>
    <w:p w:rsidR="008B4D43" w:rsidRPr="00373BB0" w:rsidRDefault="008B4D43" w:rsidP="00373BB0">
      <w:pPr>
        <w:pStyle w:val="List1bullet"/>
      </w:pPr>
      <w:r w:rsidRPr="00373BB0">
        <w:t>a lot directly fronting the tree reserve at the south end of the neighbourhood</w:t>
      </w:r>
    </w:p>
    <w:p w:rsidR="008B4D43" w:rsidRPr="00373BB0" w:rsidRDefault="008B4D43" w:rsidP="00373BB0">
      <w:pPr>
        <w:pStyle w:val="List1bullet"/>
      </w:pPr>
      <w:r w:rsidRPr="00373BB0">
        <w:t>the waterway in the southern part of the neighbourhood</w:t>
      </w:r>
    </w:p>
    <w:p w:rsidR="008B4D43" w:rsidRPr="00373BB0" w:rsidRDefault="008B4D43" w:rsidP="00373BB0">
      <w:pPr>
        <w:pStyle w:val="List1bullet"/>
      </w:pPr>
      <w:r w:rsidRPr="00373BB0">
        <w:t>three ‘indentations’ of local park-type open spaces north of Elizabeth Drive</w:t>
      </w:r>
    </w:p>
    <w:p w:rsidR="008B4D43" w:rsidRPr="005A677F" w:rsidRDefault="008B4D43" w:rsidP="008B4D43">
      <w:r w:rsidRPr="005A677F">
        <w:t>Adding in the current proposal for dwelling setbacks within lots, which remain under review, the resulting building setbacks from the eastern edge of Racecourse Road would be:</w:t>
      </w:r>
    </w:p>
    <w:p w:rsidR="008B4D43" w:rsidRPr="00373BB0" w:rsidRDefault="008B4D43" w:rsidP="00373BB0">
      <w:pPr>
        <w:pStyle w:val="List1bullet"/>
      </w:pPr>
      <w:r w:rsidRPr="00373BB0">
        <w:t>33.5m (for lots fronting the tree reserve with an intervening local road)</w:t>
      </w:r>
    </w:p>
    <w:p w:rsidR="008B4D43" w:rsidRPr="00373BB0" w:rsidRDefault="008B4D43" w:rsidP="00373BB0">
      <w:pPr>
        <w:pStyle w:val="List1bullet"/>
      </w:pPr>
      <w:r w:rsidRPr="00373BB0">
        <w:t>50m+ (for lots fronting the tree reserve with an intervening local road and open space)</w:t>
      </w:r>
    </w:p>
    <w:p w:rsidR="008B4D43" w:rsidRPr="00373BB0" w:rsidRDefault="008B4D43" w:rsidP="00373BB0">
      <w:pPr>
        <w:pStyle w:val="List1bullet"/>
      </w:pPr>
      <w:r w:rsidRPr="00373BB0">
        <w:t>20m (12+8m for 18m lots backing onto tree reserve)</w:t>
      </w:r>
    </w:p>
    <w:p w:rsidR="008B4D43" w:rsidRPr="00373BB0" w:rsidRDefault="008B4D43" w:rsidP="00373BB0">
      <w:pPr>
        <w:pStyle w:val="List1bullet"/>
      </w:pPr>
      <w:r w:rsidRPr="00373BB0">
        <w:t>19m (12m+8, for the single lot fronting the tree reserve)</w:t>
      </w:r>
    </w:p>
    <w:p w:rsidR="008B4D43" w:rsidRPr="00373BB0" w:rsidRDefault="008B4D43" w:rsidP="00373BB0">
      <w:pPr>
        <w:pStyle w:val="List1bullet"/>
      </w:pPr>
      <w:r w:rsidRPr="00373BB0">
        <w:t>17m (12m+5m for 14m wide lots backing onto tree reserve)</w:t>
      </w:r>
    </w:p>
    <w:p w:rsidR="008B4D43" w:rsidRPr="00373BB0" w:rsidRDefault="008B4D43" w:rsidP="00373BB0">
      <w:pPr>
        <w:pStyle w:val="List1bullet"/>
      </w:pPr>
      <w:r w:rsidRPr="00373BB0">
        <w:t>No buildings within the Elizabeth Drive reserve and the waterway.</w:t>
      </w:r>
    </w:p>
    <w:p w:rsidR="008B4D43" w:rsidRPr="005A677F" w:rsidRDefault="008B4D43" w:rsidP="008B4D43">
      <w:pPr>
        <w:rPr>
          <w:i/>
          <w:iCs/>
          <w:color w:val="005EA1" w:themeColor="accent1"/>
        </w:rPr>
      </w:pPr>
      <w:r w:rsidRPr="005A677F">
        <w:rPr>
          <w:i/>
          <w:iCs/>
          <w:color w:val="005EA1" w:themeColor="accent1"/>
        </w:rPr>
        <w:t>The overall outcome</w:t>
      </w:r>
    </w:p>
    <w:p w:rsidR="008B4D43" w:rsidRPr="005A677F" w:rsidRDefault="008B4D43" w:rsidP="008B4D43">
      <w:r w:rsidRPr="005A677F">
        <w:t xml:space="preserve">Overall the proposal provides for an acceptable interface with regard to the particular characteristics of the site and surrounding development context. It provides: </w:t>
      </w:r>
    </w:p>
    <w:p w:rsidR="008B4D43" w:rsidRPr="00373BB0" w:rsidRDefault="008B4D43" w:rsidP="00373BB0">
      <w:pPr>
        <w:pStyle w:val="List1bullet"/>
      </w:pPr>
      <w:r w:rsidRPr="00373BB0">
        <w:t>an openness reflecting the semi-rural character of the Racecourse Road</w:t>
      </w:r>
    </w:p>
    <w:p w:rsidR="008B4D43" w:rsidRPr="00373BB0" w:rsidRDefault="008B4D43" w:rsidP="00373BB0">
      <w:pPr>
        <w:pStyle w:val="List1bullet"/>
      </w:pPr>
      <w:r w:rsidRPr="00373BB0">
        <w:t xml:space="preserve">dwellings to predominantly front the road but from a respectful distance that reflects the new, and more urban, context of Sunbury Fields </w:t>
      </w:r>
    </w:p>
    <w:p w:rsidR="008B4D43" w:rsidRDefault="008B4D43" w:rsidP="00373BB0">
      <w:pPr>
        <w:pStyle w:val="List1bullet"/>
      </w:pPr>
      <w:r w:rsidRPr="00373BB0">
        <w:t>A number of direct views through to the valley through the arrangement of streets and open spaces.</w:t>
      </w:r>
    </w:p>
    <w:p w:rsidR="00373BB0" w:rsidRPr="00373BB0" w:rsidRDefault="00373BB0" w:rsidP="00373BB0">
      <w:pPr>
        <w:rPr>
          <w:rFonts w:ascii="VIC" w:hAnsi="VIC" w:cs="Arial"/>
          <w:color w:val="005EA1" w:themeColor="accent1"/>
          <w:sz w:val="22"/>
          <w:szCs w:val="22"/>
          <w:lang w:eastAsia="en-US"/>
        </w:rPr>
      </w:pPr>
      <w:r w:rsidRPr="00373BB0">
        <w:rPr>
          <w:rFonts w:ascii="VIC" w:hAnsi="VIC" w:cs="Arial"/>
          <w:color w:val="005EA1" w:themeColor="accent1"/>
          <w:sz w:val="22"/>
          <w:szCs w:val="22"/>
          <w:lang w:eastAsia="en-US"/>
        </w:rPr>
        <w:t>Sherwood Heights Residential Design Controls – Height Limit</w:t>
      </w:r>
    </w:p>
    <w:p w:rsidR="00373BB0" w:rsidRDefault="00373BB0" w:rsidP="00E47699">
      <w:r>
        <w:t xml:space="preserve">Mr Dance submitted in response to View Grange Pastoral (Villawood’s) submission to increase the height limit in the design controls </w:t>
      </w:r>
      <w:r w:rsidR="00E47699">
        <w:t>to nine met</w:t>
      </w:r>
      <w:r>
        <w:t>r</w:t>
      </w:r>
      <w:r w:rsidR="00E47699">
        <w:t>e</w:t>
      </w:r>
      <w:r>
        <w:t xml:space="preserve">s. Mr Dance submits that based on Villawood’s own evidence they want the housing estate </w:t>
      </w:r>
      <w:r w:rsidR="00E47699">
        <w:t>to merge into the sloping hills, and f</w:t>
      </w:r>
      <w:r>
        <w:t>or this reason a height limit needs to apply that only single story homes can be built.</w:t>
      </w:r>
    </w:p>
    <w:p w:rsidR="00373BB0" w:rsidRPr="00E47699" w:rsidRDefault="00373BB0" w:rsidP="00373BB0">
      <w:r w:rsidRPr="00E47699">
        <w:t xml:space="preserve">Although the VPA did not note this in revised conditions, an 8m height limit with the ability to go to 9m on sloping sites seems more appropriate in the context. However a limit to single storey homes is likely to work against the objective of maintaining space between buildings by preventing double storey homes from making a smaller site footprint. The sloping nature of the site will inevitably result in some need for split level homes extending to double storey. </w:t>
      </w:r>
    </w:p>
    <w:p w:rsidR="00373BB0" w:rsidRPr="00E47699" w:rsidRDefault="00373BB0" w:rsidP="00373BB0">
      <w:r w:rsidRPr="00E47699">
        <w:t>Even with a single storey requirement it is unlikely that the outcome would result in uninterrupted views across the valley from the current Racecourse Road frontage. With one or two storey homes the outcome is likely to provide a number views clear to the valley from Racecourse Road with intervening housing.</w:t>
      </w:r>
    </w:p>
    <w:p w:rsidR="00373BB0" w:rsidRPr="00E47699" w:rsidRDefault="00E47699" w:rsidP="00373BB0">
      <w:pPr>
        <w:rPr>
          <w:rFonts w:ascii="VIC" w:hAnsi="VIC" w:cs="Arial"/>
          <w:color w:val="005EA1" w:themeColor="accent1"/>
          <w:sz w:val="22"/>
          <w:szCs w:val="22"/>
          <w:lang w:eastAsia="en-US"/>
        </w:rPr>
      </w:pPr>
      <w:r w:rsidRPr="00E47699">
        <w:rPr>
          <w:rFonts w:ascii="VIC" w:hAnsi="VIC" w:cs="Arial"/>
          <w:color w:val="005EA1" w:themeColor="accent1"/>
          <w:sz w:val="22"/>
          <w:szCs w:val="22"/>
          <w:lang w:eastAsia="en-US"/>
        </w:rPr>
        <w:t>Views from Emu Bottom Wetlands</w:t>
      </w:r>
    </w:p>
    <w:p w:rsidR="00373BB0" w:rsidRDefault="00E47699" w:rsidP="00E47699">
      <w:r>
        <w:t xml:space="preserve">The submitter requests that if the development at Sherwood Heights does go ahead, </w:t>
      </w:r>
      <w:r w:rsidR="00373BB0">
        <w:t>a landscape and visual amenity test would need to be done to ensure that the development cannot be seen from the Emu Bottom wetlands.</w:t>
      </w:r>
    </w:p>
    <w:p w:rsidR="00373BB0" w:rsidRPr="00E47699" w:rsidRDefault="00E47699" w:rsidP="00373BB0">
      <w:r w:rsidRPr="00E47699">
        <w:t>The VPA note that i</w:t>
      </w:r>
      <w:r w:rsidR="00373BB0" w:rsidRPr="00E47699">
        <w:t xml:space="preserve">f development is permitted to occur on the Racecourse Road hillside, the natural corollary is that development will be visible from surrounding areas. It would only be possible to avoid sighting development from Emu Bottom Wetland if no development were to occur on the northern side of the hill and some portion of the southern side of the hill. Even if this were to occur, the road profile and planting of the Elizabeth Drive extension would be visible. Instead the </w:t>
      </w:r>
      <w:r w:rsidRPr="00E47699">
        <w:t xml:space="preserve">VPA support that the </w:t>
      </w:r>
      <w:r w:rsidR="00373BB0" w:rsidRPr="00E47699">
        <w:t>objective of the PSP is to provide for a development that sits well with regard to the hill, its landscaping outcomes and the surrounding urban and non-urban landscape.</w:t>
      </w:r>
    </w:p>
    <w:p w:rsidR="00E47699" w:rsidRPr="00373BB0" w:rsidRDefault="00E47699" w:rsidP="00E47699">
      <w:pPr>
        <w:rPr>
          <w:rFonts w:ascii="VIC" w:hAnsi="VIC" w:cs="Arial"/>
          <w:color w:val="005EA1" w:themeColor="accent1"/>
          <w:sz w:val="22"/>
          <w:szCs w:val="22"/>
          <w:lang w:eastAsia="en-US"/>
        </w:rPr>
      </w:pPr>
      <w:r w:rsidRPr="00373BB0">
        <w:rPr>
          <w:rFonts w:ascii="VIC" w:hAnsi="VIC" w:cs="Arial"/>
          <w:color w:val="005EA1" w:themeColor="accent1"/>
          <w:sz w:val="22"/>
          <w:szCs w:val="22"/>
          <w:lang w:eastAsia="en-US"/>
        </w:rPr>
        <w:t>Sherwood Heights Residential Design Controls –</w:t>
      </w:r>
      <w:r>
        <w:rPr>
          <w:rFonts w:ascii="VIC" w:hAnsi="VIC" w:cs="Arial"/>
          <w:color w:val="005EA1" w:themeColor="accent1"/>
          <w:sz w:val="22"/>
          <w:szCs w:val="22"/>
          <w:lang w:eastAsia="en-US"/>
        </w:rPr>
        <w:t xml:space="preserve"> Lot Sizes</w:t>
      </w:r>
    </w:p>
    <w:p w:rsidR="00373BB0" w:rsidRPr="007B2637" w:rsidRDefault="00E47699" w:rsidP="00E47699">
      <w:r>
        <w:t>Mr Dance submits that l</w:t>
      </w:r>
      <w:r w:rsidR="00373BB0">
        <w:t>ot sizes</w:t>
      </w:r>
      <w:r>
        <w:t xml:space="preserve"> in the Sherwood Heights development area</w:t>
      </w:r>
      <w:r w:rsidR="00373BB0">
        <w:t xml:space="preserve"> are still to</w:t>
      </w:r>
      <w:r>
        <w:t>o</w:t>
      </w:r>
      <w:r w:rsidR="00373BB0">
        <w:t xml:space="preserve"> small</w:t>
      </w:r>
      <w:r>
        <w:t>,</w:t>
      </w:r>
      <w:r w:rsidR="00373BB0">
        <w:t xml:space="preserve"> and should match tho</w:t>
      </w:r>
      <w:r w:rsidR="00373BB0" w:rsidRPr="007B2637">
        <w:t xml:space="preserve">se where it meet the current Sherwood Estate </w:t>
      </w:r>
      <w:r w:rsidRPr="007B2637">
        <w:t xml:space="preserve">(approximately 1000 square metre lots) </w:t>
      </w:r>
      <w:r w:rsidR="00373BB0" w:rsidRPr="007B2637">
        <w:t xml:space="preserve">and then as it moves towards the North and East increase the sizes to one hectare. </w:t>
      </w:r>
    </w:p>
    <w:p w:rsidR="00373BB0" w:rsidRPr="007B2637" w:rsidRDefault="00373BB0" w:rsidP="00373BB0">
      <w:pPr>
        <w:rPr>
          <w:rFonts w:eastAsiaTheme="minorHAnsi"/>
        </w:rPr>
      </w:pPr>
      <w:r w:rsidRPr="007B2637">
        <w:t xml:space="preserve">While visual outcomes are influenced by lot sizes, they are also influenced by the scale and type of housing, the relationship between housing in a neighbourhood and landscaping. On this site substantially larger lots (~1ha) mixed with, and placed adjacent to, smaller lots (~1000sqm) would result in a less cohesive visual outcome; that is the overall composition of such a development would produce visual confusion and conflict between the different shapes and spaces. </w:t>
      </w:r>
    </w:p>
    <w:p w:rsidR="00373BB0" w:rsidRPr="007B2637" w:rsidRDefault="007B2637" w:rsidP="00373BB0">
      <w:r w:rsidRPr="007B2637">
        <w:t xml:space="preserve">The VPA is of the view that the proposed outcome </w:t>
      </w:r>
      <w:r w:rsidR="00373BB0" w:rsidRPr="007B2637">
        <w:t>would also increase viewer</w:t>
      </w:r>
      <w:r w:rsidRPr="007B2637">
        <w:t>’</w:t>
      </w:r>
      <w:r w:rsidR="00373BB0" w:rsidRPr="007B2637">
        <w:t>s exposure to dwellings on larger lots as they tend to stand out more in their larger surrounds. This is particularly acute when combined with the impracticality of mandating planting on private land resulting in the possibility of a very open landscape dotted with visually prominent homes. Past attempts to mandate planting of specific trees on private lots have proven futile from an enforcement perspective and unnecessarily restrict residents from managing their own private open spaces.</w:t>
      </w:r>
    </w:p>
    <w:p w:rsidR="00373BB0" w:rsidRPr="007B2637" w:rsidRDefault="00373BB0" w:rsidP="00373BB0">
      <w:r w:rsidRPr="007B2637">
        <w:t>The</w:t>
      </w:r>
      <w:r w:rsidR="007B2637" w:rsidRPr="007B2637">
        <w:t xml:space="preserve"> VPA submit that the</w:t>
      </w:r>
      <w:r w:rsidRPr="007B2637">
        <w:t xml:space="preserve"> better approach is to provide a development, that when viewed from external points, provides a consistent and cohesive presentation. A consistent rhythm of spaces, buildings and vegetation across the development will allow the development to present ‘neatly’ in its context and visually present a coordinated and more pleasant appearance. This approach also allows public streets, which are able to be efficiently managed and controlled by Council, to play a greater role in vegetation screening and providing a consistent rhythm of visual breaks between buildings. </w:t>
      </w:r>
    </w:p>
    <w:p w:rsidR="00CF1FAB" w:rsidRDefault="00CF1FAB" w:rsidP="00CF1FAB">
      <w:pPr>
        <w:pStyle w:val="Heading2"/>
      </w:pPr>
      <w:bookmarkStart w:id="54" w:name="_Toc496183284"/>
      <w:r>
        <w:t>Mr Doug Manning – Submission 20 (C208)</w:t>
      </w:r>
      <w:bookmarkEnd w:id="54"/>
    </w:p>
    <w:p w:rsidR="003B4265" w:rsidRPr="004D7BF5" w:rsidRDefault="006340DB" w:rsidP="004D7BF5">
      <w:pPr>
        <w:rPr>
          <w:rFonts w:ascii="VIC" w:hAnsi="VIC" w:cs="Arial"/>
          <w:color w:val="005EA1" w:themeColor="accent1"/>
          <w:sz w:val="22"/>
          <w:szCs w:val="22"/>
          <w:lang w:eastAsia="en-US"/>
        </w:rPr>
      </w:pPr>
      <w:r w:rsidRPr="004D7BF5">
        <w:rPr>
          <w:rFonts w:ascii="VIC" w:hAnsi="VIC" w:cs="Arial"/>
          <w:color w:val="005EA1" w:themeColor="accent1"/>
          <w:sz w:val="22"/>
          <w:szCs w:val="22"/>
          <w:lang w:eastAsia="en-US"/>
        </w:rPr>
        <w:t>Lot sizes</w:t>
      </w:r>
      <w:r w:rsidR="0038551C" w:rsidRPr="004D7BF5">
        <w:rPr>
          <w:rFonts w:ascii="VIC" w:hAnsi="VIC" w:cs="Arial"/>
          <w:color w:val="005EA1" w:themeColor="accent1"/>
          <w:sz w:val="22"/>
          <w:szCs w:val="22"/>
          <w:lang w:eastAsia="en-US"/>
        </w:rPr>
        <w:t xml:space="preserve"> </w:t>
      </w:r>
    </w:p>
    <w:p w:rsidR="0038551C" w:rsidRDefault="005E281B" w:rsidP="0038551C">
      <w:pPr>
        <w:rPr>
          <w:lang w:eastAsia="en-US"/>
        </w:rPr>
      </w:pPr>
      <w:r>
        <w:rPr>
          <w:lang w:eastAsia="en-US"/>
        </w:rPr>
        <w:t>Mr Manning submitted that the lot sizes in the WinCity planning permit application are too small and are not in keeping with the character of Sunbury. The PSP’s encourage a diversity of lot sizes, which the VPA consider are delivered within the application. T</w:t>
      </w:r>
      <w:r w:rsidR="00750357">
        <w:rPr>
          <w:lang w:eastAsia="en-US"/>
        </w:rPr>
        <w:t xml:space="preserve">he </w:t>
      </w:r>
      <w:r>
        <w:rPr>
          <w:lang w:eastAsia="en-US"/>
        </w:rPr>
        <w:t>VPA</w:t>
      </w:r>
      <w:r w:rsidR="0038551C">
        <w:rPr>
          <w:lang w:eastAsia="en-US"/>
        </w:rPr>
        <w:t xml:space="preserve"> submits the Panel ought to recommend no change to the exhibited PSP in relation to lot sizes. </w:t>
      </w:r>
    </w:p>
    <w:p w:rsidR="0038551C" w:rsidRPr="0038551C" w:rsidRDefault="0038551C" w:rsidP="0038551C">
      <w:pPr>
        <w:rPr>
          <w:rFonts w:ascii="VIC" w:hAnsi="VIC" w:cs="Arial"/>
          <w:color w:val="005EA1" w:themeColor="accent1"/>
          <w:sz w:val="22"/>
          <w:szCs w:val="22"/>
          <w:lang w:eastAsia="en-US"/>
        </w:rPr>
      </w:pPr>
      <w:r w:rsidRPr="0038551C">
        <w:rPr>
          <w:rFonts w:ascii="VIC" w:hAnsi="VIC" w:cs="Arial"/>
          <w:color w:val="005EA1" w:themeColor="accent1"/>
          <w:sz w:val="22"/>
          <w:szCs w:val="22"/>
          <w:lang w:eastAsia="en-US"/>
        </w:rPr>
        <w:t>Bushfire</w:t>
      </w:r>
    </w:p>
    <w:p w:rsidR="005E281B" w:rsidRDefault="005E281B" w:rsidP="0038551C">
      <w:pPr>
        <w:rPr>
          <w:lang w:eastAsia="en-US"/>
        </w:rPr>
      </w:pPr>
      <w:r>
        <w:rPr>
          <w:lang w:eastAsia="en-US"/>
        </w:rPr>
        <w:t xml:space="preserve">The submitter expressed concern regarding the safety of the proposed developments, particularly in relation to bushfire risk. </w:t>
      </w:r>
    </w:p>
    <w:p w:rsidR="0038551C" w:rsidRPr="0038551C" w:rsidRDefault="00750357" w:rsidP="0038551C">
      <w:pPr>
        <w:rPr>
          <w:lang w:eastAsia="en-US"/>
        </w:rPr>
      </w:pPr>
      <w:r>
        <w:rPr>
          <w:lang w:eastAsia="en-US"/>
        </w:rPr>
        <w:t xml:space="preserve">The </w:t>
      </w:r>
      <w:r w:rsidR="0038551C">
        <w:rPr>
          <w:lang w:eastAsia="en-US"/>
        </w:rPr>
        <w:t>VPA</w:t>
      </w:r>
      <w:r w:rsidR="005E281B">
        <w:rPr>
          <w:lang w:eastAsia="en-US"/>
        </w:rPr>
        <w:t xml:space="preserve"> has considered bushfire risk in the preparation of the PSPs, and</w:t>
      </w:r>
      <w:r w:rsidR="0038551C">
        <w:rPr>
          <w:lang w:eastAsia="en-US"/>
        </w:rPr>
        <w:t xml:space="preserve"> submits </w:t>
      </w:r>
      <w:r w:rsidR="005E281B">
        <w:rPr>
          <w:lang w:eastAsia="en-US"/>
        </w:rPr>
        <w:t>that</w:t>
      </w:r>
      <w:r w:rsidR="0038551C">
        <w:rPr>
          <w:lang w:eastAsia="en-US"/>
        </w:rPr>
        <w:t xml:space="preserve"> the bushfire controls outlined by the VPA in Section 10 of the VPA Part B Su</w:t>
      </w:r>
      <w:r w:rsidR="005E281B">
        <w:rPr>
          <w:lang w:eastAsia="en-US"/>
        </w:rPr>
        <w:t>bmission – Site-specific issues are appropriate</w:t>
      </w:r>
      <w:r w:rsidR="0038551C">
        <w:rPr>
          <w:lang w:eastAsia="en-US"/>
        </w:rPr>
        <w:t xml:space="preserve"> </w:t>
      </w:r>
      <w:r w:rsidR="005E281B">
        <w:rPr>
          <w:lang w:eastAsia="en-US"/>
        </w:rPr>
        <w:t xml:space="preserve">and do not require further expansion. The VPA note that the precincts are within a Bushfire Prone Area and accordingly, this will ensure that bushfire risk is addressed through building permits at the appropriate time. </w:t>
      </w:r>
    </w:p>
    <w:p w:rsidR="00CF1FAB" w:rsidRDefault="00CF1FAB" w:rsidP="00CF1FAB">
      <w:pPr>
        <w:pStyle w:val="Heading2"/>
      </w:pPr>
      <w:bookmarkStart w:id="55" w:name="_Toc496183285"/>
      <w:r>
        <w:t>Mr John McKerrow – Submission 6 (C208)</w:t>
      </w:r>
      <w:bookmarkEnd w:id="55"/>
    </w:p>
    <w:p w:rsidR="0038551C" w:rsidRPr="0038551C" w:rsidRDefault="0038551C" w:rsidP="003B4265">
      <w:pPr>
        <w:rPr>
          <w:rFonts w:ascii="VIC" w:hAnsi="VIC" w:cs="Arial"/>
          <w:color w:val="005EA1" w:themeColor="accent1"/>
          <w:sz w:val="22"/>
          <w:szCs w:val="22"/>
          <w:lang w:eastAsia="en-US"/>
        </w:rPr>
      </w:pPr>
      <w:r w:rsidRPr="0038551C">
        <w:rPr>
          <w:rFonts w:ascii="VIC" w:hAnsi="VIC" w:cs="Arial"/>
          <w:color w:val="005EA1" w:themeColor="accent1"/>
          <w:sz w:val="22"/>
          <w:szCs w:val="22"/>
          <w:lang w:eastAsia="en-US"/>
        </w:rPr>
        <w:t>Weste</w:t>
      </w:r>
      <w:r w:rsidR="00D97CD1">
        <w:rPr>
          <w:rFonts w:ascii="VIC" w:hAnsi="VIC" w:cs="Arial"/>
          <w:color w:val="005EA1" w:themeColor="accent1"/>
          <w:sz w:val="22"/>
          <w:szCs w:val="22"/>
          <w:lang w:eastAsia="en-US"/>
        </w:rPr>
        <w:t>rn Water Treatment Plant odour b</w:t>
      </w:r>
      <w:r w:rsidRPr="0038551C">
        <w:rPr>
          <w:rFonts w:ascii="VIC" w:hAnsi="VIC" w:cs="Arial"/>
          <w:color w:val="005EA1" w:themeColor="accent1"/>
          <w:sz w:val="22"/>
          <w:szCs w:val="22"/>
          <w:lang w:eastAsia="en-US"/>
        </w:rPr>
        <w:t>uffer</w:t>
      </w:r>
    </w:p>
    <w:p w:rsidR="00D97CD1" w:rsidRDefault="00750357" w:rsidP="003B4265">
      <w:pPr>
        <w:rPr>
          <w:lang w:eastAsia="en-US"/>
        </w:rPr>
      </w:pPr>
      <w:r>
        <w:rPr>
          <w:lang w:eastAsia="en-US"/>
        </w:rPr>
        <w:t xml:space="preserve">The </w:t>
      </w:r>
      <w:r w:rsidR="00D97CD1">
        <w:rPr>
          <w:lang w:eastAsia="en-US"/>
        </w:rPr>
        <w:t xml:space="preserve">VPA submits the Panel ought to recommend no change to the exhibited PSP in relation to the Western Water Treatment Plant Odour Buffer. Information on this buffer is outlined at Section 6.3.4 of the VPA Part A Submission. </w:t>
      </w:r>
    </w:p>
    <w:p w:rsidR="003B4265" w:rsidRPr="00D97CD1" w:rsidRDefault="003B4265" w:rsidP="003B4265">
      <w:pPr>
        <w:rPr>
          <w:rFonts w:ascii="VIC" w:hAnsi="VIC" w:cs="Arial"/>
          <w:color w:val="005EA1" w:themeColor="accent1"/>
          <w:sz w:val="22"/>
          <w:szCs w:val="22"/>
          <w:lang w:eastAsia="en-US"/>
        </w:rPr>
      </w:pPr>
      <w:r w:rsidRPr="00D97CD1">
        <w:rPr>
          <w:rFonts w:ascii="VIC" w:hAnsi="VIC" w:cs="Arial"/>
          <w:color w:val="005EA1" w:themeColor="accent1"/>
          <w:sz w:val="22"/>
          <w:szCs w:val="22"/>
          <w:lang w:eastAsia="en-US"/>
        </w:rPr>
        <w:t xml:space="preserve">Northern Jacksons Creek </w:t>
      </w:r>
      <w:r w:rsidR="00D97CD1">
        <w:rPr>
          <w:rFonts w:ascii="VIC" w:hAnsi="VIC" w:cs="Arial"/>
          <w:color w:val="005EA1" w:themeColor="accent1"/>
          <w:sz w:val="22"/>
          <w:szCs w:val="22"/>
          <w:lang w:eastAsia="en-US"/>
        </w:rPr>
        <w:t>c</w:t>
      </w:r>
      <w:r w:rsidRPr="00D97CD1">
        <w:rPr>
          <w:rFonts w:ascii="VIC" w:hAnsi="VIC" w:cs="Arial"/>
          <w:color w:val="005EA1" w:themeColor="accent1"/>
          <w:sz w:val="22"/>
          <w:szCs w:val="22"/>
          <w:lang w:eastAsia="en-US"/>
        </w:rPr>
        <w:t>rossing</w:t>
      </w:r>
    </w:p>
    <w:p w:rsidR="003B4265" w:rsidRPr="003B4265" w:rsidRDefault="00D97CD1" w:rsidP="003B4265">
      <w:r w:rsidRPr="00B17A37">
        <w:t>Refer Section</w:t>
      </w:r>
      <w:r w:rsidR="00B17A37" w:rsidRPr="00B17A37">
        <w:t xml:space="preserve"> 3.1</w:t>
      </w:r>
      <w:r w:rsidRPr="00B17A37">
        <w:t xml:space="preserve"> ab</w:t>
      </w:r>
      <w:r>
        <w:t xml:space="preserve">ove. </w:t>
      </w:r>
    </w:p>
    <w:p w:rsidR="003B4265" w:rsidRDefault="00D97CD1" w:rsidP="003B4265">
      <w:pPr>
        <w:rPr>
          <w:rFonts w:ascii="VIC" w:hAnsi="VIC" w:cs="Arial"/>
          <w:color w:val="005EA1" w:themeColor="accent1"/>
          <w:sz w:val="22"/>
          <w:szCs w:val="22"/>
          <w:lang w:eastAsia="en-US"/>
        </w:rPr>
      </w:pPr>
      <w:r>
        <w:rPr>
          <w:rFonts w:ascii="VIC" w:hAnsi="VIC" w:cs="Arial"/>
          <w:color w:val="005EA1" w:themeColor="accent1"/>
          <w:sz w:val="22"/>
          <w:szCs w:val="22"/>
          <w:lang w:eastAsia="en-US"/>
        </w:rPr>
        <w:t>Balbethan Drive al</w:t>
      </w:r>
      <w:r w:rsidRPr="00D97CD1">
        <w:rPr>
          <w:rFonts w:ascii="VIC" w:hAnsi="VIC" w:cs="Arial"/>
          <w:color w:val="005EA1" w:themeColor="accent1"/>
          <w:sz w:val="22"/>
          <w:szCs w:val="22"/>
          <w:lang w:eastAsia="en-US"/>
        </w:rPr>
        <w:t>ignment</w:t>
      </w:r>
    </w:p>
    <w:p w:rsidR="00D97CD1" w:rsidRDefault="00D97CD1" w:rsidP="003B4265">
      <w:pPr>
        <w:rPr>
          <w:lang w:eastAsia="en-US"/>
        </w:rPr>
      </w:pPr>
      <w:r>
        <w:rPr>
          <w:lang w:eastAsia="en-US"/>
        </w:rPr>
        <w:t xml:space="preserve">In the submission ‘Submission to Planning Panel Hearing of Hume AMC208 Lancefield Road, the submission observes that the deviation NW from Balbethan Stockwell Drive would require the acquisition of private houses. </w:t>
      </w:r>
    </w:p>
    <w:p w:rsidR="00271ED8" w:rsidRPr="00271ED8" w:rsidRDefault="00271ED8" w:rsidP="00271ED8">
      <w:pPr>
        <w:rPr>
          <w:lang w:eastAsia="en-US"/>
        </w:rPr>
      </w:pPr>
      <w:r w:rsidRPr="00271ED8">
        <w:rPr>
          <w:lang w:eastAsia="en-US"/>
        </w:rPr>
        <w:t>The design for the extension of Balbethan Drive and the grade separation of the rail line has had regard for the location of existing dwellings, and has been refined in discussions with representatives of the two affected landowners. It will be delivered in association with the development of those parcels, and will not require demolition of any dwellings.</w:t>
      </w:r>
    </w:p>
    <w:p w:rsidR="00D97CD1" w:rsidRPr="00D97CD1" w:rsidRDefault="00750357" w:rsidP="003B4265">
      <w:pPr>
        <w:rPr>
          <w:rFonts w:ascii="VIC" w:hAnsi="VIC" w:cs="Arial"/>
          <w:color w:val="005EA1" w:themeColor="accent1"/>
          <w:sz w:val="22"/>
          <w:szCs w:val="22"/>
          <w:lang w:eastAsia="en-US"/>
        </w:rPr>
      </w:pPr>
      <w:r>
        <w:rPr>
          <w:lang w:eastAsia="en-US"/>
        </w:rPr>
        <w:t xml:space="preserve">The </w:t>
      </w:r>
      <w:r w:rsidR="00D97CD1">
        <w:rPr>
          <w:lang w:eastAsia="en-US"/>
        </w:rPr>
        <w:t xml:space="preserve">VPA submits the Panel ought to recommend no change to the exhibited PSP in relation to the alignment of Balbethan Drive. </w:t>
      </w:r>
    </w:p>
    <w:p w:rsidR="00CF1FAB" w:rsidRDefault="00CF1FAB" w:rsidP="00CF1FAB">
      <w:pPr>
        <w:pStyle w:val="Heading2"/>
      </w:pPr>
      <w:bookmarkStart w:id="56" w:name="_Toc496183286"/>
      <w:r>
        <w:t>Mr Anthony Menhennit – Submission 27 (C208)</w:t>
      </w:r>
      <w:bookmarkEnd w:id="56"/>
    </w:p>
    <w:p w:rsidR="00750357" w:rsidRPr="00D97CD1" w:rsidRDefault="00750357" w:rsidP="00750357">
      <w:pPr>
        <w:rPr>
          <w:rFonts w:ascii="VIC" w:hAnsi="VIC" w:cs="Arial"/>
          <w:color w:val="005EA1" w:themeColor="accent1"/>
          <w:sz w:val="22"/>
          <w:szCs w:val="22"/>
          <w:lang w:eastAsia="en-US"/>
        </w:rPr>
      </w:pPr>
      <w:r w:rsidRPr="00D97CD1">
        <w:rPr>
          <w:rFonts w:ascii="VIC" w:hAnsi="VIC" w:cs="Arial"/>
          <w:color w:val="005EA1" w:themeColor="accent1"/>
          <w:sz w:val="22"/>
          <w:szCs w:val="22"/>
          <w:lang w:eastAsia="en-US"/>
        </w:rPr>
        <w:t xml:space="preserve">Northern Jacksons Creek </w:t>
      </w:r>
      <w:r>
        <w:rPr>
          <w:rFonts w:ascii="VIC" w:hAnsi="VIC" w:cs="Arial"/>
          <w:color w:val="005EA1" w:themeColor="accent1"/>
          <w:sz w:val="22"/>
          <w:szCs w:val="22"/>
          <w:lang w:eastAsia="en-US"/>
        </w:rPr>
        <w:t>c</w:t>
      </w:r>
      <w:r w:rsidRPr="00D97CD1">
        <w:rPr>
          <w:rFonts w:ascii="VIC" w:hAnsi="VIC" w:cs="Arial"/>
          <w:color w:val="005EA1" w:themeColor="accent1"/>
          <w:sz w:val="22"/>
          <w:szCs w:val="22"/>
          <w:lang w:eastAsia="en-US"/>
        </w:rPr>
        <w:t>rossing</w:t>
      </w:r>
    </w:p>
    <w:p w:rsidR="00750357" w:rsidRDefault="00750357" w:rsidP="00750357">
      <w:r w:rsidRPr="00B17A37">
        <w:t>Refer Section</w:t>
      </w:r>
      <w:r w:rsidR="00B17A37" w:rsidRPr="00B17A37">
        <w:t xml:space="preserve"> 3.1</w:t>
      </w:r>
      <w:r w:rsidR="00AD0140">
        <w:t xml:space="preserve"> above for further discussion. </w:t>
      </w:r>
      <w:r>
        <w:t xml:space="preserve"> </w:t>
      </w:r>
    </w:p>
    <w:p w:rsidR="00750357" w:rsidRPr="00750357" w:rsidRDefault="00750357" w:rsidP="00750357">
      <w:pPr>
        <w:rPr>
          <w:rFonts w:ascii="VIC" w:hAnsi="VIC" w:cs="Arial"/>
          <w:color w:val="005EA1" w:themeColor="accent1"/>
          <w:sz w:val="22"/>
          <w:szCs w:val="22"/>
          <w:lang w:eastAsia="en-US"/>
        </w:rPr>
      </w:pPr>
      <w:r w:rsidRPr="00750357">
        <w:rPr>
          <w:rFonts w:ascii="VIC" w:hAnsi="VIC" w:cs="Arial"/>
          <w:color w:val="005EA1" w:themeColor="accent1"/>
          <w:sz w:val="22"/>
          <w:szCs w:val="22"/>
          <w:lang w:eastAsia="en-US"/>
        </w:rPr>
        <w:t>Cultural Assessment of all trees</w:t>
      </w:r>
    </w:p>
    <w:p w:rsidR="00750357" w:rsidRPr="003B4265" w:rsidRDefault="00AD0140" w:rsidP="00750357">
      <w:r>
        <w:t xml:space="preserve">Mr Menhennit submitted that there is likely to be culturally significant features on the trees within the Jacksons Creek corridor. </w:t>
      </w:r>
      <w:r w:rsidR="00750357">
        <w:t xml:space="preserve">Given the location of the trees in question are within non-developable areas of the PSP, the VPA submits the Panel ought to recommend no change to the exhibited PSP. </w:t>
      </w:r>
    </w:p>
    <w:p w:rsidR="00CF1FAB" w:rsidRDefault="00CF1FAB" w:rsidP="00CF1FAB">
      <w:pPr>
        <w:pStyle w:val="Heading2"/>
      </w:pPr>
      <w:bookmarkStart w:id="57" w:name="_Toc496183287"/>
      <w:r>
        <w:t>Ms Margaret Gray – Submission 77 (C208)</w:t>
      </w:r>
      <w:bookmarkEnd w:id="57"/>
    </w:p>
    <w:p w:rsidR="00750357" w:rsidRDefault="00750357" w:rsidP="00750357">
      <w:pPr>
        <w:rPr>
          <w:rFonts w:ascii="VIC" w:hAnsi="VIC" w:cs="Arial"/>
          <w:color w:val="005EA1" w:themeColor="accent1"/>
          <w:sz w:val="22"/>
          <w:szCs w:val="22"/>
          <w:lang w:eastAsia="en-US"/>
        </w:rPr>
      </w:pPr>
      <w:r w:rsidRPr="00750357">
        <w:rPr>
          <w:rFonts w:ascii="VIC" w:hAnsi="VIC" w:cs="Arial"/>
          <w:color w:val="005EA1" w:themeColor="accent1"/>
          <w:sz w:val="22"/>
          <w:szCs w:val="22"/>
          <w:lang w:eastAsia="en-US"/>
        </w:rPr>
        <w:t xml:space="preserve">Balbethan Drive </w:t>
      </w:r>
      <w:r>
        <w:rPr>
          <w:rFonts w:ascii="VIC" w:hAnsi="VIC" w:cs="Arial"/>
          <w:color w:val="005EA1" w:themeColor="accent1"/>
          <w:sz w:val="22"/>
          <w:szCs w:val="22"/>
          <w:lang w:eastAsia="en-US"/>
        </w:rPr>
        <w:t xml:space="preserve">Sensitive Residential Area </w:t>
      </w:r>
      <w:r w:rsidRPr="00750357">
        <w:rPr>
          <w:rFonts w:ascii="VIC" w:hAnsi="VIC" w:cs="Arial"/>
          <w:color w:val="005EA1" w:themeColor="accent1"/>
          <w:sz w:val="22"/>
          <w:szCs w:val="22"/>
          <w:lang w:eastAsia="en-US"/>
        </w:rPr>
        <w:t>Controls</w:t>
      </w:r>
    </w:p>
    <w:p w:rsidR="002F2072" w:rsidRPr="002F2072" w:rsidRDefault="002F2072" w:rsidP="00750357">
      <w:r w:rsidRPr="002F2072">
        <w:t>Ms Gray submitte</w:t>
      </w:r>
      <w:r>
        <w:t xml:space="preserve">d to the Panel that the Balbethan Residential Design Controls do not provide for the protection </w:t>
      </w:r>
      <w:r w:rsidRPr="002F2072">
        <w:t xml:space="preserve">of the amenity of the existing residents within the area. </w:t>
      </w:r>
    </w:p>
    <w:p w:rsidR="008D3748" w:rsidRPr="002F2072" w:rsidRDefault="00BE45BB" w:rsidP="00750357">
      <w:r w:rsidRPr="002F2072">
        <w:t xml:space="preserve">The VPA notes that the </w:t>
      </w:r>
      <w:r w:rsidR="008D3748" w:rsidRPr="002F2072">
        <w:t xml:space="preserve">outcome being sought by the submitter, being the protection of rural-residential amenity within the Balbethan Drive area, is a difficult matter to address in an area </w:t>
      </w:r>
      <w:r w:rsidR="002F2072">
        <w:t xml:space="preserve">which is </w:t>
      </w:r>
      <w:r w:rsidR="008D3748" w:rsidRPr="002F2072">
        <w:t xml:space="preserve">earmarked for </w:t>
      </w:r>
      <w:r w:rsidR="002F2072" w:rsidRPr="002F2072">
        <w:t xml:space="preserve">urban </w:t>
      </w:r>
      <w:r w:rsidR="008D3748" w:rsidRPr="002F2072">
        <w:t xml:space="preserve">growth. </w:t>
      </w:r>
    </w:p>
    <w:p w:rsidR="002F2072" w:rsidRDefault="002F2072" w:rsidP="00750357">
      <w:r>
        <w:t xml:space="preserve">The outcome that Ms Gray is seeking </w:t>
      </w:r>
      <w:r w:rsidR="008D3748" w:rsidRPr="002F2072">
        <w:t>would likely require interim density controls to be implemented through the PSP. The VPA do not consider that density controls are appropriate in an area which is zoned for substantial growth. Any interim controls could result in further exacerbation of the issue of land fragmentation</w:t>
      </w:r>
      <w:r>
        <w:t xml:space="preserve">, and would likely result in a compromised final urban form. </w:t>
      </w:r>
    </w:p>
    <w:p w:rsidR="002F2072" w:rsidRDefault="002F2072" w:rsidP="00750357">
      <w:r>
        <w:t xml:space="preserve">The controls proposed by the </w:t>
      </w:r>
      <w:r w:rsidRPr="007064CE">
        <w:t>VPA (</w:t>
      </w:r>
      <w:r w:rsidR="007064CE" w:rsidRPr="007064CE">
        <w:t>Tabled Document 19)</w:t>
      </w:r>
      <w:r w:rsidRPr="007064CE">
        <w:t xml:space="preserve"> do</w:t>
      </w:r>
      <w:r>
        <w:t xml:space="preserve"> foreshadow that lower densities are likely to be achieved within this area than the precinct average, in part to recognise that there will be a need for development proposals to complement both an acceptable interim and ultimate built form in the area.  </w:t>
      </w:r>
    </w:p>
    <w:p w:rsidR="002F2072" w:rsidRDefault="005D358D" w:rsidP="00750357">
      <w:r>
        <w:t xml:space="preserve">It is noted that whilst the surrounding setting of individual properties will change over time as development occurs throughout the Balbethan area, the greatest potential impacts to residential amenity are likely to be as a result of construction works on neighbouring properties. These impacts will be mitigated through construction management plans as conditions on permits, as is the usual practice. </w:t>
      </w:r>
    </w:p>
    <w:p w:rsidR="00750357" w:rsidRPr="00750357" w:rsidRDefault="002F2072" w:rsidP="00750357">
      <w:pPr>
        <w:rPr>
          <w:rFonts w:ascii="VIC" w:hAnsi="VIC" w:cs="Arial"/>
          <w:color w:val="005EA1" w:themeColor="accent1"/>
          <w:sz w:val="22"/>
          <w:szCs w:val="22"/>
          <w:lang w:eastAsia="en-US"/>
        </w:rPr>
      </w:pPr>
      <w:r>
        <w:t xml:space="preserve">Whilst the VPA are sympathetic to the concerns of Ms Gray, they do not consider that </w:t>
      </w:r>
      <w:r w:rsidR="005D358D">
        <w:t xml:space="preserve">the controls that she is seeking are compatible with the objectives of the PSP. </w:t>
      </w:r>
    </w:p>
    <w:p w:rsidR="00CF1FAB" w:rsidRDefault="006340DB" w:rsidP="00CF1FAB">
      <w:pPr>
        <w:pStyle w:val="Heading2"/>
      </w:pPr>
      <w:bookmarkStart w:id="58" w:name="_Toc496183288"/>
      <w:r>
        <w:t>Mr Ross and Ms Ros</w:t>
      </w:r>
      <w:r w:rsidR="00CF1FAB">
        <w:t>a Mezzatesta – Submission 48 (C207)</w:t>
      </w:r>
      <w:bookmarkEnd w:id="58"/>
    </w:p>
    <w:p w:rsidR="00136837" w:rsidRDefault="00685FC5" w:rsidP="00136837">
      <w:pPr>
        <w:rPr>
          <w:rFonts w:ascii="VIC" w:hAnsi="VIC" w:cs="Arial"/>
          <w:color w:val="005EA1" w:themeColor="accent1"/>
          <w:sz w:val="22"/>
          <w:szCs w:val="22"/>
          <w:lang w:eastAsia="en-US"/>
        </w:rPr>
      </w:pPr>
      <w:r w:rsidRPr="00685FC5">
        <w:rPr>
          <w:rFonts w:ascii="VIC" w:hAnsi="VIC" w:cs="Arial"/>
          <w:color w:val="005EA1" w:themeColor="accent1"/>
          <w:sz w:val="22"/>
          <w:szCs w:val="22"/>
          <w:lang w:eastAsia="en-US"/>
        </w:rPr>
        <w:t>Local Convenience Centre at 720 Sunbury Road – retail floorspace</w:t>
      </w:r>
    </w:p>
    <w:p w:rsidR="00685FC5" w:rsidRDefault="00685FC5" w:rsidP="00136837">
      <w:r w:rsidRPr="00685FC5">
        <w:t>The VPA</w:t>
      </w:r>
      <w:r>
        <w:t xml:space="preserve"> submit that the Panel ought to recommend that a local convenience centre at 720 Sunbury Road have a retail floor cap of 1,500 square metres. </w:t>
      </w:r>
    </w:p>
    <w:p w:rsidR="00685FC5" w:rsidRDefault="00685FC5" w:rsidP="00136837">
      <w:r>
        <w:t xml:space="preserve">At page 6 of the 720 Sunbury Road – Retail Assessment (Tim Nott, October 2017, provided by Human Habitats), Nott observes that there is 4,500 square metres less retail floorspace in local convenience centres than recommended in the Hill PDA economic assessment (for VPA). </w:t>
      </w:r>
    </w:p>
    <w:p w:rsidR="00173647" w:rsidRDefault="00173647" w:rsidP="00136837">
      <w:r>
        <w:t xml:space="preserve">The VPA position on Local Convenience Centres is detailed at Section 3.13 above. A retail floor cap of 1,500 square metres is supported in this location. </w:t>
      </w:r>
    </w:p>
    <w:p w:rsidR="00685FC5" w:rsidRPr="00685FC5" w:rsidRDefault="00685FC5" w:rsidP="00173647">
      <w:pPr>
        <w:tabs>
          <w:tab w:val="left" w:pos="5979"/>
        </w:tabs>
        <w:rPr>
          <w:rFonts w:ascii="VIC" w:hAnsi="VIC" w:cs="Arial"/>
          <w:color w:val="005EA1" w:themeColor="accent1"/>
          <w:sz w:val="22"/>
          <w:szCs w:val="22"/>
          <w:lang w:eastAsia="en-US"/>
        </w:rPr>
      </w:pPr>
      <w:r w:rsidRPr="00685FC5">
        <w:rPr>
          <w:rFonts w:ascii="VIC" w:hAnsi="VIC" w:cs="Arial"/>
          <w:color w:val="005EA1" w:themeColor="accent1"/>
          <w:sz w:val="22"/>
          <w:szCs w:val="22"/>
          <w:lang w:eastAsia="en-US"/>
        </w:rPr>
        <w:t>Turnberry Drive DSS layout – proposed amendment</w:t>
      </w:r>
      <w:r w:rsidR="00173647">
        <w:rPr>
          <w:rFonts w:ascii="VIC" w:hAnsi="VIC" w:cs="Arial"/>
          <w:color w:val="005EA1" w:themeColor="accent1"/>
          <w:sz w:val="22"/>
          <w:szCs w:val="22"/>
          <w:lang w:eastAsia="en-US"/>
        </w:rPr>
        <w:tab/>
      </w:r>
    </w:p>
    <w:p w:rsidR="00685FC5" w:rsidRDefault="00685FC5" w:rsidP="00136837">
      <w:r>
        <w:t>The VPA submit that the Panel ou</w:t>
      </w:r>
      <w:r w:rsidR="008A074E">
        <w:t>gh</w:t>
      </w:r>
      <w:r>
        <w:t xml:space="preserve">t to recommend that the PSP be updated to reflect any amendments which are made by Melbourne Water to the Development Services Scheme prior to the adoption of the PSP. </w:t>
      </w:r>
    </w:p>
    <w:p w:rsidR="009B47B2" w:rsidRDefault="009B47B2" w:rsidP="00136837">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Realignment of Connector Road and signalisation of intersections</w:t>
      </w:r>
    </w:p>
    <w:p w:rsidR="00271ED8" w:rsidRPr="00271ED8" w:rsidRDefault="00271ED8" w:rsidP="00271ED8">
      <w:pPr>
        <w:rPr>
          <w:lang w:eastAsia="en-US"/>
        </w:rPr>
      </w:pPr>
      <w:r w:rsidRPr="00271ED8">
        <w:rPr>
          <w:lang w:eastAsia="en-US"/>
        </w:rPr>
        <w:t>The VPA considers this matter is resolved. The realignment of the connector road (and relocation of the intersection) is relatively minor and has been previously agreed with Capitol Projects. The signalisation of the intersection has been agreed with VicRoads.</w:t>
      </w:r>
    </w:p>
    <w:p w:rsidR="00271ED8" w:rsidRPr="00271ED8" w:rsidRDefault="00271ED8" w:rsidP="00271ED8">
      <w:pPr>
        <w:rPr>
          <w:color w:val="7030A0"/>
          <w:lang w:eastAsia="en-US"/>
        </w:rPr>
      </w:pPr>
      <w:r w:rsidRPr="00271ED8">
        <w:rPr>
          <w:lang w:eastAsia="en-US"/>
        </w:rPr>
        <w:t xml:space="preserve">Given the potential implications on the landowner to the immediate east of the intersection on Lancefield Road, the VPA would agree that Panel </w:t>
      </w:r>
      <w:r w:rsidR="001F5377" w:rsidRPr="00271ED8">
        <w:rPr>
          <w:lang w:eastAsia="en-US"/>
        </w:rPr>
        <w:t>ought to</w:t>
      </w:r>
      <w:r w:rsidRPr="00271ED8">
        <w:rPr>
          <w:lang w:eastAsia="en-US"/>
        </w:rPr>
        <w:t xml:space="preserve"> recommend engagement with that landowner prior to the gazettal of the PSP</w:t>
      </w:r>
      <w:r w:rsidRPr="00271ED8">
        <w:rPr>
          <w:color w:val="7030A0"/>
          <w:lang w:eastAsia="en-US"/>
        </w:rPr>
        <w:t>.</w:t>
      </w:r>
    </w:p>
    <w:p w:rsidR="00CF1FAB" w:rsidRDefault="00CF1FAB" w:rsidP="00CF1FAB">
      <w:pPr>
        <w:pStyle w:val="Heading2"/>
      </w:pPr>
      <w:bookmarkStart w:id="59" w:name="_Toc496183289"/>
      <w:r>
        <w:t>Jacksons Creek EcoNetwork, Friends of Holden Flora Reserve, Friends of Emu Bottom Wetlands – Submission 36 (C207) and 37 (C208)</w:t>
      </w:r>
      <w:bookmarkEnd w:id="59"/>
    </w:p>
    <w:p w:rsidR="009B47B2" w:rsidRPr="009B47B2" w:rsidRDefault="009B47B2" w:rsidP="009B47B2">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Restriction on pets</w:t>
      </w:r>
    </w:p>
    <w:p w:rsidR="009B47B2" w:rsidRPr="00D97CD1" w:rsidRDefault="009B47B2" w:rsidP="009B47B2">
      <w:pPr>
        <w:rPr>
          <w:rFonts w:ascii="VIC" w:hAnsi="VIC" w:cs="Arial"/>
          <w:color w:val="005EA1" w:themeColor="accent1"/>
          <w:sz w:val="22"/>
          <w:szCs w:val="22"/>
          <w:lang w:eastAsia="en-US"/>
        </w:rPr>
      </w:pPr>
      <w:r>
        <w:rPr>
          <w:lang w:eastAsia="en-US"/>
        </w:rPr>
        <w:t xml:space="preserve">The VPA submits the Panel ought to recommend no change to the exhibited PSP in relation to restriction on pets in the vicinity of the Holden Flora Reserve as this is not a strategic planning matter. </w:t>
      </w:r>
    </w:p>
    <w:p w:rsidR="003B4265" w:rsidRPr="009B47B2" w:rsidRDefault="003B4265" w:rsidP="003B4265">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Northern Jacksons Creek Crossing</w:t>
      </w:r>
    </w:p>
    <w:p w:rsidR="009B47B2" w:rsidRDefault="009B47B2" w:rsidP="009B47B2">
      <w:r w:rsidRPr="00B17A37">
        <w:t>Refer Section</w:t>
      </w:r>
      <w:r w:rsidR="00B17A37" w:rsidRPr="00B17A37">
        <w:t xml:space="preserve"> 3.1</w:t>
      </w:r>
      <w:r w:rsidRPr="00B17A37">
        <w:t xml:space="preserve"> above.</w:t>
      </w:r>
      <w:r>
        <w:t xml:space="preserve"> </w:t>
      </w:r>
    </w:p>
    <w:p w:rsidR="003B4265" w:rsidRPr="009B47B2" w:rsidRDefault="009B47B2" w:rsidP="003B4265">
      <w:pPr>
        <w:rPr>
          <w:rFonts w:ascii="VIC" w:hAnsi="VIC" w:cs="Arial"/>
          <w:color w:val="005EA1" w:themeColor="accent1"/>
          <w:sz w:val="22"/>
          <w:szCs w:val="22"/>
          <w:lang w:eastAsia="en-US"/>
        </w:rPr>
      </w:pPr>
      <w:r w:rsidRPr="009B47B2">
        <w:rPr>
          <w:rFonts w:ascii="VIC" w:hAnsi="VIC" w:cs="Arial"/>
          <w:color w:val="005EA1" w:themeColor="accent1"/>
          <w:sz w:val="22"/>
          <w:szCs w:val="22"/>
          <w:lang w:eastAsia="en-US"/>
        </w:rPr>
        <w:t>Southern Jacksons Creek Crossing</w:t>
      </w:r>
    </w:p>
    <w:p w:rsidR="00271ED8" w:rsidRDefault="00271ED8" w:rsidP="00271ED8">
      <w:pPr>
        <w:rPr>
          <w:lang w:eastAsia="en-US"/>
        </w:rPr>
      </w:pPr>
      <w:r>
        <w:rPr>
          <w:lang w:eastAsia="en-US"/>
        </w:rPr>
        <w:t>The VPA submits the Panel ought to recommend no change to the exhibited PSP in relation to alignment of the Southern Jacksons Creek Crossing. The alignment has been influenced by numerous factors, and was the subject of a comprehensive assessment involving six potential crossing options. The VPA considers that the preferred crossing continues to represent, on balance, the best planning outcome.</w:t>
      </w:r>
    </w:p>
    <w:p w:rsidR="00727949" w:rsidRDefault="00727949" w:rsidP="00727949">
      <w:pPr>
        <w:pStyle w:val="Heading1"/>
      </w:pPr>
      <w:bookmarkStart w:id="60" w:name="_Toc496183290"/>
      <w:r>
        <w:t>Submitters not appearing before panel</w:t>
      </w:r>
      <w:bookmarkEnd w:id="60"/>
    </w:p>
    <w:p w:rsidR="00727949" w:rsidRDefault="00727949" w:rsidP="00727949">
      <w:pPr>
        <w:pStyle w:val="Heading2"/>
        <w:rPr>
          <w:rFonts w:asciiTheme="minorHAnsi" w:eastAsiaTheme="minorEastAsia" w:hAnsiTheme="minorHAnsi" w:cstheme="minorBidi"/>
          <w:noProof/>
          <w:sz w:val="22"/>
          <w:szCs w:val="22"/>
        </w:rPr>
      </w:pPr>
      <w:bookmarkStart w:id="61" w:name="_Toc496183291"/>
      <w:r w:rsidRPr="009C395F">
        <w:rPr>
          <w:rStyle w:val="Hyperlink"/>
          <w:noProof/>
          <w:color w:val="auto"/>
          <w:u w:val="none"/>
        </w:rPr>
        <w:t>Marantali Pty Ltd – Submission 18 (C207)</w:t>
      </w:r>
      <w:bookmarkEnd w:id="61"/>
      <w:r w:rsidRPr="009C395F">
        <w:rPr>
          <w:rFonts w:asciiTheme="minorHAnsi" w:eastAsiaTheme="minorEastAsia" w:hAnsiTheme="minorHAnsi" w:cstheme="minorBidi"/>
          <w:noProof/>
          <w:sz w:val="22"/>
          <w:szCs w:val="22"/>
        </w:rPr>
        <w:t xml:space="preserve"> </w:t>
      </w:r>
    </w:p>
    <w:p w:rsidR="00727949" w:rsidRDefault="00727949" w:rsidP="00727949">
      <w:pPr>
        <w:rPr>
          <w:lang w:eastAsia="en-US"/>
        </w:rPr>
      </w:pPr>
      <w:r>
        <w:rPr>
          <w:lang w:eastAsia="en-US"/>
        </w:rPr>
        <w:t>The VPA had been in discussions with this submitter in relation to options for the alignment of a connector road affecting their site at 607 Sunbury Road. Over the course of the hearing, the submitter indicated tha</w:t>
      </w:r>
      <w:r w:rsidRPr="006C1E5C">
        <w:rPr>
          <w:lang w:eastAsia="en-US"/>
        </w:rPr>
        <w:t xml:space="preserve">t they support the location of the connector road on the adjacent property, as submitted by Sunbury Realty (see </w:t>
      </w:r>
      <w:r w:rsidR="005B706F" w:rsidRPr="006C1E5C">
        <w:rPr>
          <w:lang w:eastAsia="en-US"/>
        </w:rPr>
        <w:t xml:space="preserve">Section </w:t>
      </w:r>
      <w:r w:rsidRPr="006C1E5C">
        <w:rPr>
          <w:lang w:eastAsia="en-US"/>
        </w:rPr>
        <w:t>4.9</w:t>
      </w:r>
      <w:r w:rsidR="005B706F">
        <w:rPr>
          <w:lang w:eastAsia="en-US"/>
        </w:rPr>
        <w:t xml:space="preserve"> above</w:t>
      </w:r>
      <w:r>
        <w:rPr>
          <w:lang w:eastAsia="en-US"/>
        </w:rPr>
        <w:t xml:space="preserve">). </w:t>
      </w:r>
    </w:p>
    <w:p w:rsidR="00727949" w:rsidRPr="009C395F" w:rsidRDefault="00727949" w:rsidP="00727949">
      <w:pPr>
        <w:rPr>
          <w:lang w:eastAsia="en-US"/>
        </w:rPr>
      </w:pPr>
      <w:r>
        <w:rPr>
          <w:lang w:eastAsia="en-US"/>
        </w:rPr>
        <w:t>The VPA considers all matters in this submission have now been resolved.</w:t>
      </w:r>
    </w:p>
    <w:p w:rsidR="00727949" w:rsidRDefault="00727949" w:rsidP="00727949">
      <w:pPr>
        <w:pStyle w:val="Heading2"/>
        <w:rPr>
          <w:rFonts w:asciiTheme="minorHAnsi" w:eastAsiaTheme="minorEastAsia" w:hAnsiTheme="minorHAnsi" w:cstheme="minorBidi"/>
          <w:noProof/>
          <w:sz w:val="22"/>
          <w:szCs w:val="22"/>
        </w:rPr>
      </w:pPr>
      <w:bookmarkStart w:id="62" w:name="_Toc496183292"/>
      <w:r w:rsidRPr="009C395F">
        <w:rPr>
          <w:rStyle w:val="Hyperlink"/>
          <w:noProof/>
          <w:color w:val="auto"/>
          <w:u w:val="none"/>
        </w:rPr>
        <w:t>Charles Lloyd Property Group – Submission 88 (C207)</w:t>
      </w:r>
      <w:bookmarkEnd w:id="62"/>
      <w:r w:rsidRPr="009C395F">
        <w:rPr>
          <w:rFonts w:asciiTheme="minorHAnsi" w:eastAsiaTheme="minorEastAsia" w:hAnsiTheme="minorHAnsi" w:cstheme="minorBidi"/>
          <w:noProof/>
          <w:sz w:val="22"/>
          <w:szCs w:val="22"/>
        </w:rPr>
        <w:t xml:space="preserve"> </w:t>
      </w:r>
    </w:p>
    <w:p w:rsidR="00727949" w:rsidRDefault="00727949" w:rsidP="00727949">
      <w:pPr>
        <w:rPr>
          <w:lang w:eastAsia="en-US"/>
        </w:rPr>
      </w:pPr>
      <w:r>
        <w:rPr>
          <w:lang w:eastAsia="en-US"/>
        </w:rPr>
        <w:t>The VPA, in ‘Part B Submission – Site Specific Issues’, submitted that it did not support the designation of the property at 700 Sunbury Road for bulky goods retailing. This was in part on the basis of evidence by Mr Nick Brisbane of Essential Economics (on behalf of the Charles Lloyd Property Group) that bulky goods retailing on the site would need to operate at a significant size to achieve critical mass and be viable.</w:t>
      </w:r>
    </w:p>
    <w:p w:rsidR="00727949" w:rsidRPr="009C395F" w:rsidRDefault="00727949" w:rsidP="00727949">
      <w:pPr>
        <w:rPr>
          <w:lang w:eastAsia="en-US"/>
        </w:rPr>
      </w:pPr>
      <w:r>
        <w:rPr>
          <w:lang w:eastAsia="en-US"/>
        </w:rPr>
        <w:t xml:space="preserve">Following the Part B submission to Panel, the VPA had further discussions with the submitter. The position of the VPA in relation to this matter is unchanged. The VPA submit that the panel </w:t>
      </w:r>
      <w:r w:rsidR="001F5377">
        <w:rPr>
          <w:lang w:eastAsia="en-US"/>
        </w:rPr>
        <w:t>ought to</w:t>
      </w:r>
      <w:r>
        <w:rPr>
          <w:lang w:eastAsia="en-US"/>
        </w:rPr>
        <w:t xml:space="preserve"> recommend no change to the exhibited PSP in relation to this site.</w:t>
      </w:r>
    </w:p>
    <w:p w:rsidR="00727949" w:rsidRDefault="00A10E6F" w:rsidP="00727949">
      <w:pPr>
        <w:pStyle w:val="Heading2"/>
      </w:pPr>
      <w:hyperlink w:anchor="_Toc496081822" w:history="1">
        <w:bookmarkStart w:id="63" w:name="_Toc496183293"/>
        <w:r w:rsidR="00727949" w:rsidRPr="009C395F">
          <w:t>Andraos and Salem – Submission 37 (C207)</w:t>
        </w:r>
        <w:bookmarkEnd w:id="63"/>
      </w:hyperlink>
      <w:r w:rsidR="00727949" w:rsidRPr="009C395F">
        <w:t xml:space="preserve"> </w:t>
      </w:r>
    </w:p>
    <w:p w:rsidR="00727949" w:rsidRDefault="00727949" w:rsidP="00727949">
      <w:r>
        <w:t xml:space="preserve">The VPA engaged with this submitter over the course of the hearing, and managed to reach agreement over a number of items that had been unresolved at the commencement of the hearing, reflected in the letter from Mr Joel Snyder of Best Hooper to the Panel dated 5 October 2017. The matters addressed in that letter are set out below. </w:t>
      </w:r>
    </w:p>
    <w:p w:rsidR="00727949" w:rsidRDefault="00727949" w:rsidP="00727949">
      <w:r>
        <w:t>The VPA considers all matters in this submission to have now been resolved.</w:t>
      </w:r>
    </w:p>
    <w:p w:rsidR="00727949" w:rsidRPr="002A3AA0" w:rsidRDefault="005F32F0" w:rsidP="00727949">
      <w:pPr>
        <w:pStyle w:val="Heading3nonumbers"/>
        <w:rPr>
          <w:color w:val="003C74" w:themeColor="text2"/>
        </w:rPr>
      </w:pPr>
      <w:r>
        <w:rPr>
          <w:color w:val="005EA1" w:themeColor="accent1"/>
        </w:rPr>
        <w:t>Re</w:t>
      </w:r>
      <w:r w:rsidR="00727949" w:rsidRPr="002A3AA0">
        <w:rPr>
          <w:color w:val="005EA1" w:themeColor="accent1"/>
        </w:rPr>
        <w:t xml:space="preserve">alignment of Sunbury Ring Road, RD-04 </w:t>
      </w:r>
    </w:p>
    <w:p w:rsidR="00727949" w:rsidRDefault="00727949" w:rsidP="00727949">
      <w:r>
        <w:t xml:space="preserve">Melbourne Water has indicated they have no in-principle objection to the movement of the water quality treatment further north to encumber the south-east parcel of the site, below the road, subject to the review of the Fox Hollow DSS. </w:t>
      </w:r>
    </w:p>
    <w:p w:rsidR="00727949" w:rsidRDefault="00727949" w:rsidP="00727949">
      <w:r>
        <w:t xml:space="preserve">In the event that the retarding basin is not moved as part of Melbourne Water’s Fox Hollow Drive DSS, the entirety of the land south of the connector road will be encumbered land associated with RD-04. </w:t>
      </w:r>
    </w:p>
    <w:p w:rsidR="00727949" w:rsidRPr="002A3AA0" w:rsidRDefault="00727949" w:rsidP="00727949">
      <w:pPr>
        <w:pStyle w:val="Heading3nonumbers"/>
        <w:rPr>
          <w:color w:val="005EA1" w:themeColor="accent1"/>
        </w:rPr>
      </w:pPr>
      <w:r w:rsidRPr="002A3AA0">
        <w:rPr>
          <w:color w:val="005EA1" w:themeColor="accent1"/>
        </w:rPr>
        <w:t xml:space="preserve">Local Convenience Centre </w:t>
      </w:r>
    </w:p>
    <w:p w:rsidR="00727949" w:rsidRDefault="00727949" w:rsidP="00727949">
      <w:r>
        <w:t xml:space="preserve">The VPA will update Table 2.4 of the UGZ Schedule to require a permit for leasable floor area above 1,500 square metres for all shops at the Sunbury South Station Local Convenience Centre. A permit will not be required for any use at or below this floor area. </w:t>
      </w:r>
    </w:p>
    <w:p w:rsidR="00727949" w:rsidRPr="002A3AA0" w:rsidRDefault="00727949" w:rsidP="00727949">
      <w:pPr>
        <w:pStyle w:val="Heading3nonumbers"/>
        <w:rPr>
          <w:color w:val="005EA1" w:themeColor="accent1"/>
        </w:rPr>
      </w:pPr>
      <w:r w:rsidRPr="002A3AA0">
        <w:rPr>
          <w:color w:val="005EA1" w:themeColor="accent1"/>
        </w:rPr>
        <w:t xml:space="preserve">Location of Local Park – LP01 </w:t>
      </w:r>
    </w:p>
    <w:p w:rsidR="00727949" w:rsidRDefault="00727949" w:rsidP="00727949">
      <w:r>
        <w:t>The VPA will change the location of the local park within the site to incorporate as much of the existing trees as possible, subject to retaining the local park at 0.75ha, and preserving the general alignment of the north-south connector road running parallel to both Vineyard Road and the rail line.</w:t>
      </w:r>
    </w:p>
    <w:p w:rsidR="00727949" w:rsidRPr="009C395F" w:rsidRDefault="00727949" w:rsidP="00727949">
      <w:pPr>
        <w:rPr>
          <w:lang w:eastAsia="en-US"/>
        </w:rPr>
      </w:pPr>
    </w:p>
    <w:p w:rsidR="00727949" w:rsidRPr="009C395F" w:rsidRDefault="00A10E6F" w:rsidP="00727949">
      <w:pPr>
        <w:pStyle w:val="Heading2"/>
      </w:pPr>
      <w:hyperlink w:anchor="_Toc496081822" w:history="1">
        <w:bookmarkStart w:id="64" w:name="_Toc496183294"/>
        <w:r w:rsidR="00727949" w:rsidRPr="009C395F">
          <w:t>Landowner of 275 Lancefield Road – Submission 93 (C208)</w:t>
        </w:r>
        <w:bookmarkEnd w:id="64"/>
      </w:hyperlink>
      <w:r w:rsidR="00727949" w:rsidRPr="009C395F">
        <w:t xml:space="preserve"> </w:t>
      </w:r>
    </w:p>
    <w:p w:rsidR="00727949" w:rsidRDefault="00A10E6F" w:rsidP="00727949">
      <w:pPr>
        <w:pStyle w:val="Heading2"/>
        <w:numPr>
          <w:ilvl w:val="0"/>
          <w:numId w:val="0"/>
        </w:numPr>
      </w:pPr>
      <w:hyperlink w:anchor="_Toc496081822" w:history="1">
        <w:bookmarkStart w:id="65" w:name="_Toc496183295"/>
        <w:r w:rsidR="00727949" w:rsidRPr="009C395F">
          <w:t>35-65 Fox Hollow Drive – Submission 62 (C207)</w:t>
        </w:r>
        <w:bookmarkEnd w:id="65"/>
      </w:hyperlink>
      <w:r w:rsidR="00727949" w:rsidRPr="009C395F">
        <w:t xml:space="preserve"> </w:t>
      </w:r>
    </w:p>
    <w:p w:rsidR="00727949" w:rsidRDefault="00727949" w:rsidP="00727949">
      <w:pPr>
        <w:rPr>
          <w:lang w:eastAsia="en-US"/>
        </w:rPr>
      </w:pPr>
      <w:r>
        <w:rPr>
          <w:lang w:eastAsia="en-US"/>
        </w:rPr>
        <w:t xml:space="preserve">The VPA has not engaged in further discussions with these submitters since the commencement of the Panel Hearing, however there are submitters by others before the Panel that have potential implications on these sites. </w:t>
      </w:r>
    </w:p>
    <w:p w:rsidR="00727949" w:rsidRPr="009C395F" w:rsidRDefault="00727949" w:rsidP="00727949">
      <w:pPr>
        <w:rPr>
          <w:lang w:eastAsia="en-US"/>
        </w:rPr>
      </w:pPr>
      <w:r w:rsidRPr="006C1E5C">
        <w:rPr>
          <w:lang w:eastAsia="en-US"/>
        </w:rPr>
        <w:t>The VPA understands that our position in relation to these sites as set out in our response to these other submitters is generally supportive of the submissions of these parties. See</w:t>
      </w:r>
      <w:r w:rsidR="005B706F" w:rsidRPr="006C1E5C">
        <w:rPr>
          <w:lang w:eastAsia="en-US"/>
        </w:rPr>
        <w:t xml:space="preserve"> Section</w:t>
      </w:r>
      <w:r w:rsidRPr="006C1E5C">
        <w:rPr>
          <w:lang w:eastAsia="en-US"/>
        </w:rPr>
        <w:t xml:space="preserve"> 4.25</w:t>
      </w:r>
      <w:r w:rsidR="006C1E5C" w:rsidRPr="006C1E5C">
        <w:rPr>
          <w:lang w:eastAsia="en-US"/>
        </w:rPr>
        <w:t xml:space="preserve"> (295</w:t>
      </w:r>
      <w:r w:rsidRPr="006C1E5C">
        <w:rPr>
          <w:lang w:eastAsia="en-US"/>
        </w:rPr>
        <w:t xml:space="preserve"> Lancefield Road JV Pty Ltd) and 4.32 (Asia Pacific Proper</w:t>
      </w:r>
      <w:r>
        <w:rPr>
          <w:lang w:eastAsia="en-US"/>
        </w:rPr>
        <w:t xml:space="preserve">ty Pty Ltd) </w:t>
      </w:r>
      <w:r w:rsidR="005B706F">
        <w:rPr>
          <w:lang w:eastAsia="en-US"/>
        </w:rPr>
        <w:t xml:space="preserve">above </w:t>
      </w:r>
      <w:r>
        <w:rPr>
          <w:lang w:eastAsia="en-US"/>
        </w:rPr>
        <w:t>respectively.</w:t>
      </w:r>
    </w:p>
    <w:p w:rsidR="00727949" w:rsidRPr="009C395F" w:rsidRDefault="00A10E6F" w:rsidP="00727949">
      <w:pPr>
        <w:pStyle w:val="Heading2"/>
      </w:pPr>
      <w:hyperlink w:anchor="_Toc496081822" w:history="1">
        <w:bookmarkStart w:id="66" w:name="_Toc496183296"/>
        <w:r w:rsidR="00727949" w:rsidRPr="009C395F">
          <w:t>SB Capital – Submission 56 (C207)</w:t>
        </w:r>
        <w:bookmarkEnd w:id="66"/>
      </w:hyperlink>
      <w:r w:rsidR="00727949" w:rsidRPr="009C395F">
        <w:t xml:space="preserve"> </w:t>
      </w:r>
    </w:p>
    <w:p w:rsidR="00727949" w:rsidRPr="009C395F" w:rsidRDefault="00A10E6F" w:rsidP="00727949">
      <w:pPr>
        <w:pStyle w:val="Heading2"/>
        <w:numPr>
          <w:ilvl w:val="0"/>
          <w:numId w:val="0"/>
        </w:numPr>
      </w:pPr>
      <w:hyperlink w:anchor="_Toc496081822" w:history="1">
        <w:bookmarkStart w:id="67" w:name="_Toc496183297"/>
        <w:r w:rsidR="00727949" w:rsidRPr="009C395F">
          <w:t>Mr Anthony Stafford – Submission 59 (C208)</w:t>
        </w:r>
        <w:bookmarkEnd w:id="67"/>
      </w:hyperlink>
      <w:r w:rsidR="00727949" w:rsidRPr="009C395F">
        <w:t xml:space="preserve"> </w:t>
      </w:r>
    </w:p>
    <w:p w:rsidR="00727949" w:rsidRPr="009C395F" w:rsidRDefault="00A10E6F" w:rsidP="00727949">
      <w:pPr>
        <w:pStyle w:val="Heading2"/>
        <w:numPr>
          <w:ilvl w:val="0"/>
          <w:numId w:val="0"/>
        </w:numPr>
      </w:pPr>
      <w:hyperlink w:anchor="_Toc496081822" w:history="1">
        <w:bookmarkStart w:id="68" w:name="_Toc496183298"/>
        <w:r w:rsidR="00727949" w:rsidRPr="009C395F">
          <w:t>Elaine Brogan OAM – Submission 24 (C207) and 17 (C208)</w:t>
        </w:r>
        <w:bookmarkEnd w:id="68"/>
      </w:hyperlink>
      <w:r w:rsidR="00727949" w:rsidRPr="009C395F">
        <w:t xml:space="preserve"> </w:t>
      </w:r>
    </w:p>
    <w:p w:rsidR="00727949" w:rsidRDefault="00A10E6F" w:rsidP="00727949">
      <w:pPr>
        <w:pStyle w:val="Heading2"/>
        <w:numPr>
          <w:ilvl w:val="0"/>
          <w:numId w:val="0"/>
        </w:numPr>
        <w:rPr>
          <w:rStyle w:val="Hyperlink"/>
          <w:color w:val="auto"/>
          <w:u w:val="none"/>
        </w:rPr>
      </w:pPr>
      <w:hyperlink w:anchor="_Toc496081822" w:history="1">
        <w:bookmarkStart w:id="69" w:name="_Toc496183299"/>
        <w:r w:rsidR="00727949" w:rsidRPr="009C395F">
          <w:t>Mr Amit Khairajani – Submission 9 (C207)</w:t>
        </w:r>
        <w:bookmarkEnd w:id="69"/>
        <w:r w:rsidR="00727949" w:rsidRPr="009C395F">
          <w:rPr>
            <w:webHidden/>
          </w:rPr>
          <w:tab/>
        </w:r>
      </w:hyperlink>
    </w:p>
    <w:p w:rsidR="00727949" w:rsidRPr="009C395F" w:rsidRDefault="00727949" w:rsidP="00727949">
      <w:pPr>
        <w:rPr>
          <w:lang w:eastAsia="en-US"/>
        </w:rPr>
      </w:pPr>
      <w:r>
        <w:rPr>
          <w:lang w:eastAsia="en-US"/>
        </w:rPr>
        <w:t xml:space="preserve">The VPA has not engaged in further discussions with these submitters since the commencement of the Panel Hearing, and therefore our position in relation to these submissions remains unchanged. Please refer to the VPA Part A and Part B submission for further details. </w:t>
      </w:r>
    </w:p>
    <w:p w:rsidR="00BD0BD8" w:rsidRDefault="00BD0BD8" w:rsidP="00BD0BD8">
      <w:pPr>
        <w:rPr>
          <w:lang w:eastAsia="en-US"/>
        </w:rPr>
      </w:pPr>
    </w:p>
    <w:p w:rsidR="00BD0BD8" w:rsidRDefault="00BD0BD8" w:rsidP="00BD0BD8">
      <w:pPr>
        <w:pStyle w:val="Heading1"/>
      </w:pPr>
      <w:bookmarkStart w:id="70" w:name="_Toc496183300"/>
      <w:r>
        <w:t>Appendices</w:t>
      </w:r>
      <w:bookmarkEnd w:id="70"/>
    </w:p>
    <w:p w:rsidR="004A62FB" w:rsidRDefault="004A62FB" w:rsidP="004A62FB">
      <w:pPr>
        <w:rPr>
          <w:lang w:eastAsia="en-US"/>
        </w:rPr>
      </w:pPr>
    </w:p>
    <w:p w:rsidR="00373BB0" w:rsidRDefault="005B706F" w:rsidP="00814C2B">
      <w:pPr>
        <w:pStyle w:val="List1bullet"/>
        <w:numPr>
          <w:ilvl w:val="0"/>
          <w:numId w:val="16"/>
        </w:numPr>
      </w:pPr>
      <w:r>
        <w:t xml:space="preserve">Letter from Development Victoria </w:t>
      </w:r>
      <w:r w:rsidR="00373BB0">
        <w:t>regarding Restrictive Covenant removal</w:t>
      </w:r>
    </w:p>
    <w:p w:rsidR="00226CC1" w:rsidRDefault="00226CC1" w:rsidP="00814C2B">
      <w:pPr>
        <w:pStyle w:val="List1bullet"/>
        <w:numPr>
          <w:ilvl w:val="0"/>
          <w:numId w:val="16"/>
        </w:numPr>
      </w:pPr>
      <w:r>
        <w:t>VPA response to Hume City Council</w:t>
      </w:r>
    </w:p>
    <w:p w:rsidR="00226CC1" w:rsidRDefault="00226CC1" w:rsidP="00814C2B">
      <w:pPr>
        <w:pStyle w:val="List1bullet"/>
        <w:numPr>
          <w:ilvl w:val="0"/>
          <w:numId w:val="16"/>
        </w:numPr>
      </w:pPr>
      <w:r>
        <w:t>VPA response to Capitol Property Group</w:t>
      </w:r>
    </w:p>
    <w:p w:rsidR="00226CC1" w:rsidRDefault="00226CC1" w:rsidP="00814C2B">
      <w:pPr>
        <w:pStyle w:val="List1bullet"/>
        <w:numPr>
          <w:ilvl w:val="0"/>
          <w:numId w:val="16"/>
        </w:numPr>
      </w:pPr>
      <w:r>
        <w:t>VPA response to View Grange Pastoral Pty Ltd (Villawood Properties)</w:t>
      </w:r>
    </w:p>
    <w:p w:rsidR="005B706F" w:rsidRDefault="005B706F" w:rsidP="00814C2B">
      <w:pPr>
        <w:pStyle w:val="List1bullet"/>
        <w:numPr>
          <w:ilvl w:val="0"/>
          <w:numId w:val="16"/>
        </w:numPr>
      </w:pPr>
      <w:r>
        <w:t>Letter from DELWP regarding Urban Development definition</w:t>
      </w:r>
    </w:p>
    <w:p w:rsidR="000274DA" w:rsidRDefault="000274DA" w:rsidP="00814C2B">
      <w:pPr>
        <w:pStyle w:val="List1bullet"/>
        <w:numPr>
          <w:ilvl w:val="0"/>
          <w:numId w:val="16"/>
        </w:numPr>
      </w:pPr>
      <w:r>
        <w:t>Environment Significance Overlay</w:t>
      </w:r>
    </w:p>
    <w:p w:rsidR="000274DA" w:rsidRDefault="000274DA" w:rsidP="00814C2B">
      <w:pPr>
        <w:pStyle w:val="List1bullet"/>
        <w:numPr>
          <w:ilvl w:val="0"/>
          <w:numId w:val="16"/>
        </w:numPr>
      </w:pPr>
      <w:r>
        <w:t>Letter from APA GasNet</w:t>
      </w:r>
    </w:p>
    <w:p w:rsidR="000274DA" w:rsidRDefault="000274DA" w:rsidP="00814C2B">
      <w:pPr>
        <w:pStyle w:val="List1bullet"/>
        <w:numPr>
          <w:ilvl w:val="0"/>
          <w:numId w:val="16"/>
        </w:numPr>
      </w:pPr>
      <w:r>
        <w:t>Buffer controls</w:t>
      </w:r>
    </w:p>
    <w:p w:rsidR="00AD0140" w:rsidRDefault="00AD0140" w:rsidP="000274DA">
      <w:pPr>
        <w:pStyle w:val="List1bullet"/>
        <w:numPr>
          <w:ilvl w:val="0"/>
          <w:numId w:val="0"/>
        </w:numPr>
        <w:ind w:left="1145"/>
      </w:pPr>
    </w:p>
    <w:p w:rsidR="00FD0E68" w:rsidRPr="004A62FB" w:rsidRDefault="00FD0E68" w:rsidP="00FD0E68">
      <w:pPr>
        <w:pStyle w:val="ListParagraph"/>
      </w:pPr>
    </w:p>
    <w:p w:rsidR="00937364" w:rsidRPr="00BD0BD8" w:rsidRDefault="00937364" w:rsidP="00BD0BD8">
      <w:pPr>
        <w:pStyle w:val="Heading1"/>
        <w:numPr>
          <w:ilvl w:val="0"/>
          <w:numId w:val="0"/>
        </w:numPr>
        <w:rPr>
          <w:vanish/>
          <w:color w:val="9CA0A3" w:themeColor="accent4"/>
        </w:rPr>
        <w:sectPr w:rsidR="00937364" w:rsidRPr="00BD0BD8" w:rsidSect="00937364">
          <w:footerReference w:type="even" r:id="rId28"/>
          <w:footerReference w:type="default" r:id="rId29"/>
          <w:pgSz w:w="11901" w:h="16846" w:code="9"/>
          <w:pgMar w:top="1701" w:right="1134" w:bottom="851" w:left="1985" w:header="283" w:footer="0" w:gutter="0"/>
          <w:pgNumType w:start="1"/>
          <w:cols w:space="720"/>
          <w:docGrid w:linePitch="299"/>
        </w:sectPr>
      </w:pPr>
      <w:r w:rsidRPr="00BD0BD8">
        <w:rPr>
          <w:vanish/>
          <w:color w:val="9CA0A3" w:themeColor="accent4"/>
        </w:rPr>
        <w:t xml:space="preserve">(section break for back page – do not delete) </w:t>
      </w:r>
    </w:p>
    <w:p w:rsidR="00937364" w:rsidRPr="00112F07" w:rsidRDefault="00937364" w:rsidP="00937364">
      <w:pPr>
        <w:rPr>
          <w:vanish/>
          <w:color w:val="9CA0A3" w:themeColor="accent4"/>
        </w:rPr>
      </w:pPr>
      <w:r w:rsidRPr="00112F07">
        <w:rPr>
          <w:vanish/>
          <w:color w:val="9CA0A3" w:themeColor="accent4"/>
        </w:rPr>
        <w:t>(back page</w:t>
      </w:r>
      <w:r>
        <w:rPr>
          <w:vanish/>
          <w:color w:val="9CA0A3" w:themeColor="accent4"/>
        </w:rPr>
        <w:t xml:space="preserve"> – do not delete</w:t>
      </w:r>
      <w:r w:rsidRPr="00112F07">
        <w:rPr>
          <w:vanish/>
          <w:color w:val="9CA0A3" w:themeColor="accent4"/>
        </w:rPr>
        <w:t>)</w:t>
      </w:r>
    </w:p>
    <w:p w:rsidR="00937364" w:rsidRPr="006025C6" w:rsidRDefault="00937364" w:rsidP="00937364"/>
    <w:p w:rsidR="00987CB7" w:rsidRPr="00987CB7" w:rsidRDefault="00987CB7" w:rsidP="00987CB7"/>
    <w:sectPr w:rsidR="00987CB7" w:rsidRPr="00987CB7" w:rsidSect="00937364">
      <w:headerReference w:type="even" r:id="rId30"/>
      <w:headerReference w:type="default" r:id="rId31"/>
      <w:footerReference w:type="even" r:id="rId32"/>
      <w:footerReference w:type="default" r:id="rId33"/>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4DA" w:rsidRDefault="000274DA">
      <w:pPr>
        <w:spacing w:before="0"/>
      </w:pPr>
      <w:r>
        <w:separator/>
      </w:r>
    </w:p>
    <w:p w:rsidR="000274DA" w:rsidRDefault="000274DA"/>
    <w:p w:rsidR="000274DA" w:rsidRDefault="000274DA"/>
  </w:endnote>
  <w:endnote w:type="continuationSeparator" w:id="0">
    <w:p w:rsidR="000274DA" w:rsidRDefault="000274DA">
      <w:pPr>
        <w:spacing w:before="0"/>
      </w:pPr>
      <w:r>
        <w:continuationSeparator/>
      </w:r>
    </w:p>
    <w:p w:rsidR="000274DA" w:rsidRDefault="000274DA"/>
    <w:p w:rsidR="000274DA" w:rsidRDefault="00027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A6CE8CAD-9012-436C-B9A4-650BC4A69740}"/>
    <w:embedBold r:id="rId2" w:fontKey="{C456994E-0DAF-4DA9-9E56-FBF037B70B3A}"/>
    <w:embedItalic r:id="rId3" w:fontKey="{8F5B2951-825A-43DE-B22B-45E2A42BD5C8}"/>
    <w:embedBoldItalic r:id="rId4" w:fontKey="{4B5945DA-5706-4049-8C18-B812A750444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IC SemiBold">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5" w:fontKey="{A73D4BAE-ED45-44E2-89F0-BC6493AF08C7}"/>
    <w:embedBold r:id="rId6" w:fontKey="{273A2DEF-F4A6-4E90-B10E-BB326C90A19C}"/>
    <w:embedItalic r:id="rId7" w:fontKey="{237C6FE2-D4BF-427A-9ED8-1EE62BDB9360}"/>
    <w:embedBoldItalic r:id="rId8" w:fontKey="{8876AB52-B99E-4F66-9F8E-F0B9A84D3B46}"/>
  </w:font>
  <w:font w:name="Times">
    <w:altName w:val="Times New Roman"/>
    <w:panose1 w:val="02020603050405020304"/>
    <w:charset w:val="00"/>
    <w:family w:val="roman"/>
    <w:pitch w:val="variable"/>
    <w:sig w:usb0="E0002AFF" w:usb1="C0007841" w:usb2="00000009" w:usb3="00000000" w:csb0="000001FF" w:csb1="00000000"/>
  </w:font>
  <w:font w:name="VIC">
    <w:altName w:val="Courier New"/>
    <w:panose1 w:val="00000000000000000000"/>
    <w:charset w:val="00"/>
    <w:family w:val="moder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wis721 BlkCn BT">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9" w:fontKey="{392FEAD8-D7C2-4F49-B010-4E1F91A6C1F3}"/>
    <w:embedBold r:id="rId10" w:fontKey="{104A3ECA-A6AA-4B42-9275-376F152C1174}"/>
    <w:embedItalic r:id="rId11" w:fontKey="{8B123ACA-D235-4577-BA30-2AC8FE80E05D}"/>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0274DA" w:rsidTr="00A61404">
      <w:trPr>
        <w:trHeight w:val="283"/>
      </w:trPr>
      <w:tc>
        <w:tcPr>
          <w:tcW w:w="567" w:type="dxa"/>
          <w:shd w:val="clear" w:color="auto" w:fill="63B9E9"/>
          <w:vAlign w:val="center"/>
        </w:tcPr>
        <w:p w:rsidR="000274DA" w:rsidRPr="008D7974" w:rsidRDefault="000274DA" w:rsidP="00481C3C">
          <w:pPr>
            <w:spacing w:before="0"/>
            <w:jc w:val="left"/>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7252BE">
            <w:rPr>
              <w:rFonts w:ascii="VIC SemiBold" w:hAnsi="VIC SemiBold"/>
              <w:noProof/>
              <w:color w:val="FFFFFF" w:themeColor="background1"/>
            </w:rPr>
            <w:t>iv</w:t>
          </w:r>
          <w:r>
            <w:rPr>
              <w:rFonts w:ascii="VIC SemiBold" w:hAnsi="VIC SemiBold"/>
              <w:color w:val="FFFFFF" w:themeColor="background1"/>
            </w:rPr>
            <w:fldChar w:fldCharType="end"/>
          </w:r>
        </w:p>
      </w:tc>
      <w:tc>
        <w:tcPr>
          <w:tcW w:w="10772" w:type="dxa"/>
          <w:shd w:val="clear" w:color="auto" w:fill="005EA1" w:themeFill="accent1"/>
          <w:vAlign w:val="center"/>
        </w:tcPr>
        <w:p w:rsidR="000274DA" w:rsidRPr="00552F9A" w:rsidRDefault="000274DA" w:rsidP="00481C3C">
          <w:pPr>
            <w:tabs>
              <w:tab w:val="clear" w:pos="425"/>
              <w:tab w:val="clear" w:pos="709"/>
              <w:tab w:val="clear" w:pos="992"/>
            </w:tabs>
            <w:spacing w:before="0"/>
            <w:jc w:val="right"/>
            <w:rPr>
              <w:rFonts w:cs="Arial"/>
              <w:caps/>
            </w:rPr>
          </w:pPr>
          <w:r>
            <w:rPr>
              <w:rFonts w:cs="Arial"/>
              <w:caps/>
              <w:color w:val="FFFFFF" w:themeColor="background1"/>
              <w:sz w:val="18"/>
            </w:rPr>
            <w:t xml:space="preserve">Hume C207 and C208 </w:t>
          </w:r>
          <w:r w:rsidRPr="00552F9A">
            <w:rPr>
              <w:rFonts w:cs="Arial"/>
              <w:caps/>
              <w:color w:val="FFFFFF" w:themeColor="background1"/>
              <w:sz w:val="18"/>
            </w:rPr>
            <w:t xml:space="preserve"> – </w:t>
          </w:r>
          <w:r>
            <w:rPr>
              <w:rFonts w:cs="Arial"/>
              <w:caps/>
              <w:color w:val="FFFFFF" w:themeColor="background1"/>
              <w:sz w:val="18"/>
            </w:rPr>
            <w:t>VPA CLOsing submission – October 2017</w:t>
          </w:r>
        </w:p>
      </w:tc>
    </w:tr>
  </w:tbl>
  <w:p w:rsidR="000274DA" w:rsidRDefault="000274DA" w:rsidP="0099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0274DA" w:rsidTr="00A61404">
      <w:trPr>
        <w:trHeight w:val="283"/>
      </w:trPr>
      <w:tc>
        <w:tcPr>
          <w:tcW w:w="10772" w:type="dxa"/>
          <w:shd w:val="clear" w:color="auto" w:fill="005EA1" w:themeFill="accent1"/>
          <w:vAlign w:val="center"/>
        </w:tcPr>
        <w:p w:rsidR="000274DA" w:rsidRPr="00552F9A" w:rsidRDefault="000274DA" w:rsidP="00481C3C">
          <w:pPr>
            <w:tabs>
              <w:tab w:val="clear" w:pos="425"/>
              <w:tab w:val="clear" w:pos="709"/>
              <w:tab w:val="clear" w:pos="992"/>
            </w:tabs>
            <w:spacing w:before="0"/>
            <w:jc w:val="left"/>
            <w:rPr>
              <w:rFonts w:ascii="VIC" w:hAnsi="VIC"/>
              <w:caps/>
            </w:rPr>
          </w:pPr>
          <w:r>
            <w:rPr>
              <w:rFonts w:cs="Arial"/>
              <w:caps/>
              <w:color w:val="FFFFFF" w:themeColor="background1"/>
              <w:sz w:val="18"/>
            </w:rPr>
            <w:t xml:space="preserve">Hume C207 and C208 </w:t>
          </w:r>
          <w:r w:rsidRPr="00552F9A">
            <w:rPr>
              <w:rFonts w:cs="Arial"/>
              <w:caps/>
              <w:color w:val="FFFFFF" w:themeColor="background1"/>
              <w:sz w:val="18"/>
            </w:rPr>
            <w:t xml:space="preserve"> – </w:t>
          </w:r>
          <w:r>
            <w:rPr>
              <w:rFonts w:cs="Arial"/>
              <w:caps/>
              <w:color w:val="FFFFFF" w:themeColor="background1"/>
              <w:sz w:val="18"/>
            </w:rPr>
            <w:t>VPA CLOsing submission – October 2017</w:t>
          </w:r>
        </w:p>
      </w:tc>
      <w:tc>
        <w:tcPr>
          <w:tcW w:w="567" w:type="dxa"/>
          <w:shd w:val="clear" w:color="auto" w:fill="63B9E9"/>
        </w:tcPr>
        <w:p w:rsidR="000274DA" w:rsidRPr="008D7974" w:rsidRDefault="000274DA"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7252BE">
            <w:rPr>
              <w:rFonts w:ascii="VIC SemiBold" w:hAnsi="VIC SemiBold"/>
              <w:noProof/>
              <w:color w:val="FFFFFF" w:themeColor="background1"/>
            </w:rPr>
            <w:t>v</w:t>
          </w:r>
          <w:r>
            <w:rPr>
              <w:rFonts w:ascii="VIC SemiBold" w:hAnsi="VIC SemiBold"/>
              <w:color w:val="FFFFFF" w:themeColor="background1"/>
            </w:rPr>
            <w:fldChar w:fldCharType="end"/>
          </w:r>
        </w:p>
      </w:tc>
    </w:tr>
  </w:tbl>
  <w:p w:rsidR="000274DA" w:rsidRDefault="000274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0274DA" w:rsidTr="00EC54A1">
      <w:trPr>
        <w:trHeight w:val="283"/>
      </w:trPr>
      <w:tc>
        <w:tcPr>
          <w:tcW w:w="567" w:type="dxa"/>
          <w:shd w:val="clear" w:color="auto" w:fill="63B9E9"/>
          <w:vAlign w:val="center"/>
        </w:tcPr>
        <w:p w:rsidR="000274DA" w:rsidRPr="008D7974" w:rsidRDefault="000274DA" w:rsidP="00EC54A1">
          <w:pPr>
            <w:spacing w:before="0"/>
            <w:jc w:val="left"/>
            <w:rPr>
              <w:rFonts w:ascii="VIC SemiBold" w:hAnsi="VIC SemiBold"/>
            </w:rPr>
          </w:pPr>
          <w:r w:rsidRPr="008D7974">
            <w:rPr>
              <w:rFonts w:ascii="VIC SemiBold" w:hAnsi="VIC SemiBold"/>
              <w:color w:val="FFFFFF" w:themeColor="background1"/>
            </w:rPr>
            <w:fldChar w:fldCharType="begin"/>
          </w:r>
          <w:r w:rsidRPr="008D7974">
            <w:rPr>
              <w:rFonts w:ascii="VIC SemiBold" w:hAnsi="VIC SemiBold"/>
              <w:color w:val="FFFFFF" w:themeColor="background1"/>
            </w:rPr>
            <w:instrText xml:space="preserve"> PAGE   \* MERGEFORMAT </w:instrText>
          </w:r>
          <w:r w:rsidRPr="008D7974">
            <w:rPr>
              <w:rFonts w:ascii="VIC SemiBold" w:hAnsi="VIC SemiBold"/>
              <w:color w:val="FFFFFF" w:themeColor="background1"/>
            </w:rPr>
            <w:fldChar w:fldCharType="separate"/>
          </w:r>
          <w:r w:rsidR="007252BE">
            <w:rPr>
              <w:rFonts w:ascii="VIC SemiBold" w:hAnsi="VIC SemiBold"/>
              <w:noProof/>
              <w:color w:val="FFFFFF" w:themeColor="background1"/>
            </w:rPr>
            <w:t>10</w:t>
          </w:r>
          <w:r w:rsidRPr="008D7974">
            <w:rPr>
              <w:rFonts w:ascii="VIC SemiBold" w:hAnsi="VIC SemiBold"/>
              <w:noProof/>
              <w:color w:val="FFFFFF" w:themeColor="background1"/>
            </w:rPr>
            <w:fldChar w:fldCharType="end"/>
          </w:r>
        </w:p>
      </w:tc>
      <w:tc>
        <w:tcPr>
          <w:tcW w:w="10772" w:type="dxa"/>
          <w:shd w:val="clear" w:color="auto" w:fill="005EA1" w:themeFill="accent1"/>
          <w:vAlign w:val="center"/>
        </w:tcPr>
        <w:p w:rsidR="000274DA" w:rsidRPr="00552F9A" w:rsidRDefault="000274DA" w:rsidP="00271ED8">
          <w:pPr>
            <w:tabs>
              <w:tab w:val="clear" w:pos="425"/>
              <w:tab w:val="clear" w:pos="709"/>
              <w:tab w:val="clear" w:pos="992"/>
            </w:tabs>
            <w:spacing w:before="0"/>
            <w:jc w:val="right"/>
            <w:rPr>
              <w:rFonts w:cs="Arial"/>
              <w:caps/>
            </w:rPr>
          </w:pPr>
          <w:r>
            <w:rPr>
              <w:rFonts w:cs="Arial"/>
              <w:caps/>
              <w:color w:val="FFFFFF" w:themeColor="background1"/>
              <w:sz w:val="18"/>
            </w:rPr>
            <w:t xml:space="preserve">Hume C207 and C208 </w:t>
          </w:r>
          <w:r w:rsidRPr="00552F9A">
            <w:rPr>
              <w:rFonts w:cs="Arial"/>
              <w:caps/>
              <w:color w:val="FFFFFF" w:themeColor="background1"/>
              <w:sz w:val="18"/>
            </w:rPr>
            <w:t xml:space="preserve"> – </w:t>
          </w:r>
          <w:r>
            <w:rPr>
              <w:rFonts w:cs="Arial"/>
              <w:caps/>
              <w:color w:val="FFFFFF" w:themeColor="background1"/>
              <w:sz w:val="18"/>
            </w:rPr>
            <w:t>VPA CLOsing submission – October 2017</w:t>
          </w:r>
        </w:p>
      </w:tc>
    </w:tr>
  </w:tbl>
  <w:p w:rsidR="000274DA" w:rsidRDefault="000274DA" w:rsidP="009957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0274DA" w:rsidTr="00A61404">
      <w:trPr>
        <w:trHeight w:val="283"/>
      </w:trPr>
      <w:tc>
        <w:tcPr>
          <w:tcW w:w="10772" w:type="dxa"/>
          <w:shd w:val="clear" w:color="auto" w:fill="005EA1" w:themeFill="accent1"/>
          <w:vAlign w:val="center"/>
        </w:tcPr>
        <w:p w:rsidR="000274DA" w:rsidRPr="00552F9A" w:rsidRDefault="000274DA" w:rsidP="00481C3C">
          <w:pPr>
            <w:tabs>
              <w:tab w:val="clear" w:pos="425"/>
              <w:tab w:val="clear" w:pos="709"/>
              <w:tab w:val="clear" w:pos="992"/>
            </w:tabs>
            <w:spacing w:before="0"/>
            <w:jc w:val="left"/>
            <w:rPr>
              <w:rFonts w:ascii="VIC" w:hAnsi="VIC"/>
              <w:caps/>
            </w:rPr>
          </w:pPr>
          <w:r w:rsidRPr="00271ED8">
            <w:rPr>
              <w:rFonts w:ascii="VIC" w:hAnsi="VIC"/>
              <w:caps/>
              <w:color w:val="FFFFFF" w:themeColor="background1"/>
              <w:sz w:val="18"/>
            </w:rPr>
            <w:t>Hume C207 and C208  – VPA CLOsing submission – October 2017</w:t>
          </w:r>
        </w:p>
      </w:tc>
      <w:tc>
        <w:tcPr>
          <w:tcW w:w="567" w:type="dxa"/>
          <w:shd w:val="clear" w:color="auto" w:fill="63B9E9"/>
        </w:tcPr>
        <w:p w:rsidR="000274DA" w:rsidRPr="008D7974" w:rsidRDefault="000274DA"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sidR="007252BE">
            <w:rPr>
              <w:rFonts w:ascii="VIC SemiBold" w:hAnsi="VIC SemiBold"/>
              <w:noProof/>
              <w:color w:val="FFFFFF" w:themeColor="background1"/>
            </w:rPr>
            <w:t>11</w:t>
          </w:r>
          <w:r>
            <w:rPr>
              <w:rFonts w:ascii="VIC SemiBold" w:hAnsi="VIC SemiBold"/>
              <w:color w:val="FFFFFF" w:themeColor="background1"/>
            </w:rPr>
            <w:fldChar w:fldCharType="end"/>
          </w:r>
        </w:p>
      </w:tc>
    </w:tr>
  </w:tbl>
  <w:p w:rsidR="000274DA" w:rsidRDefault="000274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A" w:rsidRDefault="000274DA" w:rsidP="00937364">
    <w:pPr>
      <w:ind w:left="-709"/>
      <w:jc w:val="center"/>
      <w:rPr>
        <w:sz w:val="16"/>
      </w:rPr>
    </w:pPr>
    <w:r>
      <w:rPr>
        <w:rFonts w:ascii="Trebuchet MS" w:hAnsi="Trebuchet MS"/>
        <w:noProof/>
        <w:color w:val="9CA0A3" w:themeColor="accent4"/>
        <w:sz w:val="28"/>
        <w:szCs w:val="28"/>
      </w:rPr>
      <w:drawing>
        <wp:inline distT="0" distB="0" distL="0" distR="0" wp14:anchorId="71898D69" wp14:editId="4502F652">
          <wp:extent cx="1629187" cy="6663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0274DA" w:rsidRPr="00A9595C" w:rsidRDefault="000274DA" w:rsidP="00937364">
    <w:pPr>
      <w:ind w:left="-709"/>
      <w:jc w:val="center"/>
      <w:rPr>
        <w:rFonts w:ascii="VIC" w:hAnsi="VIC"/>
        <w:color w:val="9CA0A3" w:themeColor="accent4"/>
        <w:sz w:val="28"/>
        <w:szCs w:val="28"/>
      </w:rPr>
    </w:pPr>
    <w:r w:rsidRPr="00A9595C">
      <w:rPr>
        <w:rFonts w:ascii="VIC" w:hAnsi="VIC"/>
        <w:sz w:val="28"/>
        <w:szCs w:val="28"/>
      </w:rPr>
      <w:t xml:space="preserve">PSP Name Precinct Structure Plan </w:t>
    </w:r>
    <w:r w:rsidRPr="00A9595C">
      <w:rPr>
        <w:rFonts w:ascii="VIC" w:hAnsi="VIC"/>
        <w:color w:val="9CA0A3" w:themeColor="accent4"/>
        <w:sz w:val="28"/>
        <w:szCs w:val="28"/>
      </w:rPr>
      <w:t>Month Year</w:t>
    </w:r>
  </w:p>
  <w:p w:rsidR="000274DA" w:rsidRDefault="000274DA" w:rsidP="009957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A" w:rsidRDefault="000274DA" w:rsidP="00937364">
    <w:pPr>
      <w:ind w:left="-709"/>
      <w:jc w:val="center"/>
      <w:rPr>
        <w:sz w:val="16"/>
      </w:rPr>
    </w:pPr>
    <w:r>
      <w:rPr>
        <w:rFonts w:ascii="Trebuchet MS" w:hAnsi="Trebuchet MS"/>
        <w:noProof/>
        <w:color w:val="9CA0A3" w:themeColor="accent4"/>
        <w:sz w:val="28"/>
        <w:szCs w:val="28"/>
      </w:rPr>
      <w:drawing>
        <wp:inline distT="0" distB="0" distL="0" distR="0" wp14:anchorId="1DB08753" wp14:editId="18444556">
          <wp:extent cx="1629187" cy="66630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0274DA" w:rsidRPr="00A6488F" w:rsidRDefault="000274DA" w:rsidP="00937364">
    <w:pPr>
      <w:ind w:left="-709"/>
      <w:jc w:val="center"/>
      <w:rPr>
        <w:rFonts w:ascii="VIC" w:hAnsi="VIC"/>
        <w:color w:val="9CA0A3" w:themeColor="accent4"/>
        <w:sz w:val="28"/>
        <w:szCs w:val="28"/>
      </w:rPr>
    </w:pPr>
    <w:r w:rsidRPr="00A6488F">
      <w:rPr>
        <w:rFonts w:ascii="VIC" w:hAnsi="VIC"/>
        <w:sz w:val="28"/>
        <w:szCs w:val="28"/>
      </w:rPr>
      <w:t xml:space="preserve">PSP Name Precinct Structure Plan </w:t>
    </w:r>
    <w:r w:rsidRPr="00A6488F">
      <w:rPr>
        <w:rFonts w:ascii="VIC" w:hAnsi="VIC"/>
        <w:color w:val="9CA0A3" w:themeColor="accent4"/>
        <w:sz w:val="28"/>
        <w:szCs w:val="28"/>
      </w:rPr>
      <w:t>Month Year</w:t>
    </w:r>
  </w:p>
  <w:p w:rsidR="000274DA" w:rsidRDefault="00027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4DA" w:rsidRDefault="000274DA">
      <w:pPr>
        <w:spacing w:before="0"/>
      </w:pPr>
      <w:r>
        <w:separator/>
      </w:r>
    </w:p>
    <w:p w:rsidR="000274DA" w:rsidRDefault="000274DA"/>
    <w:p w:rsidR="000274DA" w:rsidRDefault="000274DA"/>
  </w:footnote>
  <w:footnote w:type="continuationSeparator" w:id="0">
    <w:p w:rsidR="000274DA" w:rsidRDefault="000274DA">
      <w:pPr>
        <w:spacing w:before="0"/>
      </w:pPr>
      <w:r>
        <w:continuationSeparator/>
      </w:r>
    </w:p>
    <w:p w:rsidR="000274DA" w:rsidRDefault="000274DA"/>
    <w:p w:rsidR="000274DA" w:rsidRDefault="000274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A" w:rsidRDefault="000274DA">
    <w:r>
      <w:rPr>
        <w:noProof/>
      </w:rPr>
      <w:drawing>
        <wp:anchor distT="0" distB="0" distL="114300" distR="114300" simplePos="0" relativeHeight="251668480" behindDoc="0" locked="1" layoutInCell="1" allowOverlap="1" wp14:anchorId="032F8BA3" wp14:editId="520CA6BC">
          <wp:simplePos x="0" y="0"/>
          <wp:positionH relativeFrom="page">
            <wp:posOffset>180340</wp:posOffset>
          </wp:positionH>
          <wp:positionV relativeFrom="page">
            <wp:posOffset>179070</wp:posOffset>
          </wp:positionV>
          <wp:extent cx="7200000" cy="4968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A" w:rsidRDefault="000274DA">
    <w:r>
      <w:rPr>
        <w:noProof/>
      </w:rPr>
      <w:drawing>
        <wp:anchor distT="0" distB="0" distL="114300" distR="114300" simplePos="0" relativeHeight="251666432" behindDoc="0" locked="1" layoutInCell="1" allowOverlap="1" wp14:anchorId="4A654ED1" wp14:editId="2B8D9493">
          <wp:simplePos x="0" y="0"/>
          <wp:positionH relativeFrom="page">
            <wp:posOffset>179705</wp:posOffset>
          </wp:positionH>
          <wp:positionV relativeFrom="page">
            <wp:posOffset>182880</wp:posOffset>
          </wp:positionV>
          <wp:extent cx="7199630" cy="49720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A" w:rsidRDefault="000274D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DA" w:rsidRDefault="000274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770351"/>
    <w:multiLevelType w:val="multilevel"/>
    <w:tmpl w:val="F1387F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2E7D88"/>
    <w:multiLevelType w:val="hybridMultilevel"/>
    <w:tmpl w:val="467424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9440F1"/>
    <w:multiLevelType w:val="hybridMultilevel"/>
    <w:tmpl w:val="35AA3B6E"/>
    <w:lvl w:ilvl="0" w:tplc="0C09000F">
      <w:start w:val="1"/>
      <w:numFmt w:val="decimal"/>
      <w:lvlText w:val="%1."/>
      <w:lvlJc w:val="left"/>
      <w:pPr>
        <w:ind w:left="1145" w:hanging="360"/>
      </w:pPr>
      <w:rPr>
        <w:rFonts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9"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732A670E"/>
    <w:multiLevelType w:val="hybridMultilevel"/>
    <w:tmpl w:val="8F149DE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1" w15:restartNumberingAfterBreak="0">
    <w:nsid w:val="74D54F9A"/>
    <w:multiLevelType w:val="multilevel"/>
    <w:tmpl w:val="60F2B7FC"/>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2"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1"/>
  </w:num>
  <w:num w:numId="5">
    <w:abstractNumId w:val="9"/>
  </w:num>
  <w:num w:numId="6">
    <w:abstractNumId w:val="8"/>
  </w:num>
  <w:num w:numId="7">
    <w:abstractNumId w:val="12"/>
  </w:num>
  <w:num w:numId="8">
    <w:abstractNumId w:val="1"/>
  </w:num>
  <w:num w:numId="9">
    <w:abstractNumId w:val="6"/>
  </w:num>
  <w:num w:numId="10">
    <w:abstractNumId w:val="11"/>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11"/>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embedSystem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ocumentProtection w:edit="readOnly" w:formatting="1" w:enforcement="1" w:cryptProviderType="rsaAES" w:cryptAlgorithmClass="hash" w:cryptAlgorithmType="typeAny" w:cryptAlgorithmSid="14" w:cryptSpinCount="100000" w:hash="2JWCqq9x4Y+wcRaX3urgHiIMQLUqQDDdQNcYr7sqq+66S/xDWH+AohBfGPaMnshCPATfT3ew2UHnbvn4UbbuVQ==" w:salt="Y7Wgl61/QUD93a1gDWdevQ=="/>
  <w:defaultTabStop w:val="709"/>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CF"/>
    <w:rsid w:val="00003EAC"/>
    <w:rsid w:val="00007036"/>
    <w:rsid w:val="0000726E"/>
    <w:rsid w:val="000079DA"/>
    <w:rsid w:val="00007FCC"/>
    <w:rsid w:val="0001745F"/>
    <w:rsid w:val="000274DA"/>
    <w:rsid w:val="0003305C"/>
    <w:rsid w:val="0003639D"/>
    <w:rsid w:val="0004111B"/>
    <w:rsid w:val="000455B0"/>
    <w:rsid w:val="0005371A"/>
    <w:rsid w:val="0005543A"/>
    <w:rsid w:val="00060080"/>
    <w:rsid w:val="00065392"/>
    <w:rsid w:val="00065A4E"/>
    <w:rsid w:val="00073058"/>
    <w:rsid w:val="00075782"/>
    <w:rsid w:val="0008382A"/>
    <w:rsid w:val="00085705"/>
    <w:rsid w:val="000978AC"/>
    <w:rsid w:val="000A328E"/>
    <w:rsid w:val="000A60B0"/>
    <w:rsid w:val="000B2876"/>
    <w:rsid w:val="000C28B1"/>
    <w:rsid w:val="000C73D1"/>
    <w:rsid w:val="000E0DB1"/>
    <w:rsid w:val="000E1D93"/>
    <w:rsid w:val="000E6341"/>
    <w:rsid w:val="000E6D78"/>
    <w:rsid w:val="000F36DC"/>
    <w:rsid w:val="000F3D5F"/>
    <w:rsid w:val="00100076"/>
    <w:rsid w:val="00106314"/>
    <w:rsid w:val="00123E92"/>
    <w:rsid w:val="001352AE"/>
    <w:rsid w:val="00136837"/>
    <w:rsid w:val="00136EE1"/>
    <w:rsid w:val="00137B47"/>
    <w:rsid w:val="00151100"/>
    <w:rsid w:val="001606A8"/>
    <w:rsid w:val="00165845"/>
    <w:rsid w:val="00173647"/>
    <w:rsid w:val="00180990"/>
    <w:rsid w:val="001A465C"/>
    <w:rsid w:val="001B1AFC"/>
    <w:rsid w:val="001B43BF"/>
    <w:rsid w:val="001C1179"/>
    <w:rsid w:val="001C66E4"/>
    <w:rsid w:val="001C6B21"/>
    <w:rsid w:val="001C6BD9"/>
    <w:rsid w:val="001D2824"/>
    <w:rsid w:val="001E45A0"/>
    <w:rsid w:val="001E64D2"/>
    <w:rsid w:val="001F5377"/>
    <w:rsid w:val="002024A7"/>
    <w:rsid w:val="002054DA"/>
    <w:rsid w:val="00217D0A"/>
    <w:rsid w:val="0022602A"/>
    <w:rsid w:val="00226CC1"/>
    <w:rsid w:val="00237BB7"/>
    <w:rsid w:val="00240A75"/>
    <w:rsid w:val="002461EB"/>
    <w:rsid w:val="00252250"/>
    <w:rsid w:val="00255934"/>
    <w:rsid w:val="00271ED8"/>
    <w:rsid w:val="002727C3"/>
    <w:rsid w:val="002747FE"/>
    <w:rsid w:val="00287C35"/>
    <w:rsid w:val="002A7BB3"/>
    <w:rsid w:val="002F2072"/>
    <w:rsid w:val="002F5911"/>
    <w:rsid w:val="002F6C6A"/>
    <w:rsid w:val="00315482"/>
    <w:rsid w:val="0033207D"/>
    <w:rsid w:val="00333785"/>
    <w:rsid w:val="00336989"/>
    <w:rsid w:val="0033729C"/>
    <w:rsid w:val="00337B9D"/>
    <w:rsid w:val="003435FC"/>
    <w:rsid w:val="00347642"/>
    <w:rsid w:val="00351ACD"/>
    <w:rsid w:val="003561D3"/>
    <w:rsid w:val="003704B0"/>
    <w:rsid w:val="00370E9F"/>
    <w:rsid w:val="00373BB0"/>
    <w:rsid w:val="00374326"/>
    <w:rsid w:val="0037719F"/>
    <w:rsid w:val="00381A03"/>
    <w:rsid w:val="0038551C"/>
    <w:rsid w:val="003920C9"/>
    <w:rsid w:val="00392409"/>
    <w:rsid w:val="003A352B"/>
    <w:rsid w:val="003A78D9"/>
    <w:rsid w:val="003B4265"/>
    <w:rsid w:val="003B6672"/>
    <w:rsid w:val="003D1377"/>
    <w:rsid w:val="003F07F0"/>
    <w:rsid w:val="003F2D9F"/>
    <w:rsid w:val="00433D66"/>
    <w:rsid w:val="00441B22"/>
    <w:rsid w:val="00446F9B"/>
    <w:rsid w:val="0045269F"/>
    <w:rsid w:val="004614FA"/>
    <w:rsid w:val="00467552"/>
    <w:rsid w:val="00481C3C"/>
    <w:rsid w:val="004A2DA2"/>
    <w:rsid w:val="004A62FB"/>
    <w:rsid w:val="004B3582"/>
    <w:rsid w:val="004B7268"/>
    <w:rsid w:val="004D5044"/>
    <w:rsid w:val="004D7343"/>
    <w:rsid w:val="004D7BF5"/>
    <w:rsid w:val="004E467D"/>
    <w:rsid w:val="004E4F99"/>
    <w:rsid w:val="004F0BC3"/>
    <w:rsid w:val="00507B1A"/>
    <w:rsid w:val="00514157"/>
    <w:rsid w:val="00521693"/>
    <w:rsid w:val="005224E6"/>
    <w:rsid w:val="0053280D"/>
    <w:rsid w:val="00535AD7"/>
    <w:rsid w:val="00542FBC"/>
    <w:rsid w:val="00543609"/>
    <w:rsid w:val="00543DEB"/>
    <w:rsid w:val="00545D48"/>
    <w:rsid w:val="00552F9A"/>
    <w:rsid w:val="00572A90"/>
    <w:rsid w:val="00581A4E"/>
    <w:rsid w:val="00585A2E"/>
    <w:rsid w:val="005925CD"/>
    <w:rsid w:val="005933CB"/>
    <w:rsid w:val="005962AF"/>
    <w:rsid w:val="005A024C"/>
    <w:rsid w:val="005A0886"/>
    <w:rsid w:val="005A677F"/>
    <w:rsid w:val="005A728A"/>
    <w:rsid w:val="005B15ED"/>
    <w:rsid w:val="005B5340"/>
    <w:rsid w:val="005B616B"/>
    <w:rsid w:val="005B6C28"/>
    <w:rsid w:val="005B706F"/>
    <w:rsid w:val="005C0D72"/>
    <w:rsid w:val="005D188F"/>
    <w:rsid w:val="005D2979"/>
    <w:rsid w:val="005D358D"/>
    <w:rsid w:val="005D6B50"/>
    <w:rsid w:val="005E0E27"/>
    <w:rsid w:val="005E281B"/>
    <w:rsid w:val="005E5986"/>
    <w:rsid w:val="005E64C6"/>
    <w:rsid w:val="005F19B0"/>
    <w:rsid w:val="005F32F0"/>
    <w:rsid w:val="005F57E2"/>
    <w:rsid w:val="00601A7B"/>
    <w:rsid w:val="006025C6"/>
    <w:rsid w:val="00602CBB"/>
    <w:rsid w:val="00610326"/>
    <w:rsid w:val="006148A4"/>
    <w:rsid w:val="00622AA5"/>
    <w:rsid w:val="00625E39"/>
    <w:rsid w:val="00632AA1"/>
    <w:rsid w:val="006340DB"/>
    <w:rsid w:val="006357D8"/>
    <w:rsid w:val="00653002"/>
    <w:rsid w:val="00661B5D"/>
    <w:rsid w:val="00673BF4"/>
    <w:rsid w:val="006746F2"/>
    <w:rsid w:val="00685FC5"/>
    <w:rsid w:val="006A4D34"/>
    <w:rsid w:val="006A715A"/>
    <w:rsid w:val="006C1E5C"/>
    <w:rsid w:val="006C38E1"/>
    <w:rsid w:val="006C58A4"/>
    <w:rsid w:val="006D3D19"/>
    <w:rsid w:val="006E6829"/>
    <w:rsid w:val="006F797F"/>
    <w:rsid w:val="00702B21"/>
    <w:rsid w:val="007064CE"/>
    <w:rsid w:val="007126E8"/>
    <w:rsid w:val="00717375"/>
    <w:rsid w:val="00717649"/>
    <w:rsid w:val="007252BE"/>
    <w:rsid w:val="00727949"/>
    <w:rsid w:val="00742A01"/>
    <w:rsid w:val="00750357"/>
    <w:rsid w:val="00754C26"/>
    <w:rsid w:val="00756D2C"/>
    <w:rsid w:val="00764DCA"/>
    <w:rsid w:val="0077490F"/>
    <w:rsid w:val="0078355D"/>
    <w:rsid w:val="00784D31"/>
    <w:rsid w:val="007902DF"/>
    <w:rsid w:val="00791F1B"/>
    <w:rsid w:val="00796B87"/>
    <w:rsid w:val="00797790"/>
    <w:rsid w:val="007A38CD"/>
    <w:rsid w:val="007B2637"/>
    <w:rsid w:val="007B69D6"/>
    <w:rsid w:val="007C17D5"/>
    <w:rsid w:val="007D2562"/>
    <w:rsid w:val="007E203E"/>
    <w:rsid w:val="007E2E88"/>
    <w:rsid w:val="007E4E62"/>
    <w:rsid w:val="007F0B30"/>
    <w:rsid w:val="008000E4"/>
    <w:rsid w:val="00806FDB"/>
    <w:rsid w:val="00814C2B"/>
    <w:rsid w:val="008504FF"/>
    <w:rsid w:val="008616DF"/>
    <w:rsid w:val="0086193B"/>
    <w:rsid w:val="008654AB"/>
    <w:rsid w:val="00866594"/>
    <w:rsid w:val="00872175"/>
    <w:rsid w:val="008772E3"/>
    <w:rsid w:val="00890EB8"/>
    <w:rsid w:val="00892437"/>
    <w:rsid w:val="008963E3"/>
    <w:rsid w:val="008A074E"/>
    <w:rsid w:val="008B0A44"/>
    <w:rsid w:val="008B4D43"/>
    <w:rsid w:val="008C040C"/>
    <w:rsid w:val="008C0BBB"/>
    <w:rsid w:val="008C5740"/>
    <w:rsid w:val="008C5A22"/>
    <w:rsid w:val="008C74DE"/>
    <w:rsid w:val="008D0CD7"/>
    <w:rsid w:val="008D3748"/>
    <w:rsid w:val="008D7974"/>
    <w:rsid w:val="008E2FE0"/>
    <w:rsid w:val="008E5A88"/>
    <w:rsid w:val="0090295C"/>
    <w:rsid w:val="009069C2"/>
    <w:rsid w:val="009124B2"/>
    <w:rsid w:val="00924DC0"/>
    <w:rsid w:val="00937364"/>
    <w:rsid w:val="0095183A"/>
    <w:rsid w:val="00960918"/>
    <w:rsid w:val="00985C5F"/>
    <w:rsid w:val="00987CB7"/>
    <w:rsid w:val="009920B2"/>
    <w:rsid w:val="009957D3"/>
    <w:rsid w:val="009A0103"/>
    <w:rsid w:val="009A726C"/>
    <w:rsid w:val="009B0F78"/>
    <w:rsid w:val="009B47B2"/>
    <w:rsid w:val="009C7B20"/>
    <w:rsid w:val="009D0417"/>
    <w:rsid w:val="009E0313"/>
    <w:rsid w:val="009F44C7"/>
    <w:rsid w:val="009F6E56"/>
    <w:rsid w:val="00A026A8"/>
    <w:rsid w:val="00A10E6F"/>
    <w:rsid w:val="00A116B6"/>
    <w:rsid w:val="00A15ACE"/>
    <w:rsid w:val="00A54BF7"/>
    <w:rsid w:val="00A5611A"/>
    <w:rsid w:val="00A61404"/>
    <w:rsid w:val="00A616A8"/>
    <w:rsid w:val="00A6488F"/>
    <w:rsid w:val="00A66D9D"/>
    <w:rsid w:val="00A77293"/>
    <w:rsid w:val="00A81C71"/>
    <w:rsid w:val="00A8299B"/>
    <w:rsid w:val="00A856B1"/>
    <w:rsid w:val="00A9595C"/>
    <w:rsid w:val="00AA5EB4"/>
    <w:rsid w:val="00AA5F37"/>
    <w:rsid w:val="00AB173A"/>
    <w:rsid w:val="00AC291F"/>
    <w:rsid w:val="00AD0140"/>
    <w:rsid w:val="00AD0FDC"/>
    <w:rsid w:val="00AD5E61"/>
    <w:rsid w:val="00B02AB2"/>
    <w:rsid w:val="00B02B9B"/>
    <w:rsid w:val="00B033A0"/>
    <w:rsid w:val="00B137B3"/>
    <w:rsid w:val="00B13AC4"/>
    <w:rsid w:val="00B1518D"/>
    <w:rsid w:val="00B17A37"/>
    <w:rsid w:val="00B21758"/>
    <w:rsid w:val="00B25E21"/>
    <w:rsid w:val="00B31E88"/>
    <w:rsid w:val="00B35CC4"/>
    <w:rsid w:val="00B41025"/>
    <w:rsid w:val="00B54541"/>
    <w:rsid w:val="00B6402D"/>
    <w:rsid w:val="00B7210B"/>
    <w:rsid w:val="00B77892"/>
    <w:rsid w:val="00B81184"/>
    <w:rsid w:val="00B952E8"/>
    <w:rsid w:val="00B968D3"/>
    <w:rsid w:val="00BA7F2F"/>
    <w:rsid w:val="00BC2895"/>
    <w:rsid w:val="00BC38C5"/>
    <w:rsid w:val="00BD0BD8"/>
    <w:rsid w:val="00BD54D1"/>
    <w:rsid w:val="00BE145B"/>
    <w:rsid w:val="00BE45BB"/>
    <w:rsid w:val="00BF6B89"/>
    <w:rsid w:val="00C20D24"/>
    <w:rsid w:val="00C462EC"/>
    <w:rsid w:val="00C5425D"/>
    <w:rsid w:val="00C5549D"/>
    <w:rsid w:val="00C603A8"/>
    <w:rsid w:val="00C6186B"/>
    <w:rsid w:val="00C73C71"/>
    <w:rsid w:val="00C74D4A"/>
    <w:rsid w:val="00C75EF5"/>
    <w:rsid w:val="00C771B5"/>
    <w:rsid w:val="00C8295E"/>
    <w:rsid w:val="00C86778"/>
    <w:rsid w:val="00C92B9B"/>
    <w:rsid w:val="00CA62D4"/>
    <w:rsid w:val="00CB3A49"/>
    <w:rsid w:val="00CB4FE9"/>
    <w:rsid w:val="00CC34EE"/>
    <w:rsid w:val="00CC49F5"/>
    <w:rsid w:val="00CC5CAC"/>
    <w:rsid w:val="00CD04D4"/>
    <w:rsid w:val="00CD3E97"/>
    <w:rsid w:val="00CD4E50"/>
    <w:rsid w:val="00CF1FAB"/>
    <w:rsid w:val="00CF75FF"/>
    <w:rsid w:val="00D00676"/>
    <w:rsid w:val="00D011D5"/>
    <w:rsid w:val="00D04194"/>
    <w:rsid w:val="00D23473"/>
    <w:rsid w:val="00D271C1"/>
    <w:rsid w:val="00D60B69"/>
    <w:rsid w:val="00D671D9"/>
    <w:rsid w:val="00D845B2"/>
    <w:rsid w:val="00D8680D"/>
    <w:rsid w:val="00D879C8"/>
    <w:rsid w:val="00D90D4B"/>
    <w:rsid w:val="00D913E1"/>
    <w:rsid w:val="00D968DC"/>
    <w:rsid w:val="00D97CD1"/>
    <w:rsid w:val="00DA32A6"/>
    <w:rsid w:val="00DC2717"/>
    <w:rsid w:val="00DE0912"/>
    <w:rsid w:val="00DE57C2"/>
    <w:rsid w:val="00DF758C"/>
    <w:rsid w:val="00E01E88"/>
    <w:rsid w:val="00E10DE2"/>
    <w:rsid w:val="00E11707"/>
    <w:rsid w:val="00E14620"/>
    <w:rsid w:val="00E17C98"/>
    <w:rsid w:val="00E25178"/>
    <w:rsid w:val="00E34FA9"/>
    <w:rsid w:val="00E47699"/>
    <w:rsid w:val="00E5559F"/>
    <w:rsid w:val="00E566B1"/>
    <w:rsid w:val="00E572E9"/>
    <w:rsid w:val="00E65912"/>
    <w:rsid w:val="00E75B3A"/>
    <w:rsid w:val="00E84FF9"/>
    <w:rsid w:val="00E87C54"/>
    <w:rsid w:val="00E87E23"/>
    <w:rsid w:val="00E91979"/>
    <w:rsid w:val="00E95BCB"/>
    <w:rsid w:val="00EA0AD6"/>
    <w:rsid w:val="00EA0BB1"/>
    <w:rsid w:val="00EA63C1"/>
    <w:rsid w:val="00EC3C54"/>
    <w:rsid w:val="00EC54A1"/>
    <w:rsid w:val="00ED593D"/>
    <w:rsid w:val="00EE1649"/>
    <w:rsid w:val="00EE2C46"/>
    <w:rsid w:val="00EE4BC2"/>
    <w:rsid w:val="00EF1C5F"/>
    <w:rsid w:val="00F00B8E"/>
    <w:rsid w:val="00F056BF"/>
    <w:rsid w:val="00F15103"/>
    <w:rsid w:val="00F15237"/>
    <w:rsid w:val="00F16B89"/>
    <w:rsid w:val="00F16E4A"/>
    <w:rsid w:val="00F17671"/>
    <w:rsid w:val="00F2026B"/>
    <w:rsid w:val="00F2422A"/>
    <w:rsid w:val="00F3013C"/>
    <w:rsid w:val="00F32B77"/>
    <w:rsid w:val="00F36BA4"/>
    <w:rsid w:val="00F46727"/>
    <w:rsid w:val="00F473BF"/>
    <w:rsid w:val="00F60F94"/>
    <w:rsid w:val="00F85A6B"/>
    <w:rsid w:val="00F85E98"/>
    <w:rsid w:val="00F953F9"/>
    <w:rsid w:val="00F95F5C"/>
    <w:rsid w:val="00F96C12"/>
    <w:rsid w:val="00FA0D9B"/>
    <w:rsid w:val="00FA42CE"/>
    <w:rsid w:val="00FB638D"/>
    <w:rsid w:val="00FC0E91"/>
    <w:rsid w:val="00FC3134"/>
    <w:rsid w:val="00FC7C53"/>
    <w:rsid w:val="00FD0E68"/>
    <w:rsid w:val="00FD3307"/>
    <w:rsid w:val="00FD6A97"/>
    <w:rsid w:val="00FD6FD0"/>
    <w:rsid w:val="00FE1825"/>
    <w:rsid w:val="00FE25CF"/>
    <w:rsid w:val="00FE40F5"/>
    <w:rsid w:val="00FE65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3F4C601-1CD1-43DC-9D5B-C3B5BF5E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9F44C7"/>
    <w:pPr>
      <w:keepNext/>
      <w:pageBreakBefore/>
      <w:numPr>
        <w:numId w:val="4"/>
      </w:numPr>
      <w:pBdr>
        <w:bottom w:val="single" w:sz="4" w:space="1" w:color="005EA1" w:themeColor="accent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10"/>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11"/>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5"/>
      </w:numPr>
      <w:spacing w:before="120"/>
      <w:jc w:val="left"/>
    </w:pPr>
    <w:rPr>
      <w:rFonts w:eastAsia="Arial Unicode MS" w:cs="Arial"/>
    </w:rPr>
  </w:style>
  <w:style w:type="paragraph" w:customStyle="1" w:styleId="Tablenoobj">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uiPriority w:val="35"/>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0"/>
      </w:numPr>
    </w:pPr>
    <w:rPr>
      <w:lang w:eastAsia="en-US"/>
    </w:rPr>
  </w:style>
  <w:style w:type="paragraph" w:styleId="ListParagraph">
    <w:name w:val="List Paragraph"/>
    <w:aliases w:val="Bullets 1,Bullet List"/>
    <w:basedOn w:val="Normal"/>
    <w:link w:val="ListParagraphChar"/>
    <w:uiPriority w:val="34"/>
    <w:qFormat/>
    <w:rsid w:val="00FE25CF"/>
    <w:pPr>
      <w:suppressAutoHyphens w:val="0"/>
      <w:spacing w:before="0"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ListParagraphChar">
    <w:name w:val="List Paragraph Char"/>
    <w:aliases w:val="Bullets 1 Char,Bullet List Char"/>
    <w:link w:val="ListParagraph"/>
    <w:uiPriority w:val="34"/>
    <w:rsid w:val="00FE25CF"/>
    <w:rPr>
      <w:rFonts w:asciiTheme="minorHAnsi" w:eastAsiaTheme="minorHAnsi" w:hAnsiTheme="minorHAnsi" w:cstheme="minorBidi"/>
      <w:sz w:val="22"/>
      <w:szCs w:val="22"/>
      <w:lang w:eastAsia="en-US"/>
    </w:rPr>
  </w:style>
  <w:style w:type="paragraph" w:customStyle="1" w:styleId="Default">
    <w:name w:val="Default"/>
    <w:rsid w:val="00602CBB"/>
    <w:pPr>
      <w:autoSpaceDE w:val="0"/>
      <w:autoSpaceDN w:val="0"/>
      <w:adjustRightInd w:val="0"/>
    </w:pPr>
    <w:rPr>
      <w:rFonts w:ascii="Tahoma" w:hAnsi="Tahoma" w:cs="Tahoma"/>
      <w:color w:val="000000"/>
      <w:sz w:val="24"/>
      <w:szCs w:val="24"/>
    </w:rPr>
  </w:style>
  <w:style w:type="paragraph" w:customStyle="1" w:styleId="paragraph">
    <w:name w:val="paragraph"/>
    <w:basedOn w:val="Normal"/>
    <w:rsid w:val="00E65912"/>
    <w:pPr>
      <w:suppressAutoHyphens w:val="0"/>
      <w:spacing w:before="100" w:beforeAutospacing="1" w:after="100" w:afterAutospacing="1" w:line="240" w:lineRule="auto"/>
      <w:jc w:val="left"/>
    </w:pPr>
    <w:rPr>
      <w:rFonts w:ascii="Times New Roman" w:eastAsia="Times New Roman" w:hAnsi="Times New Roman"/>
      <w:sz w:val="24"/>
      <w:szCs w:val="24"/>
    </w:rPr>
  </w:style>
  <w:style w:type="character" w:customStyle="1" w:styleId="eop">
    <w:name w:val="eop"/>
    <w:basedOn w:val="DefaultParagraphFont"/>
    <w:rsid w:val="00E65912"/>
  </w:style>
  <w:style w:type="character" w:styleId="CommentReference">
    <w:name w:val="annotation reference"/>
    <w:basedOn w:val="DefaultParagraphFont"/>
    <w:uiPriority w:val="99"/>
    <w:semiHidden/>
    <w:unhideWhenUsed/>
    <w:rsid w:val="00E65912"/>
    <w:rPr>
      <w:sz w:val="16"/>
      <w:szCs w:val="16"/>
    </w:rPr>
  </w:style>
  <w:style w:type="paragraph" w:styleId="CommentText">
    <w:name w:val="annotation text"/>
    <w:basedOn w:val="Normal"/>
    <w:link w:val="CommentTextChar"/>
    <w:uiPriority w:val="99"/>
    <w:semiHidden/>
    <w:unhideWhenUsed/>
    <w:rsid w:val="00E65912"/>
    <w:pPr>
      <w:suppressAutoHyphens w:val="0"/>
      <w:spacing w:before="0" w:after="200" w:line="240" w:lineRule="auto"/>
      <w:jc w:val="left"/>
    </w:pPr>
    <w:rPr>
      <w:rFonts w:eastAsiaTheme="minorHAnsi" w:cs="Arial"/>
      <w:sz w:val="20"/>
      <w:szCs w:val="20"/>
      <w:lang w:eastAsia="en-US"/>
    </w:rPr>
  </w:style>
  <w:style w:type="character" w:customStyle="1" w:styleId="CommentTextChar">
    <w:name w:val="Comment Text Char"/>
    <w:basedOn w:val="DefaultParagraphFont"/>
    <w:link w:val="CommentText"/>
    <w:uiPriority w:val="99"/>
    <w:semiHidden/>
    <w:rsid w:val="00E65912"/>
    <w:rPr>
      <w:rFonts w:eastAsiaTheme="minorHAnsi" w:cs="Arial"/>
      <w:sz w:val="20"/>
      <w:szCs w:val="20"/>
      <w:lang w:eastAsia="en-US"/>
    </w:rPr>
  </w:style>
  <w:style w:type="character" w:customStyle="1" w:styleId="normaltextrun">
    <w:name w:val="normaltextrun"/>
    <w:basedOn w:val="DefaultParagraphFont"/>
    <w:rsid w:val="005962AF"/>
  </w:style>
  <w:style w:type="table" w:styleId="PlainTable1">
    <w:name w:val="Plain Table 1"/>
    <w:basedOn w:val="TableNormal"/>
    <w:uiPriority w:val="41"/>
    <w:rsid w:val="00E47699"/>
    <w:rPr>
      <w:rFonts w:asciiTheme="minorHAnsi" w:eastAsia="Times New Roman" w:hAnsiTheme="minorHAnsi"/>
      <w:sz w:val="24"/>
      <w:szCs w:val="24"/>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E95BCB"/>
    <w:pPr>
      <w:suppressAutoHyphens w:val="0"/>
      <w:spacing w:before="0" w:line="240" w:lineRule="auto"/>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E95BCB"/>
    <w:rPr>
      <w:rFonts w:ascii="Calibri" w:eastAsiaTheme="minorHAnsi" w:hAnsi="Calibri" w:cstheme="minorBidi"/>
      <w:sz w:val="22"/>
      <w:szCs w:val="21"/>
      <w:lang w:eastAsia="en-US"/>
    </w:rPr>
  </w:style>
  <w:style w:type="character" w:styleId="FollowedHyperlink">
    <w:name w:val="FollowedHyperlink"/>
    <w:basedOn w:val="DefaultParagraphFont"/>
    <w:rsid w:val="00374326"/>
    <w:rPr>
      <w:color w:val="7030A0" w:themeColor="followedHyperlink"/>
      <w:u w:val="single"/>
    </w:rPr>
  </w:style>
  <w:style w:type="paragraph" w:styleId="Header">
    <w:name w:val="header"/>
    <w:basedOn w:val="Normal"/>
    <w:link w:val="HeaderChar"/>
    <w:unhideWhenUsed/>
    <w:rsid w:val="00271ED8"/>
    <w:pPr>
      <w:tabs>
        <w:tab w:val="center" w:pos="4513"/>
        <w:tab w:val="right" w:pos="9026"/>
      </w:tabs>
      <w:spacing w:before="0" w:line="240" w:lineRule="auto"/>
    </w:pPr>
  </w:style>
  <w:style w:type="character" w:customStyle="1" w:styleId="HeaderChar">
    <w:name w:val="Header Char"/>
    <w:basedOn w:val="DefaultParagraphFont"/>
    <w:link w:val="Header"/>
    <w:rsid w:val="00271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65568432">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08805232">
      <w:bodyDiv w:val="1"/>
      <w:marLeft w:val="0"/>
      <w:marRight w:val="0"/>
      <w:marTop w:val="0"/>
      <w:marBottom w:val="0"/>
      <w:divBdr>
        <w:top w:val="none" w:sz="0" w:space="0" w:color="auto"/>
        <w:left w:val="none" w:sz="0" w:space="0" w:color="auto"/>
        <w:bottom w:val="none" w:sz="0" w:space="0" w:color="auto"/>
        <w:right w:val="none" w:sz="0" w:space="0" w:color="auto"/>
      </w:divBdr>
    </w:div>
    <w:div w:id="253518847">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330181450">
      <w:bodyDiv w:val="1"/>
      <w:marLeft w:val="0"/>
      <w:marRight w:val="0"/>
      <w:marTop w:val="0"/>
      <w:marBottom w:val="0"/>
      <w:divBdr>
        <w:top w:val="none" w:sz="0" w:space="0" w:color="auto"/>
        <w:left w:val="none" w:sz="0" w:space="0" w:color="auto"/>
        <w:bottom w:val="none" w:sz="0" w:space="0" w:color="auto"/>
        <w:right w:val="none" w:sz="0" w:space="0" w:color="auto"/>
      </w:divBdr>
    </w:div>
    <w:div w:id="367023804">
      <w:bodyDiv w:val="1"/>
      <w:marLeft w:val="0"/>
      <w:marRight w:val="0"/>
      <w:marTop w:val="0"/>
      <w:marBottom w:val="0"/>
      <w:divBdr>
        <w:top w:val="none" w:sz="0" w:space="0" w:color="auto"/>
        <w:left w:val="none" w:sz="0" w:space="0" w:color="auto"/>
        <w:bottom w:val="none" w:sz="0" w:space="0" w:color="auto"/>
        <w:right w:val="none" w:sz="0" w:space="0" w:color="auto"/>
      </w:divBdr>
    </w:div>
    <w:div w:id="493301712">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596450157">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655720107">
      <w:bodyDiv w:val="1"/>
      <w:marLeft w:val="0"/>
      <w:marRight w:val="0"/>
      <w:marTop w:val="0"/>
      <w:marBottom w:val="0"/>
      <w:divBdr>
        <w:top w:val="none" w:sz="0" w:space="0" w:color="auto"/>
        <w:left w:val="none" w:sz="0" w:space="0" w:color="auto"/>
        <w:bottom w:val="none" w:sz="0" w:space="0" w:color="auto"/>
        <w:right w:val="none" w:sz="0" w:space="0" w:color="auto"/>
      </w:divBdr>
    </w:div>
    <w:div w:id="726533760">
      <w:bodyDiv w:val="1"/>
      <w:marLeft w:val="0"/>
      <w:marRight w:val="0"/>
      <w:marTop w:val="0"/>
      <w:marBottom w:val="0"/>
      <w:divBdr>
        <w:top w:val="none" w:sz="0" w:space="0" w:color="auto"/>
        <w:left w:val="none" w:sz="0" w:space="0" w:color="auto"/>
        <w:bottom w:val="none" w:sz="0" w:space="0" w:color="auto"/>
        <w:right w:val="none" w:sz="0" w:space="0" w:color="auto"/>
      </w:divBdr>
    </w:div>
    <w:div w:id="836767510">
      <w:bodyDiv w:val="1"/>
      <w:marLeft w:val="0"/>
      <w:marRight w:val="0"/>
      <w:marTop w:val="0"/>
      <w:marBottom w:val="0"/>
      <w:divBdr>
        <w:top w:val="none" w:sz="0" w:space="0" w:color="auto"/>
        <w:left w:val="none" w:sz="0" w:space="0" w:color="auto"/>
        <w:bottom w:val="none" w:sz="0" w:space="0" w:color="auto"/>
        <w:right w:val="none" w:sz="0" w:space="0" w:color="auto"/>
      </w:divBdr>
    </w:div>
    <w:div w:id="860124752">
      <w:bodyDiv w:val="1"/>
      <w:marLeft w:val="0"/>
      <w:marRight w:val="0"/>
      <w:marTop w:val="0"/>
      <w:marBottom w:val="0"/>
      <w:divBdr>
        <w:top w:val="none" w:sz="0" w:space="0" w:color="auto"/>
        <w:left w:val="none" w:sz="0" w:space="0" w:color="auto"/>
        <w:bottom w:val="none" w:sz="0" w:space="0" w:color="auto"/>
        <w:right w:val="none" w:sz="0" w:space="0" w:color="auto"/>
      </w:divBdr>
    </w:div>
    <w:div w:id="900756033">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963004797">
      <w:bodyDiv w:val="1"/>
      <w:marLeft w:val="0"/>
      <w:marRight w:val="0"/>
      <w:marTop w:val="0"/>
      <w:marBottom w:val="0"/>
      <w:divBdr>
        <w:top w:val="none" w:sz="0" w:space="0" w:color="auto"/>
        <w:left w:val="none" w:sz="0" w:space="0" w:color="auto"/>
        <w:bottom w:val="none" w:sz="0" w:space="0" w:color="auto"/>
        <w:right w:val="none" w:sz="0" w:space="0" w:color="auto"/>
      </w:divBdr>
    </w:div>
    <w:div w:id="1039816064">
      <w:bodyDiv w:val="1"/>
      <w:marLeft w:val="0"/>
      <w:marRight w:val="0"/>
      <w:marTop w:val="0"/>
      <w:marBottom w:val="0"/>
      <w:divBdr>
        <w:top w:val="none" w:sz="0" w:space="0" w:color="auto"/>
        <w:left w:val="none" w:sz="0" w:space="0" w:color="auto"/>
        <w:bottom w:val="none" w:sz="0" w:space="0" w:color="auto"/>
        <w:right w:val="none" w:sz="0" w:space="0" w:color="auto"/>
      </w:divBdr>
    </w:div>
    <w:div w:id="1085423147">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496604657">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506631022">
      <w:bodyDiv w:val="1"/>
      <w:marLeft w:val="0"/>
      <w:marRight w:val="0"/>
      <w:marTop w:val="0"/>
      <w:marBottom w:val="0"/>
      <w:divBdr>
        <w:top w:val="none" w:sz="0" w:space="0" w:color="auto"/>
        <w:left w:val="none" w:sz="0" w:space="0" w:color="auto"/>
        <w:bottom w:val="none" w:sz="0" w:space="0" w:color="auto"/>
        <w:right w:val="none" w:sz="0" w:space="0" w:color="auto"/>
      </w:divBdr>
    </w:div>
    <w:div w:id="1530676967">
      <w:bodyDiv w:val="1"/>
      <w:marLeft w:val="0"/>
      <w:marRight w:val="0"/>
      <w:marTop w:val="0"/>
      <w:marBottom w:val="0"/>
      <w:divBdr>
        <w:top w:val="none" w:sz="0" w:space="0" w:color="auto"/>
        <w:left w:val="none" w:sz="0" w:space="0" w:color="auto"/>
        <w:bottom w:val="none" w:sz="0" w:space="0" w:color="auto"/>
        <w:right w:val="none" w:sz="0" w:space="0" w:color="auto"/>
      </w:divBdr>
    </w:div>
    <w:div w:id="1559130549">
      <w:bodyDiv w:val="1"/>
      <w:marLeft w:val="0"/>
      <w:marRight w:val="0"/>
      <w:marTop w:val="0"/>
      <w:marBottom w:val="0"/>
      <w:divBdr>
        <w:top w:val="none" w:sz="0" w:space="0" w:color="auto"/>
        <w:left w:val="none" w:sz="0" w:space="0" w:color="auto"/>
        <w:bottom w:val="none" w:sz="0" w:space="0" w:color="auto"/>
        <w:right w:val="none" w:sz="0" w:space="0" w:color="auto"/>
      </w:divBdr>
    </w:div>
    <w:div w:id="1725369827">
      <w:bodyDiv w:val="1"/>
      <w:marLeft w:val="0"/>
      <w:marRight w:val="0"/>
      <w:marTop w:val="0"/>
      <w:marBottom w:val="0"/>
      <w:divBdr>
        <w:top w:val="none" w:sz="0" w:space="0" w:color="auto"/>
        <w:left w:val="none" w:sz="0" w:space="0" w:color="auto"/>
        <w:bottom w:val="none" w:sz="0" w:space="0" w:color="auto"/>
        <w:right w:val="none" w:sz="0" w:space="0" w:color="auto"/>
      </w:divBdr>
    </w:div>
    <w:div w:id="1786802376">
      <w:bodyDiv w:val="1"/>
      <w:marLeft w:val="0"/>
      <w:marRight w:val="0"/>
      <w:marTop w:val="0"/>
      <w:marBottom w:val="0"/>
      <w:divBdr>
        <w:top w:val="none" w:sz="0" w:space="0" w:color="auto"/>
        <w:left w:val="none" w:sz="0" w:space="0" w:color="auto"/>
        <w:bottom w:val="none" w:sz="0" w:space="0" w:color="auto"/>
        <w:right w:val="none" w:sz="0" w:space="0" w:color="auto"/>
      </w:divBdr>
    </w:div>
    <w:div w:id="1816490246">
      <w:bodyDiv w:val="1"/>
      <w:marLeft w:val="0"/>
      <w:marRight w:val="0"/>
      <w:marTop w:val="0"/>
      <w:marBottom w:val="0"/>
      <w:divBdr>
        <w:top w:val="none" w:sz="0" w:space="0" w:color="auto"/>
        <w:left w:val="none" w:sz="0" w:space="0" w:color="auto"/>
        <w:bottom w:val="none" w:sz="0" w:space="0" w:color="auto"/>
        <w:right w:val="none" w:sz="0" w:space="0" w:color="auto"/>
      </w:divBdr>
    </w:div>
    <w:div w:id="18639377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1936357262">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 w:id="2134051614">
      <w:bodyDiv w:val="1"/>
      <w:marLeft w:val="0"/>
      <w:marRight w:val="0"/>
      <w:marTop w:val="0"/>
      <w:marBottom w:val="0"/>
      <w:divBdr>
        <w:top w:val="none" w:sz="0" w:space="0" w:color="auto"/>
        <w:left w:val="none" w:sz="0" w:space="0" w:color="auto"/>
        <w:bottom w:val="none" w:sz="0" w:space="0" w:color="auto"/>
        <w:right w:val="none" w:sz="0" w:space="0" w:color="auto"/>
      </w:divBdr>
    </w:div>
    <w:div w:id="214442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image003.png@01D3485D.61549D50"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cid:image003.jpg@01D348BC.B6227780"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cid:image003.png@01D348B5.58088470" TargetMode="External"/><Relationship Id="rId20" Type="http://schemas.openxmlformats.org/officeDocument/2006/relationships/image" Target="cid:image001.jpg@01D3489C.862C13D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elbourneairport.com.au/about-melbourne-airport/planning/aircraft-noise.html" TargetMode="Externa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cid:image002.png@01D348B5.58088470" TargetMode="External"/><Relationship Id="rId22" Type="http://schemas.openxmlformats.org/officeDocument/2006/relationships/image" Target="cid:image002.jpg@01D3489C.862C13D0" TargetMode="External"/><Relationship Id="rId27" Type="http://schemas.openxmlformats.org/officeDocument/2006/relationships/image" Target="cid:image011.png@01D348C9.7541A8A0"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vpa-fs1\software$\Microsoft\Templates\13%20PSP%20Portrait%20Report.dotm" TargetMode="External"/></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D0159-F83A-439A-AC39-3F732C6D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 PSP Portrait Report</Template>
  <TotalTime>1</TotalTime>
  <Pages>96</Pages>
  <Words>25465</Words>
  <Characters>145155</Characters>
  <Application>Microsoft Office Word</Application>
  <DocSecurity>8</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170280</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 Garner</dc:creator>
  <cp:keywords/>
  <dc:description/>
  <cp:lastModifiedBy>Tessa Deliopoulos</cp:lastModifiedBy>
  <cp:revision>2</cp:revision>
  <cp:lastPrinted>2017-10-19T02:55:00Z</cp:lastPrinted>
  <dcterms:created xsi:type="dcterms:W3CDTF">2017-10-24T00:17:00Z</dcterms:created>
  <dcterms:modified xsi:type="dcterms:W3CDTF">2017-10-24T00:17:00Z</dcterms:modified>
</cp:coreProperties>
</file>