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70" w:rsidRPr="003375DD" w:rsidRDefault="004D6B70" w:rsidP="004D6B70">
      <w:pPr>
        <w:spacing w:after="200" w:line="276" w:lineRule="auto"/>
        <w:jc w:val="center"/>
        <w:rPr>
          <w:rFonts w:ascii="Arial" w:hAnsi="Arial" w:cs="Arial"/>
          <w:sz w:val="22"/>
          <w:szCs w:val="22"/>
        </w:rPr>
      </w:pPr>
    </w:p>
    <w:p w:rsidR="005B50A5" w:rsidRPr="008D079A" w:rsidRDefault="005B50A5" w:rsidP="004D6B70">
      <w:pPr>
        <w:spacing w:after="200" w:line="276" w:lineRule="auto"/>
        <w:jc w:val="center"/>
        <w:rPr>
          <w:rFonts w:ascii="Arial" w:hAnsi="Arial" w:cs="Arial"/>
          <w:sz w:val="36"/>
          <w:szCs w:val="36"/>
        </w:rPr>
      </w:pPr>
    </w:p>
    <w:p w:rsidR="004428F9" w:rsidRDefault="004428F9" w:rsidP="0077293E">
      <w:pPr>
        <w:rPr>
          <w:color w:val="365F91" w:themeColor="accent1" w:themeShade="BF"/>
          <w:sz w:val="56"/>
          <w:szCs w:val="56"/>
        </w:rPr>
      </w:pPr>
    </w:p>
    <w:p w:rsidR="006B1AE6" w:rsidRDefault="004D6B70" w:rsidP="0077293E">
      <w:pPr>
        <w:rPr>
          <w:color w:val="365F91" w:themeColor="accent1" w:themeShade="BF"/>
          <w:sz w:val="56"/>
          <w:szCs w:val="56"/>
        </w:rPr>
      </w:pPr>
      <w:r w:rsidRPr="0017348A">
        <w:rPr>
          <w:color w:val="365F91" w:themeColor="accent1" w:themeShade="BF"/>
          <w:sz w:val="56"/>
          <w:szCs w:val="56"/>
        </w:rPr>
        <w:t xml:space="preserve">Shepparton North-East Growth </w:t>
      </w:r>
      <w:r w:rsidR="006B1AE6" w:rsidRPr="0017348A">
        <w:rPr>
          <w:color w:val="365F91" w:themeColor="accent1" w:themeShade="BF"/>
          <w:sz w:val="56"/>
          <w:szCs w:val="56"/>
        </w:rPr>
        <w:t>Corridor</w:t>
      </w:r>
    </w:p>
    <w:p w:rsidR="0077293E" w:rsidRPr="0017348A" w:rsidRDefault="0077293E" w:rsidP="0077293E">
      <w:pPr>
        <w:rPr>
          <w:color w:val="365F91" w:themeColor="accent1" w:themeShade="BF"/>
          <w:sz w:val="56"/>
          <w:szCs w:val="56"/>
        </w:rPr>
      </w:pPr>
    </w:p>
    <w:p w:rsidR="004D6B70" w:rsidRDefault="004D6B70" w:rsidP="0077293E">
      <w:pPr>
        <w:rPr>
          <w:color w:val="365F91" w:themeColor="accent1" w:themeShade="BF"/>
          <w:sz w:val="56"/>
          <w:szCs w:val="56"/>
        </w:rPr>
      </w:pPr>
      <w:r w:rsidRPr="0017348A">
        <w:rPr>
          <w:color w:val="365F91" w:themeColor="accent1" w:themeShade="BF"/>
          <w:sz w:val="56"/>
          <w:szCs w:val="56"/>
        </w:rPr>
        <w:t>Social Infrastructure Assessment</w:t>
      </w:r>
    </w:p>
    <w:p w:rsidR="0017348A" w:rsidRDefault="00707016" w:rsidP="0077293E">
      <w:pPr>
        <w:rPr>
          <w:color w:val="365F91" w:themeColor="accent1" w:themeShade="BF"/>
          <w:sz w:val="56"/>
          <w:szCs w:val="56"/>
        </w:rPr>
      </w:pPr>
      <w:r>
        <w:rPr>
          <w:color w:val="365F91" w:themeColor="accent1" w:themeShade="BF"/>
          <w:sz w:val="56"/>
          <w:szCs w:val="56"/>
        </w:rPr>
        <w:t>Review</w:t>
      </w:r>
      <w:r w:rsidR="0077293E" w:rsidRPr="0077293E">
        <w:rPr>
          <w:color w:val="365F91" w:themeColor="accent1" w:themeShade="BF"/>
          <w:sz w:val="56"/>
          <w:szCs w:val="56"/>
        </w:rPr>
        <w:t xml:space="preserve"> 2012</w:t>
      </w:r>
    </w:p>
    <w:p w:rsidR="00707016" w:rsidRPr="0017348A" w:rsidRDefault="00707016" w:rsidP="0077293E">
      <w:pPr>
        <w:rPr>
          <w:color w:val="365F91" w:themeColor="accent1" w:themeShade="BF"/>
          <w:sz w:val="56"/>
          <w:szCs w:val="56"/>
        </w:rPr>
      </w:pPr>
    </w:p>
    <w:p w:rsidR="004D6B70" w:rsidRPr="0017348A" w:rsidRDefault="004D6B70" w:rsidP="0077293E">
      <w:pPr>
        <w:rPr>
          <w:color w:val="365F91" w:themeColor="accent1" w:themeShade="BF"/>
          <w:sz w:val="44"/>
          <w:szCs w:val="44"/>
        </w:rPr>
      </w:pPr>
      <w:r w:rsidRPr="0017348A">
        <w:rPr>
          <w:color w:val="365F91" w:themeColor="accent1" w:themeShade="BF"/>
          <w:sz w:val="44"/>
          <w:szCs w:val="44"/>
        </w:rPr>
        <w:t>Great</w:t>
      </w:r>
      <w:r w:rsidR="008D079A" w:rsidRPr="0017348A">
        <w:rPr>
          <w:color w:val="365F91" w:themeColor="accent1" w:themeShade="BF"/>
          <w:sz w:val="44"/>
          <w:szCs w:val="44"/>
        </w:rPr>
        <w:t>er Shepparton City Council</w:t>
      </w:r>
      <w:r w:rsidR="000C3559" w:rsidRPr="0017348A">
        <w:rPr>
          <w:color w:val="365F91" w:themeColor="accent1" w:themeShade="BF"/>
          <w:sz w:val="44"/>
          <w:szCs w:val="44"/>
        </w:rPr>
        <w:br/>
        <w:t>Planning Department</w:t>
      </w:r>
      <w:r w:rsidR="000C3559" w:rsidRPr="0017348A">
        <w:rPr>
          <w:color w:val="365F91" w:themeColor="accent1" w:themeShade="BF"/>
          <w:sz w:val="44"/>
          <w:szCs w:val="44"/>
        </w:rPr>
        <w:br/>
      </w:r>
    </w:p>
    <w:p w:rsidR="004D6B70" w:rsidRDefault="004D6B70" w:rsidP="004D6B70">
      <w:pPr>
        <w:spacing w:after="200" w:line="276" w:lineRule="auto"/>
        <w:jc w:val="center"/>
        <w:rPr>
          <w:rFonts w:ascii="Arial" w:hAnsi="Arial" w:cs="Arial"/>
          <w:sz w:val="22"/>
          <w:szCs w:val="22"/>
        </w:rPr>
      </w:pPr>
    </w:p>
    <w:p w:rsidR="00427D6B" w:rsidRDefault="00427D6B" w:rsidP="004D6B70">
      <w:pPr>
        <w:spacing w:after="200" w:line="276" w:lineRule="auto"/>
        <w:jc w:val="center"/>
        <w:rPr>
          <w:rFonts w:ascii="Arial" w:hAnsi="Arial" w:cs="Arial"/>
          <w:sz w:val="22"/>
          <w:szCs w:val="22"/>
        </w:rPr>
      </w:pPr>
    </w:p>
    <w:p w:rsidR="00427D6B" w:rsidRDefault="00427D6B" w:rsidP="004D6B70">
      <w:pPr>
        <w:spacing w:after="200" w:line="276" w:lineRule="auto"/>
        <w:jc w:val="center"/>
        <w:rPr>
          <w:rFonts w:ascii="Arial" w:hAnsi="Arial" w:cs="Arial"/>
          <w:sz w:val="22"/>
          <w:szCs w:val="22"/>
        </w:rPr>
      </w:pPr>
    </w:p>
    <w:p w:rsidR="00427D6B" w:rsidRPr="003375DD" w:rsidRDefault="00427D6B" w:rsidP="004D6B70">
      <w:pPr>
        <w:spacing w:after="200" w:line="276" w:lineRule="auto"/>
        <w:jc w:val="center"/>
        <w:rPr>
          <w:rFonts w:ascii="Arial" w:hAnsi="Arial" w:cs="Arial"/>
          <w:sz w:val="22"/>
          <w:szCs w:val="22"/>
        </w:rPr>
      </w:pPr>
    </w:p>
    <w:p w:rsidR="004D6B70" w:rsidRPr="003375DD" w:rsidRDefault="00427D6B" w:rsidP="00427D6B">
      <w:pPr>
        <w:spacing w:after="200" w:line="276" w:lineRule="auto"/>
        <w:ind w:left="11520" w:firstLine="720"/>
        <w:jc w:val="center"/>
        <w:rPr>
          <w:rFonts w:ascii="Arial" w:hAnsi="Arial" w:cs="Arial"/>
          <w:sz w:val="22"/>
          <w:szCs w:val="22"/>
        </w:rPr>
      </w:pPr>
      <w:r w:rsidRPr="00427D6B">
        <w:rPr>
          <w:rFonts w:ascii="Arial" w:hAnsi="Arial" w:cs="Arial"/>
          <w:noProof/>
          <w:sz w:val="22"/>
          <w:szCs w:val="22"/>
          <w:lang w:eastAsia="en-AU"/>
        </w:rPr>
        <w:drawing>
          <wp:inline distT="0" distB="0" distL="0" distR="0">
            <wp:extent cx="803564" cy="907473"/>
            <wp:effectExtent l="19050" t="0" r="0" b="0"/>
            <wp:docPr id="9" name="Picture 1" descr="GSCCLogoTransparentLowRes02"/>
            <wp:cNvGraphicFramePr/>
            <a:graphic xmlns:a="http://schemas.openxmlformats.org/drawingml/2006/main">
              <a:graphicData uri="http://schemas.openxmlformats.org/drawingml/2006/picture">
                <pic:pic xmlns:pic="http://schemas.openxmlformats.org/drawingml/2006/picture">
                  <pic:nvPicPr>
                    <pic:cNvPr id="0" name="Picture 6" descr="GSCCLogoTransparentLowRes02"/>
                    <pic:cNvPicPr>
                      <a:picLocks noChangeAspect="1" noChangeArrowheads="1"/>
                    </pic:cNvPicPr>
                  </pic:nvPicPr>
                  <pic:blipFill>
                    <a:blip r:embed="rId8" cstate="print"/>
                    <a:srcRect/>
                    <a:stretch>
                      <a:fillRect/>
                    </a:stretch>
                  </pic:blipFill>
                  <pic:spPr bwMode="auto">
                    <a:xfrm>
                      <a:off x="0" y="0"/>
                      <a:ext cx="805027" cy="909125"/>
                    </a:xfrm>
                    <a:prstGeom prst="rect">
                      <a:avLst/>
                    </a:prstGeom>
                    <a:noFill/>
                    <a:ln w="9525">
                      <a:noFill/>
                      <a:miter lim="800000"/>
                      <a:headEnd/>
                      <a:tailEnd/>
                    </a:ln>
                  </pic:spPr>
                </pic:pic>
              </a:graphicData>
            </a:graphic>
          </wp:inline>
        </w:drawing>
      </w:r>
    </w:p>
    <w:p w:rsidR="00352E2B" w:rsidRPr="003375DD" w:rsidRDefault="004428F9" w:rsidP="004428F9">
      <w:pPr>
        <w:spacing w:after="200" w:line="276" w:lineRule="auto"/>
        <w:ind w:left="5040" w:firstLine="720"/>
        <w:jc w:val="center"/>
        <w:rPr>
          <w:rFonts w:ascii="Arial" w:hAnsi="Arial" w:cs="Arial"/>
          <w:sz w:val="22"/>
          <w:szCs w:val="22"/>
        </w:rPr>
      </w:pPr>
      <w:r w:rsidRPr="004428F9">
        <w:rPr>
          <w:rFonts w:ascii="Arial" w:hAnsi="Arial" w:cs="Arial"/>
          <w:noProof/>
          <w:sz w:val="22"/>
          <w:szCs w:val="22"/>
          <w:lang w:eastAsia="en-AU"/>
        </w:rPr>
        <w:drawing>
          <wp:inline distT="0" distB="0" distL="0" distR="0">
            <wp:extent cx="952500" cy="1074420"/>
            <wp:effectExtent l="19050" t="0" r="0" b="0"/>
            <wp:docPr id="7" name="Picture 2" descr="GSCCLogoTransparentLowRes02"/>
            <wp:cNvGraphicFramePr/>
            <a:graphic xmlns:a="http://schemas.openxmlformats.org/drawingml/2006/main">
              <a:graphicData uri="http://schemas.openxmlformats.org/drawingml/2006/picture">
                <pic:pic xmlns:pic="http://schemas.openxmlformats.org/drawingml/2006/picture">
                  <pic:nvPicPr>
                    <pic:cNvPr id="0" name="Picture 6" descr="GSCCLogoTransparentLowRes02"/>
                    <pic:cNvPicPr>
                      <a:picLocks noChangeAspect="1" noChangeArrowheads="1"/>
                    </pic:cNvPicPr>
                  </pic:nvPicPr>
                  <pic:blipFill>
                    <a:blip r:embed="rId8" cstate="print"/>
                    <a:srcRect/>
                    <a:stretch>
                      <a:fillRect/>
                    </a:stretch>
                  </pic:blipFill>
                  <pic:spPr bwMode="auto">
                    <a:xfrm>
                      <a:off x="0" y="0"/>
                      <a:ext cx="952500" cy="1074420"/>
                    </a:xfrm>
                    <a:prstGeom prst="rect">
                      <a:avLst/>
                    </a:prstGeom>
                    <a:noFill/>
                    <a:ln w="9525">
                      <a:noFill/>
                      <a:miter lim="800000"/>
                      <a:headEnd/>
                      <a:tailEnd/>
                    </a:ln>
                  </pic:spPr>
                </pic:pic>
              </a:graphicData>
            </a:graphic>
          </wp:inline>
        </w:drawing>
      </w:r>
    </w:p>
    <w:p w:rsidR="00E6611B" w:rsidRDefault="00E6611B" w:rsidP="00E6611B">
      <w:pPr>
        <w:spacing w:after="200" w:line="276" w:lineRule="auto"/>
        <w:ind w:left="6480" w:firstLine="720"/>
        <w:rPr>
          <w:sz w:val="22"/>
          <w:szCs w:val="22"/>
        </w:rPr>
      </w:pPr>
    </w:p>
    <w:p w:rsidR="00E6611B" w:rsidRDefault="00E6611B" w:rsidP="00E6611B">
      <w:pPr>
        <w:spacing w:after="200" w:line="276" w:lineRule="auto"/>
        <w:ind w:left="6480" w:firstLine="720"/>
        <w:rPr>
          <w:sz w:val="22"/>
          <w:szCs w:val="22"/>
        </w:rPr>
      </w:pPr>
    </w:p>
    <w:p w:rsidR="00693E70" w:rsidRDefault="004D6B70" w:rsidP="00E6611B">
      <w:pPr>
        <w:spacing w:after="200" w:line="276" w:lineRule="auto"/>
        <w:ind w:left="6480" w:firstLine="720"/>
        <w:rPr>
          <w:sz w:val="22"/>
          <w:szCs w:val="22"/>
        </w:rPr>
      </w:pPr>
      <w:r w:rsidRPr="00D80DEE">
        <w:rPr>
          <w:sz w:val="22"/>
          <w:szCs w:val="22"/>
        </w:rPr>
        <w:lastRenderedPageBreak/>
        <w:br w:type="page"/>
      </w:r>
    </w:p>
    <w:sdt>
      <w:sdtPr>
        <w:rPr>
          <w:rFonts w:ascii="Times New Roman" w:eastAsia="Times New Roman" w:hAnsi="Times New Roman" w:cs="Times New Roman"/>
          <w:b w:val="0"/>
          <w:bCs w:val="0"/>
          <w:color w:val="auto"/>
          <w:sz w:val="24"/>
          <w:szCs w:val="24"/>
          <w:lang w:val="en-AU"/>
        </w:rPr>
        <w:id w:val="10509836"/>
        <w:docPartObj>
          <w:docPartGallery w:val="Table of Contents"/>
          <w:docPartUnique/>
        </w:docPartObj>
      </w:sdtPr>
      <w:sdtContent>
        <w:p w:rsidR="00A13884" w:rsidRDefault="00A13884">
          <w:pPr>
            <w:pStyle w:val="TOCHeading"/>
          </w:pPr>
          <w:r w:rsidRPr="00B83E7D">
            <w:rPr>
              <w:rStyle w:val="Heading1Char"/>
            </w:rPr>
            <w:t>Contents</w:t>
          </w:r>
        </w:p>
        <w:p w:rsidR="000F14FF" w:rsidRDefault="00E7071C">
          <w:pPr>
            <w:pStyle w:val="TOC1"/>
            <w:rPr>
              <w:rFonts w:asciiTheme="minorHAnsi" w:eastAsiaTheme="minorEastAsia" w:hAnsiTheme="minorHAnsi" w:cstheme="minorBidi"/>
              <w:b w:val="0"/>
              <w:sz w:val="22"/>
              <w:szCs w:val="22"/>
              <w:lang w:eastAsia="en-AU"/>
            </w:rPr>
          </w:pPr>
          <w:r w:rsidRPr="00E7071C">
            <w:fldChar w:fldCharType="begin"/>
          </w:r>
          <w:r w:rsidR="00A13884">
            <w:instrText xml:space="preserve"> TOC \o "1-3" \h \z \u </w:instrText>
          </w:r>
          <w:r w:rsidRPr="00E7071C">
            <w:fldChar w:fldCharType="separate"/>
          </w:r>
          <w:hyperlink w:anchor="_Toc343006815" w:history="1">
            <w:r w:rsidR="000F14FF" w:rsidRPr="00706E9C">
              <w:rPr>
                <w:rStyle w:val="Hyperlink"/>
              </w:rPr>
              <w:t>Introduction</w:t>
            </w:r>
            <w:r w:rsidR="000F14FF">
              <w:rPr>
                <w:webHidden/>
              </w:rPr>
              <w:tab/>
            </w:r>
            <w:r>
              <w:rPr>
                <w:webHidden/>
              </w:rPr>
              <w:fldChar w:fldCharType="begin"/>
            </w:r>
            <w:r w:rsidR="000F14FF">
              <w:rPr>
                <w:webHidden/>
              </w:rPr>
              <w:instrText xml:space="preserve"> PAGEREF _Toc343006815 \h </w:instrText>
            </w:r>
            <w:r>
              <w:rPr>
                <w:webHidden/>
              </w:rPr>
            </w:r>
            <w:r>
              <w:rPr>
                <w:webHidden/>
              </w:rPr>
              <w:fldChar w:fldCharType="separate"/>
            </w:r>
            <w:r w:rsidR="000F14FF">
              <w:rPr>
                <w:webHidden/>
              </w:rPr>
              <w:t>5</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16" w:history="1">
            <w:r w:rsidR="000F14FF" w:rsidRPr="00706E9C">
              <w:rPr>
                <w:rStyle w:val="Hyperlink"/>
              </w:rPr>
              <w:t>Background</w:t>
            </w:r>
            <w:r w:rsidR="000F14FF">
              <w:rPr>
                <w:webHidden/>
              </w:rPr>
              <w:tab/>
            </w:r>
            <w:r>
              <w:rPr>
                <w:webHidden/>
              </w:rPr>
              <w:fldChar w:fldCharType="begin"/>
            </w:r>
            <w:r w:rsidR="000F14FF">
              <w:rPr>
                <w:webHidden/>
              </w:rPr>
              <w:instrText xml:space="preserve"> PAGEREF _Toc343006816 \h </w:instrText>
            </w:r>
            <w:r>
              <w:rPr>
                <w:webHidden/>
              </w:rPr>
            </w:r>
            <w:r>
              <w:rPr>
                <w:webHidden/>
              </w:rPr>
              <w:fldChar w:fldCharType="separate"/>
            </w:r>
            <w:r w:rsidR="000F14FF">
              <w:rPr>
                <w:webHidden/>
              </w:rPr>
              <w:t>5</w:t>
            </w:r>
            <w:r>
              <w:rPr>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17" w:history="1">
            <w:r w:rsidR="000F14FF" w:rsidRPr="00706E9C">
              <w:rPr>
                <w:rStyle w:val="Hyperlink"/>
              </w:rPr>
              <w:t>PART A:</w:t>
            </w:r>
            <w:r w:rsidR="000F14FF">
              <w:rPr>
                <w:webHidden/>
              </w:rPr>
              <w:tab/>
            </w:r>
            <w:r>
              <w:rPr>
                <w:webHidden/>
              </w:rPr>
              <w:fldChar w:fldCharType="begin"/>
            </w:r>
            <w:r w:rsidR="000F14FF">
              <w:rPr>
                <w:webHidden/>
              </w:rPr>
              <w:instrText xml:space="preserve"> PAGEREF _Toc343006817 \h </w:instrText>
            </w:r>
            <w:r>
              <w:rPr>
                <w:webHidden/>
              </w:rPr>
            </w:r>
            <w:r>
              <w:rPr>
                <w:webHidden/>
              </w:rPr>
              <w:fldChar w:fldCharType="separate"/>
            </w:r>
            <w:r w:rsidR="000F14FF">
              <w:rPr>
                <w:webHidden/>
              </w:rPr>
              <w:t>6</w:t>
            </w:r>
            <w:r>
              <w:rPr>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18" w:history="1">
            <w:r w:rsidR="000F14FF" w:rsidRPr="00706E9C">
              <w:rPr>
                <w:rStyle w:val="Hyperlink"/>
              </w:rPr>
              <w:t>Summary of North-East Growth Area Social Infrastructure Assessment (SIA 2008) by Maunsell/AECOM</w:t>
            </w:r>
            <w:r w:rsidR="000F14FF">
              <w:rPr>
                <w:webHidden/>
              </w:rPr>
              <w:tab/>
            </w:r>
            <w:r>
              <w:rPr>
                <w:webHidden/>
              </w:rPr>
              <w:fldChar w:fldCharType="begin"/>
            </w:r>
            <w:r w:rsidR="000F14FF">
              <w:rPr>
                <w:webHidden/>
              </w:rPr>
              <w:instrText xml:space="preserve"> PAGEREF _Toc343006818 \h </w:instrText>
            </w:r>
            <w:r>
              <w:rPr>
                <w:webHidden/>
              </w:rPr>
            </w:r>
            <w:r>
              <w:rPr>
                <w:webHidden/>
              </w:rPr>
              <w:fldChar w:fldCharType="separate"/>
            </w:r>
            <w:r w:rsidR="000F14FF">
              <w:rPr>
                <w:webHidden/>
              </w:rPr>
              <w:t>6</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19" w:history="1">
            <w:r w:rsidR="000F14FF" w:rsidRPr="00706E9C">
              <w:rPr>
                <w:rStyle w:val="Hyperlink"/>
              </w:rPr>
              <w:t>Key Population and Socio-Economic Trends</w:t>
            </w:r>
            <w:r w:rsidR="000F14FF">
              <w:rPr>
                <w:webHidden/>
              </w:rPr>
              <w:tab/>
            </w:r>
            <w:r>
              <w:rPr>
                <w:webHidden/>
              </w:rPr>
              <w:fldChar w:fldCharType="begin"/>
            </w:r>
            <w:r w:rsidR="000F14FF">
              <w:rPr>
                <w:webHidden/>
              </w:rPr>
              <w:instrText xml:space="preserve"> PAGEREF _Toc343006819 \h </w:instrText>
            </w:r>
            <w:r>
              <w:rPr>
                <w:webHidden/>
              </w:rPr>
            </w:r>
            <w:r>
              <w:rPr>
                <w:webHidden/>
              </w:rPr>
              <w:fldChar w:fldCharType="separate"/>
            </w:r>
            <w:r w:rsidR="000F14FF">
              <w:rPr>
                <w:webHidden/>
              </w:rPr>
              <w:t>6</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20" w:history="1">
            <w:r w:rsidR="000F14FF" w:rsidRPr="00706E9C">
              <w:rPr>
                <w:rStyle w:val="Hyperlink"/>
              </w:rPr>
              <w:t>Proposed Site Area</w:t>
            </w:r>
            <w:r w:rsidR="000F14FF">
              <w:rPr>
                <w:webHidden/>
              </w:rPr>
              <w:tab/>
            </w:r>
            <w:r>
              <w:rPr>
                <w:webHidden/>
              </w:rPr>
              <w:fldChar w:fldCharType="begin"/>
            </w:r>
            <w:r w:rsidR="000F14FF">
              <w:rPr>
                <w:webHidden/>
              </w:rPr>
              <w:instrText xml:space="preserve"> PAGEREF _Toc343006820 \h </w:instrText>
            </w:r>
            <w:r>
              <w:rPr>
                <w:webHidden/>
              </w:rPr>
            </w:r>
            <w:r>
              <w:rPr>
                <w:webHidden/>
              </w:rPr>
              <w:fldChar w:fldCharType="separate"/>
            </w:r>
            <w:r w:rsidR="000F14FF">
              <w:rPr>
                <w:webHidden/>
              </w:rPr>
              <w:t>6</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21" w:history="1">
            <w:r w:rsidR="000F14FF" w:rsidRPr="00706E9C">
              <w:rPr>
                <w:rStyle w:val="Hyperlink"/>
              </w:rPr>
              <w:t>Demographic Conclusions</w:t>
            </w:r>
            <w:r w:rsidR="000F14FF">
              <w:rPr>
                <w:webHidden/>
              </w:rPr>
              <w:tab/>
            </w:r>
            <w:r>
              <w:rPr>
                <w:webHidden/>
              </w:rPr>
              <w:fldChar w:fldCharType="begin"/>
            </w:r>
            <w:r w:rsidR="000F14FF">
              <w:rPr>
                <w:webHidden/>
              </w:rPr>
              <w:instrText xml:space="preserve"> PAGEREF _Toc343006821 \h </w:instrText>
            </w:r>
            <w:r>
              <w:rPr>
                <w:webHidden/>
              </w:rPr>
            </w:r>
            <w:r>
              <w:rPr>
                <w:webHidden/>
              </w:rPr>
              <w:fldChar w:fldCharType="separate"/>
            </w:r>
            <w:r w:rsidR="000F14FF">
              <w:rPr>
                <w:webHidden/>
              </w:rPr>
              <w:t>6</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22" w:history="1">
            <w:r w:rsidR="000F14FF" w:rsidRPr="00706E9C">
              <w:rPr>
                <w:rStyle w:val="Hyperlink"/>
              </w:rPr>
              <w:t>2008 SIA Summary Policy Context</w:t>
            </w:r>
            <w:r w:rsidR="000F14FF">
              <w:rPr>
                <w:webHidden/>
              </w:rPr>
              <w:tab/>
            </w:r>
            <w:r>
              <w:rPr>
                <w:webHidden/>
              </w:rPr>
              <w:fldChar w:fldCharType="begin"/>
            </w:r>
            <w:r w:rsidR="000F14FF">
              <w:rPr>
                <w:webHidden/>
              </w:rPr>
              <w:instrText xml:space="preserve"> PAGEREF _Toc343006822 \h </w:instrText>
            </w:r>
            <w:r>
              <w:rPr>
                <w:webHidden/>
              </w:rPr>
            </w:r>
            <w:r>
              <w:rPr>
                <w:webHidden/>
              </w:rPr>
              <w:fldChar w:fldCharType="separate"/>
            </w:r>
            <w:r w:rsidR="000F14FF">
              <w:rPr>
                <w:webHidden/>
              </w:rPr>
              <w:t>7</w:t>
            </w:r>
            <w:r>
              <w:rPr>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23" w:history="1">
            <w:r w:rsidR="000F14FF" w:rsidRPr="00706E9C">
              <w:rPr>
                <w:rStyle w:val="Hyperlink"/>
                <w:rFonts w:eastAsiaTheme="minorHAnsi"/>
                <w:noProof/>
              </w:rPr>
              <w:t>State Planning Policy Framework</w:t>
            </w:r>
            <w:r w:rsidR="000F14FF">
              <w:rPr>
                <w:noProof/>
                <w:webHidden/>
              </w:rPr>
              <w:tab/>
            </w:r>
            <w:r>
              <w:rPr>
                <w:noProof/>
                <w:webHidden/>
              </w:rPr>
              <w:fldChar w:fldCharType="begin"/>
            </w:r>
            <w:r w:rsidR="000F14FF">
              <w:rPr>
                <w:noProof/>
                <w:webHidden/>
              </w:rPr>
              <w:instrText xml:space="preserve"> PAGEREF _Toc343006823 \h </w:instrText>
            </w:r>
            <w:r>
              <w:rPr>
                <w:noProof/>
                <w:webHidden/>
              </w:rPr>
            </w:r>
            <w:r>
              <w:rPr>
                <w:noProof/>
                <w:webHidden/>
              </w:rPr>
              <w:fldChar w:fldCharType="separate"/>
            </w:r>
            <w:r w:rsidR="000F14FF">
              <w:rPr>
                <w:noProof/>
                <w:webHidden/>
              </w:rPr>
              <w:t>7</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24" w:history="1">
            <w:r w:rsidR="000F14FF" w:rsidRPr="00706E9C">
              <w:rPr>
                <w:rStyle w:val="Hyperlink"/>
                <w:noProof/>
              </w:rPr>
              <w:t>State Government Policy</w:t>
            </w:r>
            <w:r w:rsidR="000F14FF">
              <w:rPr>
                <w:noProof/>
                <w:webHidden/>
              </w:rPr>
              <w:tab/>
            </w:r>
            <w:r>
              <w:rPr>
                <w:noProof/>
                <w:webHidden/>
              </w:rPr>
              <w:fldChar w:fldCharType="begin"/>
            </w:r>
            <w:r w:rsidR="000F14FF">
              <w:rPr>
                <w:noProof/>
                <w:webHidden/>
              </w:rPr>
              <w:instrText xml:space="preserve"> PAGEREF _Toc343006824 \h </w:instrText>
            </w:r>
            <w:r>
              <w:rPr>
                <w:noProof/>
                <w:webHidden/>
              </w:rPr>
            </w:r>
            <w:r>
              <w:rPr>
                <w:noProof/>
                <w:webHidden/>
              </w:rPr>
              <w:fldChar w:fldCharType="separate"/>
            </w:r>
            <w:r w:rsidR="000F14FF">
              <w:rPr>
                <w:noProof/>
                <w:webHidden/>
              </w:rPr>
              <w:t>7</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25" w:history="1">
            <w:r w:rsidR="000F14FF" w:rsidRPr="00706E9C">
              <w:rPr>
                <w:rStyle w:val="Hyperlink"/>
                <w:noProof/>
              </w:rPr>
              <w:t>Melbourne 2030 (where applicable to urban growth)</w:t>
            </w:r>
            <w:r w:rsidR="000F14FF">
              <w:rPr>
                <w:noProof/>
                <w:webHidden/>
              </w:rPr>
              <w:tab/>
            </w:r>
            <w:r>
              <w:rPr>
                <w:noProof/>
                <w:webHidden/>
              </w:rPr>
              <w:fldChar w:fldCharType="begin"/>
            </w:r>
            <w:r w:rsidR="000F14FF">
              <w:rPr>
                <w:noProof/>
                <w:webHidden/>
              </w:rPr>
              <w:instrText xml:space="preserve"> PAGEREF _Toc343006825 \h </w:instrText>
            </w:r>
            <w:r>
              <w:rPr>
                <w:noProof/>
                <w:webHidden/>
              </w:rPr>
            </w:r>
            <w:r>
              <w:rPr>
                <w:noProof/>
                <w:webHidden/>
              </w:rPr>
              <w:fldChar w:fldCharType="separate"/>
            </w:r>
            <w:r w:rsidR="000F14FF">
              <w:rPr>
                <w:noProof/>
                <w:webHidden/>
              </w:rPr>
              <w:t>7</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26" w:history="1">
            <w:r w:rsidR="000F14FF" w:rsidRPr="00706E9C">
              <w:rPr>
                <w:rStyle w:val="Hyperlink"/>
                <w:noProof/>
              </w:rPr>
              <w:t>Local Planning Policy Framework</w:t>
            </w:r>
            <w:r w:rsidR="000F14FF">
              <w:rPr>
                <w:noProof/>
                <w:webHidden/>
              </w:rPr>
              <w:tab/>
            </w:r>
            <w:r>
              <w:rPr>
                <w:noProof/>
                <w:webHidden/>
              </w:rPr>
              <w:fldChar w:fldCharType="begin"/>
            </w:r>
            <w:r w:rsidR="000F14FF">
              <w:rPr>
                <w:noProof/>
                <w:webHidden/>
              </w:rPr>
              <w:instrText xml:space="preserve"> PAGEREF _Toc343006826 \h </w:instrText>
            </w:r>
            <w:r>
              <w:rPr>
                <w:noProof/>
                <w:webHidden/>
              </w:rPr>
            </w:r>
            <w:r>
              <w:rPr>
                <w:noProof/>
                <w:webHidden/>
              </w:rPr>
              <w:fldChar w:fldCharType="separate"/>
            </w:r>
            <w:r w:rsidR="000F14FF">
              <w:rPr>
                <w:noProof/>
                <w:webHidden/>
              </w:rPr>
              <w:t>7</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27" w:history="1">
            <w:r w:rsidR="000F14FF" w:rsidRPr="00706E9C">
              <w:rPr>
                <w:rStyle w:val="Hyperlink"/>
                <w:noProof/>
              </w:rPr>
              <w:t>Council Policies</w:t>
            </w:r>
            <w:r w:rsidR="000F14FF">
              <w:rPr>
                <w:noProof/>
                <w:webHidden/>
              </w:rPr>
              <w:tab/>
            </w:r>
            <w:r>
              <w:rPr>
                <w:noProof/>
                <w:webHidden/>
              </w:rPr>
              <w:fldChar w:fldCharType="begin"/>
            </w:r>
            <w:r w:rsidR="000F14FF">
              <w:rPr>
                <w:noProof/>
                <w:webHidden/>
              </w:rPr>
              <w:instrText xml:space="preserve"> PAGEREF _Toc343006827 \h </w:instrText>
            </w:r>
            <w:r>
              <w:rPr>
                <w:noProof/>
                <w:webHidden/>
              </w:rPr>
            </w:r>
            <w:r>
              <w:rPr>
                <w:noProof/>
                <w:webHidden/>
              </w:rPr>
              <w:fldChar w:fldCharType="separate"/>
            </w:r>
            <w:r w:rsidR="000F14FF">
              <w:rPr>
                <w:noProof/>
                <w:webHidden/>
              </w:rPr>
              <w:t>7</w:t>
            </w:r>
            <w:r>
              <w:rPr>
                <w:noProof/>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28" w:history="1">
            <w:r w:rsidR="000F14FF" w:rsidRPr="00706E9C">
              <w:rPr>
                <w:rStyle w:val="Hyperlink"/>
              </w:rPr>
              <w:t>2008 SIA Recommendations</w:t>
            </w:r>
            <w:r w:rsidR="000F14FF">
              <w:rPr>
                <w:webHidden/>
              </w:rPr>
              <w:tab/>
            </w:r>
            <w:r>
              <w:rPr>
                <w:webHidden/>
              </w:rPr>
              <w:fldChar w:fldCharType="begin"/>
            </w:r>
            <w:r w:rsidR="000F14FF">
              <w:rPr>
                <w:webHidden/>
              </w:rPr>
              <w:instrText xml:space="preserve"> PAGEREF _Toc343006828 \h </w:instrText>
            </w:r>
            <w:r>
              <w:rPr>
                <w:webHidden/>
              </w:rPr>
            </w:r>
            <w:r>
              <w:rPr>
                <w:webHidden/>
              </w:rPr>
              <w:fldChar w:fldCharType="separate"/>
            </w:r>
            <w:r w:rsidR="000F14FF">
              <w:rPr>
                <w:webHidden/>
              </w:rPr>
              <w:t>8</w:t>
            </w:r>
            <w:r>
              <w:rPr>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29" w:history="1">
            <w:r w:rsidR="000F14FF" w:rsidRPr="00706E9C">
              <w:rPr>
                <w:rStyle w:val="Hyperlink"/>
              </w:rPr>
              <w:t>PART B Review of the 2008 SIA Recommendations</w:t>
            </w:r>
            <w:r w:rsidR="000F14FF">
              <w:rPr>
                <w:webHidden/>
              </w:rPr>
              <w:tab/>
            </w:r>
            <w:r>
              <w:rPr>
                <w:webHidden/>
              </w:rPr>
              <w:fldChar w:fldCharType="begin"/>
            </w:r>
            <w:r w:rsidR="000F14FF">
              <w:rPr>
                <w:webHidden/>
              </w:rPr>
              <w:instrText xml:space="preserve"> PAGEREF _Toc343006829 \h </w:instrText>
            </w:r>
            <w:r>
              <w:rPr>
                <w:webHidden/>
              </w:rPr>
            </w:r>
            <w:r>
              <w:rPr>
                <w:webHidden/>
              </w:rPr>
              <w:fldChar w:fldCharType="separate"/>
            </w:r>
            <w:r w:rsidR="000F14FF">
              <w:rPr>
                <w:webHidden/>
              </w:rPr>
              <w:t>9</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30" w:history="1">
            <w:r w:rsidR="000F14FF" w:rsidRPr="00706E9C">
              <w:rPr>
                <w:rStyle w:val="Hyperlink"/>
              </w:rPr>
              <w:t>Key Population and Socio-Economic Trends</w:t>
            </w:r>
            <w:r w:rsidR="000F14FF">
              <w:rPr>
                <w:webHidden/>
              </w:rPr>
              <w:tab/>
            </w:r>
            <w:r>
              <w:rPr>
                <w:webHidden/>
              </w:rPr>
              <w:fldChar w:fldCharType="begin"/>
            </w:r>
            <w:r w:rsidR="000F14FF">
              <w:rPr>
                <w:webHidden/>
              </w:rPr>
              <w:instrText xml:space="preserve"> PAGEREF _Toc343006830 \h </w:instrText>
            </w:r>
            <w:r>
              <w:rPr>
                <w:webHidden/>
              </w:rPr>
            </w:r>
            <w:r>
              <w:rPr>
                <w:webHidden/>
              </w:rPr>
              <w:fldChar w:fldCharType="separate"/>
            </w:r>
            <w:r w:rsidR="000F14FF">
              <w:rPr>
                <w:webHidden/>
              </w:rPr>
              <w:t>10</w:t>
            </w:r>
            <w:r>
              <w:rPr>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31" w:history="1">
            <w:r w:rsidR="000F14FF" w:rsidRPr="00706E9C">
              <w:rPr>
                <w:rStyle w:val="Hyperlink"/>
                <w:noProof/>
              </w:rPr>
              <w:t>Greater Shepparton Population Projections</w:t>
            </w:r>
            <w:r w:rsidR="000F14FF">
              <w:rPr>
                <w:noProof/>
                <w:webHidden/>
              </w:rPr>
              <w:tab/>
            </w:r>
            <w:r>
              <w:rPr>
                <w:noProof/>
                <w:webHidden/>
              </w:rPr>
              <w:fldChar w:fldCharType="begin"/>
            </w:r>
            <w:r w:rsidR="000F14FF">
              <w:rPr>
                <w:noProof/>
                <w:webHidden/>
              </w:rPr>
              <w:instrText xml:space="preserve"> PAGEREF _Toc343006831 \h </w:instrText>
            </w:r>
            <w:r>
              <w:rPr>
                <w:noProof/>
                <w:webHidden/>
              </w:rPr>
            </w:r>
            <w:r>
              <w:rPr>
                <w:noProof/>
                <w:webHidden/>
              </w:rPr>
              <w:fldChar w:fldCharType="separate"/>
            </w:r>
            <w:r w:rsidR="000F14FF">
              <w:rPr>
                <w:noProof/>
                <w:webHidden/>
              </w:rPr>
              <w:t>12</w:t>
            </w:r>
            <w:r>
              <w:rPr>
                <w:noProof/>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32" w:history="1">
            <w:r w:rsidR="000F14FF" w:rsidRPr="00706E9C">
              <w:rPr>
                <w:rStyle w:val="Hyperlink"/>
                <w:rFonts w:eastAsia="Times New Roman"/>
              </w:rPr>
              <w:t>The Forecast for Greater Shepparton shows that a strong growth rate above 1.1% will continue until 2031. This projection is in line with the original report and supports the reccomendations made by Maunsell/AECOM.</w:t>
            </w:r>
            <w:r w:rsidR="000F14FF">
              <w:rPr>
                <w:webHidden/>
              </w:rPr>
              <w:tab/>
            </w:r>
            <w:r>
              <w:rPr>
                <w:webHidden/>
              </w:rPr>
              <w:fldChar w:fldCharType="begin"/>
            </w:r>
            <w:r w:rsidR="000F14FF">
              <w:rPr>
                <w:webHidden/>
              </w:rPr>
              <w:instrText xml:space="preserve"> PAGEREF _Toc343006832 \h </w:instrText>
            </w:r>
            <w:r>
              <w:rPr>
                <w:webHidden/>
              </w:rPr>
            </w:r>
            <w:r>
              <w:rPr>
                <w:webHidden/>
              </w:rPr>
              <w:fldChar w:fldCharType="separate"/>
            </w:r>
            <w:r w:rsidR="000F14FF">
              <w:rPr>
                <w:webHidden/>
              </w:rPr>
              <w:t>12</w:t>
            </w:r>
            <w:r>
              <w:rPr>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33" w:history="1">
            <w:r w:rsidR="000F14FF" w:rsidRPr="00706E9C">
              <w:rPr>
                <w:rStyle w:val="Hyperlink"/>
              </w:rPr>
              <w:t>Plans and Strategies</w:t>
            </w:r>
            <w:r w:rsidR="000F14FF">
              <w:rPr>
                <w:webHidden/>
              </w:rPr>
              <w:tab/>
            </w:r>
            <w:r>
              <w:rPr>
                <w:webHidden/>
              </w:rPr>
              <w:fldChar w:fldCharType="begin"/>
            </w:r>
            <w:r w:rsidR="000F14FF">
              <w:rPr>
                <w:webHidden/>
              </w:rPr>
              <w:instrText xml:space="preserve"> PAGEREF _Toc343006833 \h </w:instrText>
            </w:r>
            <w:r>
              <w:rPr>
                <w:webHidden/>
              </w:rPr>
            </w:r>
            <w:r>
              <w:rPr>
                <w:webHidden/>
              </w:rPr>
              <w:fldChar w:fldCharType="separate"/>
            </w:r>
            <w:r w:rsidR="000F14FF">
              <w:rPr>
                <w:webHidden/>
              </w:rPr>
              <w:t>12</w:t>
            </w:r>
            <w:r>
              <w:rPr>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34" w:history="1">
            <w:r w:rsidR="000F14FF" w:rsidRPr="00706E9C">
              <w:rPr>
                <w:rStyle w:val="Hyperlink"/>
                <w:noProof/>
              </w:rPr>
              <w:t>Council Plan and Strategic Resource Plan</w:t>
            </w:r>
            <w:r w:rsidR="000F14FF">
              <w:rPr>
                <w:noProof/>
                <w:webHidden/>
              </w:rPr>
              <w:tab/>
            </w:r>
            <w:r>
              <w:rPr>
                <w:noProof/>
                <w:webHidden/>
              </w:rPr>
              <w:fldChar w:fldCharType="begin"/>
            </w:r>
            <w:r w:rsidR="000F14FF">
              <w:rPr>
                <w:noProof/>
                <w:webHidden/>
              </w:rPr>
              <w:instrText xml:space="preserve"> PAGEREF _Toc343006834 \h </w:instrText>
            </w:r>
            <w:r>
              <w:rPr>
                <w:noProof/>
                <w:webHidden/>
              </w:rPr>
            </w:r>
            <w:r>
              <w:rPr>
                <w:noProof/>
                <w:webHidden/>
              </w:rPr>
              <w:fldChar w:fldCharType="separate"/>
            </w:r>
            <w:r w:rsidR="000F14FF">
              <w:rPr>
                <w:noProof/>
                <w:webHidden/>
              </w:rPr>
              <w:t>12</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35" w:history="1">
            <w:r w:rsidR="000F14FF" w:rsidRPr="00706E9C">
              <w:rPr>
                <w:rStyle w:val="Hyperlink"/>
                <w:noProof/>
              </w:rPr>
              <w:t>Public Health Plan 2009-2013</w:t>
            </w:r>
            <w:r w:rsidR="000F14FF">
              <w:rPr>
                <w:noProof/>
                <w:webHidden/>
              </w:rPr>
              <w:tab/>
            </w:r>
            <w:r>
              <w:rPr>
                <w:noProof/>
                <w:webHidden/>
              </w:rPr>
              <w:fldChar w:fldCharType="begin"/>
            </w:r>
            <w:r w:rsidR="000F14FF">
              <w:rPr>
                <w:noProof/>
                <w:webHidden/>
              </w:rPr>
              <w:instrText xml:space="preserve"> PAGEREF _Toc343006835 \h </w:instrText>
            </w:r>
            <w:r>
              <w:rPr>
                <w:noProof/>
                <w:webHidden/>
              </w:rPr>
            </w:r>
            <w:r>
              <w:rPr>
                <w:noProof/>
                <w:webHidden/>
              </w:rPr>
              <w:fldChar w:fldCharType="separate"/>
            </w:r>
            <w:r w:rsidR="000F14FF">
              <w:rPr>
                <w:noProof/>
                <w:webHidden/>
              </w:rPr>
              <w:t>13</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36" w:history="1">
            <w:r w:rsidR="000F14FF" w:rsidRPr="00706E9C">
              <w:rPr>
                <w:rStyle w:val="Hyperlink"/>
                <w:noProof/>
              </w:rPr>
              <w:t>Greater Shepparton Housing Strategy</w:t>
            </w:r>
            <w:r w:rsidR="000F14FF">
              <w:rPr>
                <w:noProof/>
                <w:webHidden/>
              </w:rPr>
              <w:tab/>
            </w:r>
            <w:r>
              <w:rPr>
                <w:noProof/>
                <w:webHidden/>
              </w:rPr>
              <w:fldChar w:fldCharType="begin"/>
            </w:r>
            <w:r w:rsidR="000F14FF">
              <w:rPr>
                <w:noProof/>
                <w:webHidden/>
              </w:rPr>
              <w:instrText xml:space="preserve"> PAGEREF _Toc343006836 \h </w:instrText>
            </w:r>
            <w:r>
              <w:rPr>
                <w:noProof/>
                <w:webHidden/>
              </w:rPr>
            </w:r>
            <w:r>
              <w:rPr>
                <w:noProof/>
                <w:webHidden/>
              </w:rPr>
              <w:fldChar w:fldCharType="separate"/>
            </w:r>
            <w:r w:rsidR="000F14FF">
              <w:rPr>
                <w:noProof/>
                <w:webHidden/>
              </w:rPr>
              <w:t>13</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37" w:history="1">
            <w:r w:rsidR="000F14FF" w:rsidRPr="00706E9C">
              <w:rPr>
                <w:rStyle w:val="Hyperlink"/>
                <w:noProof/>
              </w:rPr>
              <w:t>Early years Service Review and Future Demand Analysis</w:t>
            </w:r>
            <w:r w:rsidR="000F14FF">
              <w:rPr>
                <w:noProof/>
                <w:webHidden/>
              </w:rPr>
              <w:tab/>
            </w:r>
            <w:r>
              <w:rPr>
                <w:noProof/>
                <w:webHidden/>
              </w:rPr>
              <w:fldChar w:fldCharType="begin"/>
            </w:r>
            <w:r w:rsidR="000F14FF">
              <w:rPr>
                <w:noProof/>
                <w:webHidden/>
              </w:rPr>
              <w:instrText xml:space="preserve"> PAGEREF _Toc343006837 \h </w:instrText>
            </w:r>
            <w:r>
              <w:rPr>
                <w:noProof/>
                <w:webHidden/>
              </w:rPr>
            </w:r>
            <w:r>
              <w:rPr>
                <w:noProof/>
                <w:webHidden/>
              </w:rPr>
              <w:fldChar w:fldCharType="separate"/>
            </w:r>
            <w:r w:rsidR="000F14FF">
              <w:rPr>
                <w:noProof/>
                <w:webHidden/>
              </w:rPr>
              <w:t>14</w:t>
            </w:r>
            <w:r>
              <w:rPr>
                <w:noProof/>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38" w:history="1">
            <w:r w:rsidR="000F14FF" w:rsidRPr="00706E9C">
              <w:rPr>
                <w:rStyle w:val="Hyperlink"/>
              </w:rPr>
              <w:t>Universal Housing</w:t>
            </w:r>
            <w:r w:rsidR="000F14FF">
              <w:rPr>
                <w:webHidden/>
              </w:rPr>
              <w:tab/>
            </w:r>
            <w:r>
              <w:rPr>
                <w:webHidden/>
              </w:rPr>
              <w:fldChar w:fldCharType="begin"/>
            </w:r>
            <w:r w:rsidR="000F14FF">
              <w:rPr>
                <w:webHidden/>
              </w:rPr>
              <w:instrText xml:space="preserve"> PAGEREF _Toc343006838 \h </w:instrText>
            </w:r>
            <w:r>
              <w:rPr>
                <w:webHidden/>
              </w:rPr>
            </w:r>
            <w:r>
              <w:rPr>
                <w:webHidden/>
              </w:rPr>
              <w:fldChar w:fldCharType="separate"/>
            </w:r>
            <w:r w:rsidR="000F14FF">
              <w:rPr>
                <w:webHidden/>
              </w:rPr>
              <w:t>16</w:t>
            </w:r>
            <w:r>
              <w:rPr>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39" w:history="1">
            <w:r w:rsidR="000F14FF" w:rsidRPr="00706E9C">
              <w:rPr>
                <w:rStyle w:val="Hyperlink"/>
              </w:rPr>
              <w:t>North-East Growth Corridor Structure Plan</w:t>
            </w:r>
            <w:r w:rsidR="000F14FF">
              <w:rPr>
                <w:webHidden/>
              </w:rPr>
              <w:tab/>
            </w:r>
            <w:r>
              <w:rPr>
                <w:webHidden/>
              </w:rPr>
              <w:fldChar w:fldCharType="begin"/>
            </w:r>
            <w:r w:rsidR="000F14FF">
              <w:rPr>
                <w:webHidden/>
              </w:rPr>
              <w:instrText xml:space="preserve"> PAGEREF _Toc343006839 \h </w:instrText>
            </w:r>
            <w:r>
              <w:rPr>
                <w:webHidden/>
              </w:rPr>
            </w:r>
            <w:r>
              <w:rPr>
                <w:webHidden/>
              </w:rPr>
              <w:fldChar w:fldCharType="separate"/>
            </w:r>
            <w:r w:rsidR="000F14FF">
              <w:rPr>
                <w:webHidden/>
              </w:rPr>
              <w:t>16</w:t>
            </w:r>
            <w:r>
              <w:rPr>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0" w:history="1">
            <w:r w:rsidR="000F14FF" w:rsidRPr="00706E9C">
              <w:rPr>
                <w:rStyle w:val="Hyperlink"/>
                <w:noProof/>
              </w:rPr>
              <w:t>Preferred option of Activity Centre and Primary School location</w:t>
            </w:r>
            <w:r w:rsidR="000F14FF">
              <w:rPr>
                <w:noProof/>
                <w:webHidden/>
              </w:rPr>
              <w:tab/>
            </w:r>
            <w:r>
              <w:rPr>
                <w:noProof/>
                <w:webHidden/>
              </w:rPr>
              <w:fldChar w:fldCharType="begin"/>
            </w:r>
            <w:r w:rsidR="000F14FF">
              <w:rPr>
                <w:noProof/>
                <w:webHidden/>
              </w:rPr>
              <w:instrText xml:space="preserve"> PAGEREF _Toc343006840 \h </w:instrText>
            </w:r>
            <w:r>
              <w:rPr>
                <w:noProof/>
                <w:webHidden/>
              </w:rPr>
            </w:r>
            <w:r>
              <w:rPr>
                <w:noProof/>
                <w:webHidden/>
              </w:rPr>
              <w:fldChar w:fldCharType="separate"/>
            </w:r>
            <w:r w:rsidR="000F14FF">
              <w:rPr>
                <w:noProof/>
                <w:webHidden/>
              </w:rPr>
              <w:t>16</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1" w:history="1">
            <w:r w:rsidR="000F14FF" w:rsidRPr="00706E9C">
              <w:rPr>
                <w:rStyle w:val="Hyperlink"/>
                <w:noProof/>
              </w:rPr>
              <w:t>Community Centre</w:t>
            </w:r>
            <w:r w:rsidR="000F14FF">
              <w:rPr>
                <w:noProof/>
                <w:webHidden/>
              </w:rPr>
              <w:tab/>
            </w:r>
            <w:r>
              <w:rPr>
                <w:noProof/>
                <w:webHidden/>
              </w:rPr>
              <w:fldChar w:fldCharType="begin"/>
            </w:r>
            <w:r w:rsidR="000F14FF">
              <w:rPr>
                <w:noProof/>
                <w:webHidden/>
              </w:rPr>
              <w:instrText xml:space="preserve"> PAGEREF _Toc343006841 \h </w:instrText>
            </w:r>
            <w:r>
              <w:rPr>
                <w:noProof/>
                <w:webHidden/>
              </w:rPr>
            </w:r>
            <w:r>
              <w:rPr>
                <w:noProof/>
                <w:webHidden/>
              </w:rPr>
              <w:fldChar w:fldCharType="separate"/>
            </w:r>
            <w:r w:rsidR="000F14FF">
              <w:rPr>
                <w:noProof/>
                <w:webHidden/>
              </w:rPr>
              <w:t>16</w:t>
            </w:r>
            <w:r>
              <w:rPr>
                <w:noProof/>
                <w:webHidden/>
              </w:rPr>
              <w:fldChar w:fldCharType="end"/>
            </w:r>
          </w:hyperlink>
        </w:p>
        <w:p w:rsidR="000F14FF" w:rsidRDefault="00E7071C">
          <w:pPr>
            <w:pStyle w:val="TOC2"/>
            <w:rPr>
              <w:rFonts w:asciiTheme="minorHAnsi" w:eastAsiaTheme="minorEastAsia" w:hAnsiTheme="minorHAnsi" w:cstheme="minorBidi"/>
              <w:b w:val="0"/>
              <w:sz w:val="22"/>
              <w:szCs w:val="22"/>
              <w:lang w:eastAsia="en-AU"/>
            </w:rPr>
          </w:pPr>
          <w:hyperlink w:anchor="_Toc343006842" w:history="1">
            <w:r w:rsidR="000F14FF" w:rsidRPr="00706E9C">
              <w:rPr>
                <w:rStyle w:val="Hyperlink"/>
              </w:rPr>
              <w:t>Recommended floor space and uses for Community Centre</w:t>
            </w:r>
            <w:r w:rsidR="000F14FF">
              <w:rPr>
                <w:webHidden/>
              </w:rPr>
              <w:tab/>
            </w:r>
            <w:r>
              <w:rPr>
                <w:webHidden/>
              </w:rPr>
              <w:fldChar w:fldCharType="begin"/>
            </w:r>
            <w:r w:rsidR="000F14FF">
              <w:rPr>
                <w:webHidden/>
              </w:rPr>
              <w:instrText xml:space="preserve"> PAGEREF _Toc343006842 \h </w:instrText>
            </w:r>
            <w:r>
              <w:rPr>
                <w:webHidden/>
              </w:rPr>
            </w:r>
            <w:r>
              <w:rPr>
                <w:webHidden/>
              </w:rPr>
              <w:fldChar w:fldCharType="separate"/>
            </w:r>
            <w:r w:rsidR="000F14FF">
              <w:rPr>
                <w:webHidden/>
              </w:rPr>
              <w:t>17</w:t>
            </w:r>
            <w:r>
              <w:rPr>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3" w:history="1">
            <w:r w:rsidR="000F14FF" w:rsidRPr="00706E9C">
              <w:rPr>
                <w:rStyle w:val="Hyperlink"/>
                <w:noProof/>
              </w:rPr>
              <w:t>Schools and education</w:t>
            </w:r>
            <w:r w:rsidR="000F14FF">
              <w:rPr>
                <w:noProof/>
                <w:webHidden/>
              </w:rPr>
              <w:tab/>
            </w:r>
            <w:r>
              <w:rPr>
                <w:noProof/>
                <w:webHidden/>
              </w:rPr>
              <w:fldChar w:fldCharType="begin"/>
            </w:r>
            <w:r w:rsidR="000F14FF">
              <w:rPr>
                <w:noProof/>
                <w:webHidden/>
              </w:rPr>
              <w:instrText xml:space="preserve"> PAGEREF _Toc343006843 \h </w:instrText>
            </w:r>
            <w:r>
              <w:rPr>
                <w:noProof/>
                <w:webHidden/>
              </w:rPr>
            </w:r>
            <w:r>
              <w:rPr>
                <w:noProof/>
                <w:webHidden/>
              </w:rPr>
              <w:fldChar w:fldCharType="separate"/>
            </w:r>
            <w:r w:rsidR="000F14FF">
              <w:rPr>
                <w:noProof/>
                <w:webHidden/>
              </w:rPr>
              <w:t>18</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4" w:history="1">
            <w:r w:rsidR="000F14FF" w:rsidRPr="00706E9C">
              <w:rPr>
                <w:rStyle w:val="Hyperlink"/>
                <w:noProof/>
              </w:rPr>
              <w:t>Childcare and Preschools</w:t>
            </w:r>
            <w:r w:rsidR="000F14FF">
              <w:rPr>
                <w:noProof/>
                <w:webHidden/>
              </w:rPr>
              <w:tab/>
            </w:r>
            <w:r>
              <w:rPr>
                <w:noProof/>
                <w:webHidden/>
              </w:rPr>
              <w:fldChar w:fldCharType="begin"/>
            </w:r>
            <w:r w:rsidR="000F14FF">
              <w:rPr>
                <w:noProof/>
                <w:webHidden/>
              </w:rPr>
              <w:instrText xml:space="preserve"> PAGEREF _Toc343006844 \h </w:instrText>
            </w:r>
            <w:r>
              <w:rPr>
                <w:noProof/>
                <w:webHidden/>
              </w:rPr>
            </w:r>
            <w:r>
              <w:rPr>
                <w:noProof/>
                <w:webHidden/>
              </w:rPr>
              <w:fldChar w:fldCharType="separate"/>
            </w:r>
            <w:r w:rsidR="000F14FF">
              <w:rPr>
                <w:noProof/>
                <w:webHidden/>
              </w:rPr>
              <w:t>18</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5" w:history="1">
            <w:r w:rsidR="000F14FF" w:rsidRPr="00706E9C">
              <w:rPr>
                <w:rStyle w:val="Hyperlink"/>
                <w:noProof/>
              </w:rPr>
              <w:t>Health Care Facilities</w:t>
            </w:r>
            <w:r w:rsidR="000F14FF">
              <w:rPr>
                <w:noProof/>
                <w:webHidden/>
              </w:rPr>
              <w:tab/>
            </w:r>
            <w:r>
              <w:rPr>
                <w:noProof/>
                <w:webHidden/>
              </w:rPr>
              <w:fldChar w:fldCharType="begin"/>
            </w:r>
            <w:r w:rsidR="000F14FF">
              <w:rPr>
                <w:noProof/>
                <w:webHidden/>
              </w:rPr>
              <w:instrText xml:space="preserve"> PAGEREF _Toc343006845 \h </w:instrText>
            </w:r>
            <w:r>
              <w:rPr>
                <w:noProof/>
                <w:webHidden/>
              </w:rPr>
            </w:r>
            <w:r>
              <w:rPr>
                <w:noProof/>
                <w:webHidden/>
              </w:rPr>
              <w:fldChar w:fldCharType="separate"/>
            </w:r>
            <w:r w:rsidR="000F14FF">
              <w:rPr>
                <w:noProof/>
                <w:webHidden/>
              </w:rPr>
              <w:t>18</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6" w:history="1">
            <w:r w:rsidR="000F14FF" w:rsidRPr="00706E9C">
              <w:rPr>
                <w:rStyle w:val="Hyperlink"/>
                <w:noProof/>
              </w:rPr>
              <w:t>Aged Care</w:t>
            </w:r>
            <w:r w:rsidR="000F14FF">
              <w:rPr>
                <w:noProof/>
                <w:webHidden/>
              </w:rPr>
              <w:tab/>
            </w:r>
            <w:r>
              <w:rPr>
                <w:noProof/>
                <w:webHidden/>
              </w:rPr>
              <w:fldChar w:fldCharType="begin"/>
            </w:r>
            <w:r w:rsidR="000F14FF">
              <w:rPr>
                <w:noProof/>
                <w:webHidden/>
              </w:rPr>
              <w:instrText xml:space="preserve"> PAGEREF _Toc343006846 \h </w:instrText>
            </w:r>
            <w:r>
              <w:rPr>
                <w:noProof/>
                <w:webHidden/>
              </w:rPr>
            </w:r>
            <w:r>
              <w:rPr>
                <w:noProof/>
                <w:webHidden/>
              </w:rPr>
              <w:fldChar w:fldCharType="separate"/>
            </w:r>
            <w:r w:rsidR="000F14FF">
              <w:rPr>
                <w:noProof/>
                <w:webHidden/>
              </w:rPr>
              <w:t>19</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7" w:history="1">
            <w:r w:rsidR="000F14FF" w:rsidRPr="00706E9C">
              <w:rPr>
                <w:rStyle w:val="Hyperlink"/>
                <w:noProof/>
              </w:rPr>
              <w:t>Open Space</w:t>
            </w:r>
            <w:r w:rsidR="000F14FF">
              <w:rPr>
                <w:noProof/>
                <w:webHidden/>
              </w:rPr>
              <w:tab/>
            </w:r>
            <w:r>
              <w:rPr>
                <w:noProof/>
                <w:webHidden/>
              </w:rPr>
              <w:fldChar w:fldCharType="begin"/>
            </w:r>
            <w:r w:rsidR="000F14FF">
              <w:rPr>
                <w:noProof/>
                <w:webHidden/>
              </w:rPr>
              <w:instrText xml:space="preserve"> PAGEREF _Toc343006847 \h </w:instrText>
            </w:r>
            <w:r>
              <w:rPr>
                <w:noProof/>
                <w:webHidden/>
              </w:rPr>
            </w:r>
            <w:r>
              <w:rPr>
                <w:noProof/>
                <w:webHidden/>
              </w:rPr>
              <w:fldChar w:fldCharType="separate"/>
            </w:r>
            <w:r w:rsidR="000F14FF">
              <w:rPr>
                <w:noProof/>
                <w:webHidden/>
              </w:rPr>
              <w:t>19</w:t>
            </w:r>
            <w:r>
              <w:rPr>
                <w:noProof/>
                <w:webHidden/>
              </w:rPr>
              <w:fldChar w:fldCharType="end"/>
            </w:r>
          </w:hyperlink>
        </w:p>
        <w:p w:rsidR="000F14FF" w:rsidRDefault="00E7071C">
          <w:pPr>
            <w:pStyle w:val="TOC3"/>
            <w:tabs>
              <w:tab w:val="right" w:leader="dot" w:pos="9016"/>
            </w:tabs>
            <w:rPr>
              <w:rFonts w:asciiTheme="minorHAnsi" w:eastAsiaTheme="minorEastAsia" w:hAnsiTheme="minorHAnsi" w:cstheme="minorBidi"/>
              <w:noProof/>
              <w:sz w:val="22"/>
              <w:szCs w:val="22"/>
              <w:lang w:eastAsia="en-AU"/>
            </w:rPr>
          </w:pPr>
          <w:hyperlink w:anchor="_Toc343006848" w:history="1">
            <w:r w:rsidR="000F14FF" w:rsidRPr="00706E9C">
              <w:rPr>
                <w:rStyle w:val="Hyperlink"/>
                <w:noProof/>
              </w:rPr>
              <w:t>Housing</w:t>
            </w:r>
            <w:r w:rsidR="000F14FF">
              <w:rPr>
                <w:noProof/>
                <w:webHidden/>
              </w:rPr>
              <w:tab/>
            </w:r>
            <w:r>
              <w:rPr>
                <w:noProof/>
                <w:webHidden/>
              </w:rPr>
              <w:fldChar w:fldCharType="begin"/>
            </w:r>
            <w:r w:rsidR="000F14FF">
              <w:rPr>
                <w:noProof/>
                <w:webHidden/>
              </w:rPr>
              <w:instrText xml:space="preserve"> PAGEREF _Toc343006848 \h </w:instrText>
            </w:r>
            <w:r>
              <w:rPr>
                <w:noProof/>
                <w:webHidden/>
              </w:rPr>
            </w:r>
            <w:r>
              <w:rPr>
                <w:noProof/>
                <w:webHidden/>
              </w:rPr>
              <w:fldChar w:fldCharType="separate"/>
            </w:r>
            <w:r w:rsidR="000F14FF">
              <w:rPr>
                <w:noProof/>
                <w:webHidden/>
              </w:rPr>
              <w:t>19</w:t>
            </w:r>
            <w:r>
              <w:rPr>
                <w:noProof/>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49" w:history="1">
            <w:r w:rsidR="000F14FF" w:rsidRPr="00706E9C">
              <w:rPr>
                <w:rStyle w:val="Hyperlink"/>
              </w:rPr>
              <w:t>Part C: Final Recommendations</w:t>
            </w:r>
            <w:r w:rsidR="000F14FF">
              <w:rPr>
                <w:webHidden/>
              </w:rPr>
              <w:tab/>
            </w:r>
            <w:r>
              <w:rPr>
                <w:webHidden/>
              </w:rPr>
              <w:fldChar w:fldCharType="begin"/>
            </w:r>
            <w:r w:rsidR="000F14FF">
              <w:rPr>
                <w:webHidden/>
              </w:rPr>
              <w:instrText xml:space="preserve"> PAGEREF _Toc343006849 \h </w:instrText>
            </w:r>
            <w:r>
              <w:rPr>
                <w:webHidden/>
              </w:rPr>
            </w:r>
            <w:r>
              <w:rPr>
                <w:webHidden/>
              </w:rPr>
              <w:fldChar w:fldCharType="separate"/>
            </w:r>
            <w:r w:rsidR="000F14FF">
              <w:rPr>
                <w:webHidden/>
              </w:rPr>
              <w:t>21</w:t>
            </w:r>
            <w:r>
              <w:rPr>
                <w:webHidden/>
              </w:rPr>
              <w:fldChar w:fldCharType="end"/>
            </w:r>
          </w:hyperlink>
        </w:p>
        <w:p w:rsidR="000F14FF" w:rsidRDefault="00E7071C">
          <w:pPr>
            <w:pStyle w:val="TOC1"/>
            <w:rPr>
              <w:rFonts w:asciiTheme="minorHAnsi" w:eastAsiaTheme="minorEastAsia" w:hAnsiTheme="minorHAnsi" w:cstheme="minorBidi"/>
              <w:b w:val="0"/>
              <w:sz w:val="22"/>
              <w:szCs w:val="22"/>
              <w:lang w:eastAsia="en-AU"/>
            </w:rPr>
          </w:pPr>
          <w:hyperlink w:anchor="_Toc343006850" w:history="1">
            <w:r w:rsidR="000F14FF" w:rsidRPr="00706E9C">
              <w:rPr>
                <w:rStyle w:val="Hyperlink"/>
                <w:rFonts w:eastAsiaTheme="minorHAnsi"/>
              </w:rPr>
              <w:t>Bibliography</w:t>
            </w:r>
            <w:r w:rsidR="000F14FF">
              <w:rPr>
                <w:webHidden/>
              </w:rPr>
              <w:tab/>
            </w:r>
            <w:r>
              <w:rPr>
                <w:webHidden/>
              </w:rPr>
              <w:fldChar w:fldCharType="begin"/>
            </w:r>
            <w:r w:rsidR="000F14FF">
              <w:rPr>
                <w:webHidden/>
              </w:rPr>
              <w:instrText xml:space="preserve"> PAGEREF _Toc343006850 \h </w:instrText>
            </w:r>
            <w:r>
              <w:rPr>
                <w:webHidden/>
              </w:rPr>
            </w:r>
            <w:r>
              <w:rPr>
                <w:webHidden/>
              </w:rPr>
              <w:fldChar w:fldCharType="separate"/>
            </w:r>
            <w:r w:rsidR="000F14FF">
              <w:rPr>
                <w:webHidden/>
              </w:rPr>
              <w:t>22</w:t>
            </w:r>
            <w:r>
              <w:rPr>
                <w:webHidden/>
              </w:rPr>
              <w:fldChar w:fldCharType="end"/>
            </w:r>
          </w:hyperlink>
        </w:p>
        <w:p w:rsidR="00A13884" w:rsidRDefault="00E7071C">
          <w:r>
            <w:fldChar w:fldCharType="end"/>
          </w:r>
        </w:p>
      </w:sdtContent>
    </w:sdt>
    <w:p w:rsidR="00693E70" w:rsidRDefault="00693E70">
      <w:pPr>
        <w:spacing w:after="200" w:line="276" w:lineRule="auto"/>
        <w:rPr>
          <w:sz w:val="22"/>
          <w:szCs w:val="22"/>
        </w:rPr>
      </w:pPr>
      <w:r>
        <w:rPr>
          <w:sz w:val="22"/>
          <w:szCs w:val="22"/>
        </w:rPr>
        <w:br w:type="page"/>
      </w:r>
    </w:p>
    <w:p w:rsidR="00DF5574" w:rsidRDefault="00DF5574" w:rsidP="001F0009">
      <w:pPr>
        <w:pStyle w:val="Heading1"/>
      </w:pPr>
      <w:bookmarkStart w:id="0" w:name="_Toc325721840"/>
      <w:bookmarkStart w:id="1" w:name="_Toc325725913"/>
      <w:bookmarkStart w:id="2" w:name="_Toc335820956"/>
      <w:bookmarkStart w:id="3" w:name="_Toc343006815"/>
      <w:r w:rsidRPr="001F0009">
        <w:lastRenderedPageBreak/>
        <w:t>Introduction</w:t>
      </w:r>
      <w:bookmarkEnd w:id="0"/>
      <w:bookmarkEnd w:id="1"/>
      <w:bookmarkEnd w:id="2"/>
      <w:bookmarkEnd w:id="3"/>
    </w:p>
    <w:p w:rsidR="00AA6AFB" w:rsidRDefault="00AA6AFB" w:rsidP="00AA6AFB">
      <w:pPr>
        <w:pStyle w:val="Capire-bodycopy"/>
        <w:spacing w:after="0"/>
        <w:rPr>
          <w:rFonts w:ascii="Arial" w:eastAsiaTheme="minorHAnsi" w:hAnsi="Arial" w:cs="Arial"/>
          <w:sz w:val="22"/>
          <w:szCs w:val="22"/>
        </w:rPr>
      </w:pPr>
      <w:r>
        <w:rPr>
          <w:rFonts w:ascii="Arial" w:eastAsiaTheme="minorHAnsi" w:hAnsi="Arial" w:cs="Arial"/>
          <w:bCs w:val="0"/>
          <w:iCs w:val="0"/>
          <w:sz w:val="22"/>
          <w:szCs w:val="22"/>
          <w:lang w:eastAsia="en-US"/>
        </w:rPr>
        <w:t>This document is a review</w:t>
      </w:r>
      <w:r w:rsidR="00F006EF">
        <w:rPr>
          <w:rFonts w:ascii="Arial" w:eastAsiaTheme="minorHAnsi" w:hAnsi="Arial" w:cs="Arial"/>
          <w:bCs w:val="0"/>
          <w:iCs w:val="0"/>
          <w:sz w:val="22"/>
          <w:szCs w:val="22"/>
          <w:lang w:eastAsia="en-US"/>
        </w:rPr>
        <w:t xml:space="preserve"> of the Shepparton North-east Growth Area Social Infrastructure Assessment by Maunsell/AECOM. The aim of this report is to update </w:t>
      </w:r>
      <w:r>
        <w:rPr>
          <w:rFonts w:ascii="Arial" w:eastAsiaTheme="minorHAnsi" w:hAnsi="Arial" w:cs="Arial"/>
          <w:bCs w:val="0"/>
          <w:iCs w:val="0"/>
          <w:sz w:val="22"/>
          <w:szCs w:val="22"/>
          <w:lang w:eastAsia="en-US"/>
        </w:rPr>
        <w:t>some of the data that has been produced since the original document was developed in 2008</w:t>
      </w:r>
      <w:r w:rsidR="00F006EF" w:rsidRPr="00F006EF">
        <w:rPr>
          <w:rFonts w:ascii="Arial" w:eastAsiaTheme="minorHAnsi" w:hAnsi="Arial" w:cs="Arial"/>
          <w:bCs w:val="0"/>
          <w:iCs w:val="0"/>
          <w:sz w:val="22"/>
          <w:szCs w:val="22"/>
          <w:lang w:eastAsia="en-US"/>
        </w:rPr>
        <w:t xml:space="preserve"> </w:t>
      </w:r>
      <w:r w:rsidR="00F006EF">
        <w:rPr>
          <w:rFonts w:ascii="Arial" w:eastAsiaTheme="minorHAnsi" w:hAnsi="Arial" w:cs="Arial"/>
          <w:bCs w:val="0"/>
          <w:iCs w:val="0"/>
          <w:sz w:val="22"/>
          <w:szCs w:val="22"/>
          <w:lang w:eastAsia="en-US"/>
        </w:rPr>
        <w:t>and verify the original recommendations</w:t>
      </w:r>
      <w:r>
        <w:rPr>
          <w:rFonts w:ascii="Arial" w:eastAsiaTheme="minorHAnsi" w:hAnsi="Arial" w:cs="Arial"/>
          <w:bCs w:val="0"/>
          <w:iCs w:val="0"/>
          <w:sz w:val="22"/>
          <w:szCs w:val="22"/>
          <w:lang w:eastAsia="en-US"/>
        </w:rPr>
        <w:t>. This document</w:t>
      </w:r>
      <w:r w:rsidR="00F006EF">
        <w:rPr>
          <w:rFonts w:ascii="Arial" w:eastAsiaTheme="minorHAnsi" w:hAnsi="Arial" w:cs="Arial"/>
          <w:bCs w:val="0"/>
          <w:iCs w:val="0"/>
          <w:sz w:val="22"/>
          <w:szCs w:val="22"/>
          <w:lang w:eastAsia="en-US"/>
        </w:rPr>
        <w:t xml:space="preserve"> is a complement and</w:t>
      </w:r>
      <w:r>
        <w:rPr>
          <w:rFonts w:ascii="Arial" w:eastAsiaTheme="minorHAnsi" w:hAnsi="Arial" w:cs="Arial"/>
          <w:bCs w:val="0"/>
          <w:iCs w:val="0"/>
          <w:sz w:val="22"/>
          <w:szCs w:val="22"/>
          <w:lang w:eastAsia="en-US"/>
        </w:rPr>
        <w:t xml:space="preserve"> should be read in conjunction with the original report produced by</w:t>
      </w:r>
      <w:r w:rsidRPr="00AA6AFB">
        <w:rPr>
          <w:rFonts w:ascii="Arial" w:eastAsiaTheme="minorHAnsi" w:hAnsi="Arial" w:cs="Arial"/>
          <w:sz w:val="22"/>
          <w:szCs w:val="22"/>
        </w:rPr>
        <w:t xml:space="preserve"> </w:t>
      </w:r>
      <w:r w:rsidRPr="00693E70">
        <w:rPr>
          <w:rFonts w:ascii="Arial" w:eastAsiaTheme="minorHAnsi" w:hAnsi="Arial" w:cs="Arial"/>
          <w:sz w:val="22"/>
          <w:szCs w:val="22"/>
        </w:rPr>
        <w:t>Maunsell/AECOM in November 2008</w:t>
      </w:r>
      <w:r>
        <w:rPr>
          <w:rFonts w:ascii="Arial" w:eastAsiaTheme="minorHAnsi" w:hAnsi="Arial" w:cs="Arial"/>
          <w:sz w:val="22"/>
          <w:szCs w:val="22"/>
        </w:rPr>
        <w:t>.</w:t>
      </w:r>
    </w:p>
    <w:p w:rsidR="00DF5574" w:rsidRPr="003B3859" w:rsidRDefault="00DF5574" w:rsidP="001F0009">
      <w:pPr>
        <w:pStyle w:val="Heading2"/>
        <w:rPr>
          <w:rFonts w:eastAsiaTheme="minorHAnsi"/>
        </w:rPr>
      </w:pPr>
      <w:bookmarkStart w:id="4" w:name="_Toc325721841"/>
      <w:bookmarkStart w:id="5" w:name="_Toc325725914"/>
      <w:bookmarkStart w:id="6" w:name="_Toc335820957"/>
      <w:bookmarkStart w:id="7" w:name="_Toc343006816"/>
      <w:r w:rsidRPr="003B3859">
        <w:rPr>
          <w:rFonts w:eastAsiaTheme="minorHAnsi"/>
        </w:rPr>
        <w:t>Background</w:t>
      </w:r>
      <w:bookmarkEnd w:id="4"/>
      <w:bookmarkEnd w:id="5"/>
      <w:bookmarkEnd w:id="6"/>
      <w:bookmarkEnd w:id="7"/>
      <w:r w:rsidRPr="003B3859">
        <w:rPr>
          <w:rFonts w:eastAsiaTheme="minorHAnsi"/>
        </w:rPr>
        <w:t xml:space="preserve"> </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The Shepparton North-East Growth Corridor has been earmarked by Greater Shepparton City Council to be developed as a residential estate to support urban growth. The North-East Growth Corridor has a site area of 168.5 hectar</w:t>
      </w:r>
      <w:r w:rsidR="00A52F2C">
        <w:rPr>
          <w:rFonts w:ascii="Arial" w:eastAsiaTheme="minorHAnsi" w:hAnsi="Arial" w:cs="Arial"/>
          <w:sz w:val="22"/>
          <w:szCs w:val="22"/>
        </w:rPr>
        <w:t xml:space="preserve">es which will be developed by </w:t>
      </w:r>
      <w:r w:rsidRPr="00693E70">
        <w:rPr>
          <w:rFonts w:ascii="Arial" w:eastAsiaTheme="minorHAnsi" w:hAnsi="Arial" w:cs="Arial"/>
          <w:sz w:val="22"/>
          <w:szCs w:val="22"/>
        </w:rPr>
        <w:t>private developer</w:t>
      </w:r>
      <w:r w:rsidR="00A52F2C">
        <w:rPr>
          <w:rFonts w:ascii="Arial" w:eastAsiaTheme="minorHAnsi" w:hAnsi="Arial" w:cs="Arial"/>
          <w:sz w:val="22"/>
          <w:szCs w:val="22"/>
        </w:rPr>
        <w:t>s</w:t>
      </w:r>
      <w:r w:rsidRPr="00693E70">
        <w:rPr>
          <w:rFonts w:ascii="Arial" w:eastAsiaTheme="minorHAnsi" w:hAnsi="Arial" w:cs="Arial"/>
          <w:sz w:val="22"/>
          <w:szCs w:val="22"/>
        </w:rPr>
        <w:t>.</w:t>
      </w:r>
    </w:p>
    <w:p w:rsidR="00DF5574" w:rsidRPr="00693E70" w:rsidRDefault="00DF5574" w:rsidP="00DF5574">
      <w:pPr>
        <w:autoSpaceDE w:val="0"/>
        <w:autoSpaceDN w:val="0"/>
        <w:adjustRightInd w:val="0"/>
        <w:rPr>
          <w:rFonts w:ascii="Arial" w:eastAsiaTheme="minorHAnsi" w:hAnsi="Arial" w:cs="Arial"/>
          <w:sz w:val="22"/>
          <w:szCs w:val="22"/>
        </w:rPr>
      </w:pPr>
    </w:p>
    <w:p w:rsidR="00DF5574" w:rsidRPr="00693E70" w:rsidRDefault="00DF5574" w:rsidP="00DF5574">
      <w:pPr>
        <w:autoSpaceDE w:val="0"/>
        <w:autoSpaceDN w:val="0"/>
        <w:adjustRightInd w:val="0"/>
        <w:spacing w:after="120"/>
        <w:rPr>
          <w:rFonts w:ascii="Arial" w:eastAsiaTheme="minorHAnsi" w:hAnsi="Arial" w:cs="Arial"/>
          <w:sz w:val="22"/>
          <w:szCs w:val="22"/>
        </w:rPr>
      </w:pPr>
      <w:r w:rsidRPr="00693E70">
        <w:rPr>
          <w:rFonts w:ascii="Arial" w:eastAsiaTheme="minorHAnsi" w:hAnsi="Arial" w:cs="Arial"/>
          <w:sz w:val="22"/>
          <w:szCs w:val="22"/>
        </w:rPr>
        <w:t xml:space="preserve">In order to support the </w:t>
      </w:r>
      <w:r w:rsidR="00ED1B51" w:rsidRPr="00693E70">
        <w:rPr>
          <w:rFonts w:ascii="Arial" w:eastAsiaTheme="minorHAnsi" w:hAnsi="Arial" w:cs="Arial"/>
          <w:sz w:val="22"/>
          <w:szCs w:val="22"/>
        </w:rPr>
        <w:t>prepar</w:t>
      </w:r>
      <w:r w:rsidR="00ED1B51">
        <w:rPr>
          <w:rFonts w:ascii="Arial" w:eastAsiaTheme="minorHAnsi" w:hAnsi="Arial" w:cs="Arial"/>
          <w:sz w:val="22"/>
          <w:szCs w:val="22"/>
        </w:rPr>
        <w:t>a</w:t>
      </w:r>
      <w:r w:rsidR="00ED1B51" w:rsidRPr="00693E70">
        <w:rPr>
          <w:rFonts w:ascii="Arial" w:eastAsiaTheme="minorHAnsi" w:hAnsi="Arial" w:cs="Arial"/>
          <w:sz w:val="22"/>
          <w:szCs w:val="22"/>
        </w:rPr>
        <w:t>tion</w:t>
      </w:r>
      <w:r w:rsidRPr="00693E70">
        <w:rPr>
          <w:rFonts w:ascii="Arial" w:eastAsiaTheme="minorHAnsi" w:hAnsi="Arial" w:cs="Arial"/>
          <w:sz w:val="22"/>
          <w:szCs w:val="22"/>
        </w:rPr>
        <w:t xml:space="preserve"> of the ODP and DCP, a technical study assessing the demands for community infrastructure is required. A draft Social Infrastructure Assessment (SIA) report was developed by Maunsell/AECOM in November 2008. The objectives of the 2008 SIA were to:</w:t>
      </w:r>
    </w:p>
    <w:p w:rsidR="00DF5574" w:rsidRPr="00693E70" w:rsidRDefault="00DF5574" w:rsidP="00DF5574">
      <w:pPr>
        <w:pStyle w:val="ListParagraph"/>
        <w:numPr>
          <w:ilvl w:val="0"/>
          <w:numId w:val="1"/>
        </w:num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xml:space="preserve">Assesses demands for social infrastructure in the northern region of Shepparton and recommend community facilities for the Shepparton North-East Growth Area. </w:t>
      </w:r>
    </w:p>
    <w:p w:rsidR="00DF5574" w:rsidRPr="00693E70" w:rsidRDefault="00DF5574" w:rsidP="00DF5574">
      <w:pPr>
        <w:pStyle w:val="ListParagraph"/>
        <w:numPr>
          <w:ilvl w:val="0"/>
          <w:numId w:val="1"/>
        </w:num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Provide an analysis of demographics and population growth to help to determine future demands for social infrastructure in the growth area and potentially meet existing demand in adjoining neighbourhoods.</w:t>
      </w:r>
    </w:p>
    <w:p w:rsidR="00DF5574" w:rsidRPr="00693E70" w:rsidRDefault="00DF5574" w:rsidP="00DF5574">
      <w:pPr>
        <w:pStyle w:val="ListParagraph"/>
        <w:numPr>
          <w:ilvl w:val="0"/>
          <w:numId w:val="1"/>
        </w:num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xml:space="preserve">Review existing community facilities in north Shepparton to determine whether they met the needs of the North-East Growth Corridor or whether new community facilities are required for the subject site. </w:t>
      </w:r>
    </w:p>
    <w:p w:rsidR="00DF5574" w:rsidRPr="00693E70" w:rsidRDefault="00DF5574" w:rsidP="00DF5574">
      <w:pPr>
        <w:pStyle w:val="ListParagraph"/>
        <w:numPr>
          <w:ilvl w:val="0"/>
          <w:numId w:val="2"/>
        </w:numPr>
        <w:autoSpaceDE w:val="0"/>
        <w:autoSpaceDN w:val="0"/>
        <w:adjustRightInd w:val="0"/>
        <w:rPr>
          <w:rFonts w:ascii="Arial" w:eastAsiaTheme="minorHAnsi" w:hAnsi="Arial" w:cs="Arial"/>
          <w:b/>
          <w:bCs/>
          <w:sz w:val="22"/>
          <w:szCs w:val="22"/>
        </w:rPr>
      </w:pPr>
      <w:r w:rsidRPr="00693E70">
        <w:rPr>
          <w:rFonts w:ascii="Arial" w:eastAsiaTheme="minorHAnsi" w:hAnsi="Arial" w:cs="Arial"/>
          <w:sz w:val="22"/>
          <w:szCs w:val="22"/>
        </w:rPr>
        <w:t>The study also assessed the desirability and capability of co-locating recommended community facilities in a community hub.</w:t>
      </w:r>
    </w:p>
    <w:p w:rsidR="00AA6AFB" w:rsidRDefault="00AA6AFB" w:rsidP="00DF5574">
      <w:pPr>
        <w:pStyle w:val="Capire-bodycopy"/>
        <w:spacing w:after="0"/>
        <w:rPr>
          <w:rFonts w:ascii="Arial" w:eastAsiaTheme="minorHAnsi" w:hAnsi="Arial" w:cs="Arial"/>
          <w:sz w:val="22"/>
          <w:szCs w:val="22"/>
        </w:rPr>
      </w:pPr>
    </w:p>
    <w:p w:rsidR="00AA6AFB" w:rsidRPr="00693E70" w:rsidRDefault="00DF5574" w:rsidP="00DF5574">
      <w:pPr>
        <w:pStyle w:val="Capire-bodycopy"/>
        <w:spacing w:after="0"/>
        <w:rPr>
          <w:rFonts w:ascii="Arial" w:eastAsiaTheme="minorHAnsi" w:hAnsi="Arial" w:cs="Arial"/>
          <w:bCs w:val="0"/>
          <w:iCs w:val="0"/>
          <w:sz w:val="22"/>
          <w:szCs w:val="22"/>
          <w:lang w:eastAsia="en-US"/>
        </w:rPr>
      </w:pPr>
      <w:r w:rsidRPr="00693E70">
        <w:rPr>
          <w:rFonts w:ascii="Arial" w:eastAsiaTheme="minorHAnsi" w:hAnsi="Arial" w:cs="Arial"/>
          <w:bCs w:val="0"/>
          <w:iCs w:val="0"/>
          <w:sz w:val="22"/>
          <w:szCs w:val="22"/>
          <w:lang w:eastAsia="en-US"/>
        </w:rPr>
        <w:t>The following tasks have been undertaken as part of the review of the 2008 SIA</w:t>
      </w:r>
      <w:r w:rsidR="00C93B3F">
        <w:rPr>
          <w:rFonts w:ascii="Arial" w:eastAsiaTheme="minorHAnsi" w:hAnsi="Arial" w:cs="Arial"/>
          <w:bCs w:val="0"/>
          <w:iCs w:val="0"/>
          <w:sz w:val="22"/>
          <w:szCs w:val="22"/>
          <w:lang w:eastAsia="en-US"/>
        </w:rPr>
        <w:t>:</w:t>
      </w:r>
    </w:p>
    <w:p w:rsidR="00F006EF" w:rsidRDefault="00F006EF" w:rsidP="00DF5574">
      <w:pPr>
        <w:pStyle w:val="Capire-bodycopy"/>
        <w:numPr>
          <w:ilvl w:val="0"/>
          <w:numId w:val="3"/>
        </w:numPr>
        <w:spacing w:after="0"/>
        <w:rPr>
          <w:rFonts w:ascii="Arial" w:eastAsiaTheme="minorHAnsi" w:hAnsi="Arial" w:cs="Arial"/>
          <w:bCs w:val="0"/>
          <w:iCs w:val="0"/>
          <w:sz w:val="22"/>
          <w:szCs w:val="22"/>
          <w:lang w:eastAsia="en-US"/>
        </w:rPr>
      </w:pPr>
      <w:r w:rsidRPr="00F006EF">
        <w:rPr>
          <w:rFonts w:ascii="Arial" w:eastAsiaTheme="minorHAnsi" w:hAnsi="Arial" w:cs="Arial"/>
          <w:b/>
          <w:bCs w:val="0"/>
          <w:iCs w:val="0"/>
          <w:sz w:val="22"/>
          <w:szCs w:val="22"/>
          <w:lang w:eastAsia="en-US"/>
        </w:rPr>
        <w:t xml:space="preserve">Demographics and </w:t>
      </w:r>
      <w:r w:rsidR="00DF5574" w:rsidRPr="00F006EF">
        <w:rPr>
          <w:rFonts w:ascii="Arial" w:eastAsiaTheme="minorHAnsi" w:hAnsi="Arial" w:cs="Arial"/>
          <w:b/>
          <w:bCs w:val="0"/>
          <w:iCs w:val="0"/>
          <w:sz w:val="22"/>
          <w:szCs w:val="22"/>
          <w:lang w:eastAsia="en-US"/>
        </w:rPr>
        <w:t>Strategy review update:</w:t>
      </w:r>
      <w:r w:rsidR="00DF5574" w:rsidRPr="00F006EF">
        <w:rPr>
          <w:rFonts w:ascii="Arial" w:eastAsiaTheme="minorHAnsi" w:hAnsi="Arial" w:cs="Arial"/>
          <w:bCs w:val="0"/>
          <w:iCs w:val="0"/>
          <w:sz w:val="22"/>
          <w:szCs w:val="22"/>
          <w:lang w:eastAsia="en-US"/>
        </w:rPr>
        <w:t xml:space="preserve"> A review of new and updated Council strategies</w:t>
      </w:r>
      <w:r w:rsidRPr="00F006EF">
        <w:rPr>
          <w:rFonts w:ascii="Arial" w:eastAsiaTheme="minorHAnsi" w:hAnsi="Arial" w:cs="Arial"/>
          <w:bCs w:val="0"/>
          <w:iCs w:val="0"/>
          <w:sz w:val="22"/>
          <w:szCs w:val="22"/>
          <w:lang w:eastAsia="en-US"/>
        </w:rPr>
        <w:t xml:space="preserve"> and Census data and Forecast for Greater Shepparton</w:t>
      </w:r>
      <w:r>
        <w:rPr>
          <w:rFonts w:ascii="Arial" w:eastAsiaTheme="minorHAnsi" w:hAnsi="Arial" w:cs="Arial"/>
          <w:bCs w:val="0"/>
          <w:iCs w:val="0"/>
          <w:sz w:val="22"/>
          <w:szCs w:val="22"/>
          <w:lang w:eastAsia="en-US"/>
        </w:rPr>
        <w:t>.</w:t>
      </w:r>
    </w:p>
    <w:p w:rsidR="00DF5574" w:rsidRPr="00F006EF" w:rsidRDefault="00BE510B" w:rsidP="00DF5574">
      <w:pPr>
        <w:pStyle w:val="Capire-bodycopy"/>
        <w:numPr>
          <w:ilvl w:val="0"/>
          <w:numId w:val="3"/>
        </w:numPr>
        <w:spacing w:after="0"/>
        <w:rPr>
          <w:rFonts w:ascii="Arial" w:eastAsiaTheme="minorHAnsi" w:hAnsi="Arial" w:cs="Arial"/>
          <w:bCs w:val="0"/>
          <w:iCs w:val="0"/>
          <w:sz w:val="22"/>
          <w:szCs w:val="22"/>
          <w:lang w:eastAsia="en-US"/>
        </w:rPr>
      </w:pPr>
      <w:r>
        <w:rPr>
          <w:rFonts w:ascii="Arial" w:eastAsiaTheme="minorHAnsi" w:hAnsi="Arial" w:cs="Arial"/>
          <w:b/>
          <w:bCs w:val="0"/>
          <w:iCs w:val="0"/>
          <w:sz w:val="22"/>
          <w:szCs w:val="22"/>
          <w:lang w:eastAsia="en-US"/>
        </w:rPr>
        <w:t>C</w:t>
      </w:r>
      <w:r w:rsidR="00DF5574" w:rsidRPr="00F006EF">
        <w:rPr>
          <w:rFonts w:ascii="Arial" w:eastAsiaTheme="minorHAnsi" w:hAnsi="Arial" w:cs="Arial"/>
          <w:b/>
          <w:bCs w:val="0"/>
          <w:iCs w:val="0"/>
          <w:sz w:val="22"/>
          <w:szCs w:val="22"/>
          <w:lang w:eastAsia="en-US"/>
        </w:rPr>
        <w:t>onsultation:</w:t>
      </w:r>
      <w:r w:rsidR="00DF5574" w:rsidRPr="00F006EF">
        <w:rPr>
          <w:rFonts w:ascii="Arial" w:hAnsi="Arial" w:cs="Arial"/>
          <w:b/>
          <w:sz w:val="22"/>
          <w:szCs w:val="22"/>
        </w:rPr>
        <w:t xml:space="preserve"> </w:t>
      </w:r>
      <w:r w:rsidR="00DF5574" w:rsidRPr="00F006EF">
        <w:rPr>
          <w:rFonts w:ascii="Arial" w:eastAsiaTheme="minorHAnsi" w:hAnsi="Arial" w:cs="Arial"/>
          <w:bCs w:val="0"/>
          <w:iCs w:val="0"/>
          <w:sz w:val="22"/>
          <w:szCs w:val="22"/>
          <w:lang w:eastAsia="en-US"/>
        </w:rPr>
        <w:t>Meeti</w:t>
      </w:r>
      <w:r w:rsidR="00530E66" w:rsidRPr="00F006EF">
        <w:rPr>
          <w:rFonts w:ascii="Arial" w:eastAsiaTheme="minorHAnsi" w:hAnsi="Arial" w:cs="Arial"/>
          <w:bCs w:val="0"/>
          <w:iCs w:val="0"/>
          <w:sz w:val="22"/>
          <w:szCs w:val="22"/>
          <w:lang w:eastAsia="en-US"/>
        </w:rPr>
        <w:t>ngs were conducted with</w:t>
      </w:r>
      <w:r w:rsidR="00DF5574" w:rsidRPr="00F006EF">
        <w:rPr>
          <w:rFonts w:ascii="Arial" w:eastAsiaTheme="minorHAnsi" w:hAnsi="Arial" w:cs="Arial"/>
          <w:bCs w:val="0"/>
          <w:iCs w:val="0"/>
          <w:sz w:val="22"/>
          <w:szCs w:val="22"/>
          <w:lang w:eastAsia="en-US"/>
        </w:rPr>
        <w:t xml:space="preserve"> Council officers</w:t>
      </w:r>
      <w:r w:rsidR="00530E66" w:rsidRPr="00F006EF">
        <w:rPr>
          <w:rFonts w:ascii="Arial" w:eastAsiaTheme="minorHAnsi" w:hAnsi="Arial" w:cs="Arial"/>
          <w:bCs w:val="0"/>
          <w:iCs w:val="0"/>
          <w:sz w:val="22"/>
          <w:szCs w:val="22"/>
          <w:lang w:eastAsia="en-US"/>
        </w:rPr>
        <w:t xml:space="preserve"> from </w:t>
      </w:r>
      <w:r w:rsidR="00F006EF">
        <w:rPr>
          <w:rFonts w:ascii="Arial" w:eastAsiaTheme="minorHAnsi" w:hAnsi="Arial" w:cs="Arial"/>
          <w:bCs w:val="0"/>
          <w:iCs w:val="0"/>
          <w:sz w:val="22"/>
          <w:szCs w:val="22"/>
          <w:lang w:eastAsia="en-US"/>
        </w:rPr>
        <w:t>the areas of Planning and</w:t>
      </w:r>
      <w:r w:rsidR="00530E66" w:rsidRPr="00F006EF">
        <w:rPr>
          <w:rFonts w:ascii="Arial" w:eastAsiaTheme="minorHAnsi" w:hAnsi="Arial" w:cs="Arial"/>
          <w:bCs w:val="0"/>
          <w:iCs w:val="0"/>
          <w:sz w:val="22"/>
          <w:szCs w:val="22"/>
          <w:lang w:eastAsia="en-US"/>
        </w:rPr>
        <w:t xml:space="preserve"> </w:t>
      </w:r>
      <w:r w:rsidR="00DF5574" w:rsidRPr="00F006EF">
        <w:rPr>
          <w:rFonts w:ascii="Arial" w:eastAsiaTheme="minorHAnsi" w:hAnsi="Arial" w:cs="Arial"/>
          <w:bCs w:val="0"/>
          <w:iCs w:val="0"/>
          <w:sz w:val="22"/>
          <w:szCs w:val="22"/>
          <w:lang w:eastAsia="en-US"/>
        </w:rPr>
        <w:t>Aged and Children’s services. The discussion provided detailed information in relation to:</w:t>
      </w:r>
    </w:p>
    <w:p w:rsidR="00DF5574" w:rsidRPr="00693E70" w:rsidRDefault="00DF5574" w:rsidP="00DF5574">
      <w:pPr>
        <w:pStyle w:val="Capire-FaxBullets"/>
        <w:numPr>
          <w:ilvl w:val="1"/>
          <w:numId w:val="4"/>
        </w:numPr>
        <w:rPr>
          <w:rFonts w:ascii="Arial" w:eastAsiaTheme="minorHAnsi" w:hAnsi="Arial" w:cs="Arial"/>
          <w:bCs w:val="0"/>
          <w:sz w:val="22"/>
          <w:szCs w:val="22"/>
          <w:lang w:val="en-AU"/>
        </w:rPr>
      </w:pPr>
      <w:r w:rsidRPr="00693E70">
        <w:rPr>
          <w:rFonts w:ascii="Arial" w:eastAsiaTheme="minorHAnsi" w:hAnsi="Arial" w:cs="Arial"/>
          <w:bCs w:val="0"/>
          <w:sz w:val="22"/>
          <w:szCs w:val="22"/>
          <w:lang w:val="en-AU"/>
        </w:rPr>
        <w:t>The capacity and suitability of current facilities;</w:t>
      </w:r>
    </w:p>
    <w:p w:rsidR="00DF5574" w:rsidRPr="00693E70" w:rsidRDefault="00DF5574" w:rsidP="00DF5574">
      <w:pPr>
        <w:pStyle w:val="Capire-FaxBullets"/>
        <w:numPr>
          <w:ilvl w:val="1"/>
          <w:numId w:val="4"/>
        </w:numPr>
        <w:rPr>
          <w:rFonts w:ascii="Arial" w:eastAsiaTheme="minorHAnsi" w:hAnsi="Arial" w:cs="Arial"/>
          <w:bCs w:val="0"/>
          <w:sz w:val="22"/>
          <w:szCs w:val="22"/>
          <w:lang w:val="en-AU"/>
        </w:rPr>
      </w:pPr>
      <w:r w:rsidRPr="00693E70">
        <w:rPr>
          <w:rFonts w:ascii="Arial" w:eastAsiaTheme="minorHAnsi" w:hAnsi="Arial" w:cs="Arial"/>
          <w:bCs w:val="0"/>
          <w:sz w:val="22"/>
          <w:szCs w:val="22"/>
          <w:lang w:val="en-AU"/>
        </w:rPr>
        <w:t>The key issues affecting infrastructure provision and service delivery;</w:t>
      </w:r>
    </w:p>
    <w:p w:rsidR="00DF5574" w:rsidRPr="00693E70" w:rsidRDefault="00DF5574" w:rsidP="00DF5574">
      <w:pPr>
        <w:pStyle w:val="Capire-FaxBullets"/>
        <w:numPr>
          <w:ilvl w:val="1"/>
          <w:numId w:val="4"/>
        </w:numPr>
        <w:rPr>
          <w:rFonts w:ascii="Arial" w:eastAsiaTheme="minorHAnsi" w:hAnsi="Arial" w:cs="Arial"/>
          <w:bCs w:val="0"/>
          <w:sz w:val="22"/>
          <w:szCs w:val="22"/>
          <w:lang w:val="en-AU"/>
        </w:rPr>
      </w:pPr>
      <w:r w:rsidRPr="00693E70">
        <w:rPr>
          <w:rFonts w:ascii="Arial" w:eastAsiaTheme="minorHAnsi" w:hAnsi="Arial" w:cs="Arial"/>
          <w:bCs w:val="0"/>
          <w:sz w:val="22"/>
          <w:szCs w:val="22"/>
          <w:lang w:val="en-AU"/>
        </w:rPr>
        <w:t xml:space="preserve"> Future service planning initiatives and directions.</w:t>
      </w:r>
    </w:p>
    <w:p w:rsidR="00DF5574" w:rsidRPr="00693E70" w:rsidRDefault="00DF5574" w:rsidP="00DF5574">
      <w:pPr>
        <w:pStyle w:val="Capire-bodycopy"/>
        <w:numPr>
          <w:ilvl w:val="0"/>
          <w:numId w:val="3"/>
        </w:numPr>
        <w:spacing w:after="0"/>
        <w:rPr>
          <w:rFonts w:ascii="Arial" w:eastAsiaTheme="minorHAnsi" w:hAnsi="Arial" w:cs="Arial"/>
          <w:bCs w:val="0"/>
          <w:iCs w:val="0"/>
          <w:sz w:val="22"/>
          <w:szCs w:val="22"/>
          <w:lang w:eastAsia="en-US"/>
        </w:rPr>
      </w:pPr>
      <w:r w:rsidRPr="00693E70">
        <w:rPr>
          <w:rFonts w:ascii="Arial" w:eastAsiaTheme="minorHAnsi" w:hAnsi="Arial" w:cs="Arial"/>
          <w:b/>
          <w:bCs w:val="0"/>
          <w:iCs w:val="0"/>
          <w:sz w:val="22"/>
          <w:szCs w:val="22"/>
          <w:lang w:eastAsia="en-US"/>
        </w:rPr>
        <w:t xml:space="preserve">Update of the 2008 SIA recommendations: </w:t>
      </w:r>
      <w:r w:rsidRPr="00693E70">
        <w:rPr>
          <w:rFonts w:ascii="Arial" w:eastAsiaTheme="minorHAnsi" w:hAnsi="Arial" w:cs="Arial"/>
          <w:bCs w:val="0"/>
          <w:iCs w:val="0"/>
          <w:sz w:val="22"/>
          <w:szCs w:val="22"/>
          <w:lang w:eastAsia="en-US"/>
        </w:rPr>
        <w:t>Based on previous recommendations an update of recommendations has been provided.</w:t>
      </w:r>
    </w:p>
    <w:p w:rsidR="00C93B3F" w:rsidRDefault="00C93B3F" w:rsidP="00C93B3F">
      <w:pPr>
        <w:pStyle w:val="Capire-bodycopy"/>
        <w:spacing w:after="0"/>
        <w:rPr>
          <w:rFonts w:ascii="Arial" w:eastAsiaTheme="minorHAnsi" w:hAnsi="Arial" w:cs="Arial"/>
          <w:bCs w:val="0"/>
          <w:iCs w:val="0"/>
          <w:sz w:val="22"/>
          <w:szCs w:val="22"/>
          <w:lang w:eastAsia="en-US"/>
        </w:rPr>
      </w:pPr>
    </w:p>
    <w:p w:rsidR="00C93B3F" w:rsidRDefault="00CB1192" w:rsidP="00C93B3F">
      <w:pPr>
        <w:pStyle w:val="Capire-bodycopy"/>
        <w:spacing w:after="0"/>
        <w:rPr>
          <w:rFonts w:ascii="Arial" w:eastAsiaTheme="minorHAnsi" w:hAnsi="Arial" w:cs="Arial"/>
          <w:bCs w:val="0"/>
          <w:iCs w:val="0"/>
          <w:sz w:val="22"/>
          <w:szCs w:val="22"/>
          <w:lang w:eastAsia="en-US"/>
        </w:rPr>
      </w:pPr>
      <w:r>
        <w:rPr>
          <w:rFonts w:ascii="Arial" w:eastAsiaTheme="minorHAnsi" w:hAnsi="Arial" w:cs="Arial"/>
          <w:bCs w:val="0"/>
          <w:iCs w:val="0"/>
          <w:sz w:val="22"/>
          <w:szCs w:val="22"/>
          <w:lang w:eastAsia="en-US"/>
        </w:rPr>
        <w:t>Part A of the report is a summary of the original report from 2008 and the review and the updated recommendations</w:t>
      </w:r>
      <w:r w:rsidR="00C93B3F">
        <w:rPr>
          <w:rFonts w:ascii="Arial" w:eastAsiaTheme="minorHAnsi" w:hAnsi="Arial" w:cs="Arial"/>
          <w:bCs w:val="0"/>
          <w:iCs w:val="0"/>
          <w:sz w:val="22"/>
          <w:szCs w:val="22"/>
          <w:lang w:eastAsia="en-US"/>
        </w:rPr>
        <w:t xml:space="preserve"> are outlined in part B &amp; C of this report.</w:t>
      </w:r>
    </w:p>
    <w:p w:rsidR="00DF5574" w:rsidRPr="00693E70" w:rsidRDefault="00DF5574" w:rsidP="00DF5574">
      <w:pPr>
        <w:autoSpaceDE w:val="0"/>
        <w:autoSpaceDN w:val="0"/>
        <w:adjustRightInd w:val="0"/>
        <w:rPr>
          <w:rFonts w:ascii="Arial" w:eastAsiaTheme="minorHAnsi" w:hAnsi="Arial" w:cs="Arial"/>
          <w:sz w:val="22"/>
          <w:szCs w:val="22"/>
        </w:rPr>
      </w:pPr>
    </w:p>
    <w:p w:rsidR="006B083E" w:rsidRDefault="00DF5574" w:rsidP="0020195D">
      <w:pPr>
        <w:pStyle w:val="Heading1"/>
      </w:pPr>
      <w:bookmarkStart w:id="8" w:name="_Toc343006817"/>
      <w:bookmarkStart w:id="9" w:name="_Toc325725915"/>
      <w:bookmarkStart w:id="10" w:name="_Toc335820958"/>
      <w:r w:rsidRPr="0020195D">
        <w:lastRenderedPageBreak/>
        <w:t>PART A:</w:t>
      </w:r>
      <w:bookmarkEnd w:id="8"/>
      <w:r w:rsidRPr="0020195D">
        <w:t xml:space="preserve"> </w:t>
      </w:r>
    </w:p>
    <w:p w:rsidR="00DF5574" w:rsidRPr="0020195D" w:rsidRDefault="00DF5574" w:rsidP="0020195D">
      <w:pPr>
        <w:pStyle w:val="Heading1"/>
      </w:pPr>
      <w:bookmarkStart w:id="11" w:name="_Toc343006818"/>
      <w:r w:rsidRPr="0020195D">
        <w:t>Summary of North-East Growth Area Social Infrastructure Assessment (SIA 2008)</w:t>
      </w:r>
      <w:bookmarkEnd w:id="9"/>
      <w:bookmarkEnd w:id="10"/>
      <w:r w:rsidR="0012294D">
        <w:t xml:space="preserve"> by </w:t>
      </w:r>
      <w:r w:rsidR="000D23F2">
        <w:t>Maunsell/</w:t>
      </w:r>
      <w:r w:rsidR="0012294D">
        <w:t>AECOM</w:t>
      </w:r>
      <w:bookmarkEnd w:id="11"/>
    </w:p>
    <w:p w:rsidR="00DF5574" w:rsidRDefault="00E7071C" w:rsidP="0020195D">
      <w:pPr>
        <w:pStyle w:val="Heading2"/>
      </w:pPr>
      <w:hyperlink w:anchor="_Toc287950109" w:history="1">
        <w:bookmarkStart w:id="12" w:name="_Toc325725916"/>
        <w:bookmarkStart w:id="13" w:name="_Toc335820959"/>
        <w:bookmarkStart w:id="14" w:name="_Toc343006819"/>
        <w:r w:rsidR="00DF5574" w:rsidRPr="003758F4">
          <w:rPr>
            <w:rFonts w:eastAsiaTheme="minorHAnsi"/>
          </w:rPr>
          <w:t>Key Population and Socio-Economic Trends</w:t>
        </w:r>
        <w:bookmarkEnd w:id="12"/>
        <w:bookmarkEnd w:id="13"/>
        <w:bookmarkEnd w:id="14"/>
      </w:hyperlink>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 xml:space="preserve">As indicated in the </w:t>
      </w:r>
      <w:r w:rsidRPr="00693E70">
        <w:rPr>
          <w:rFonts w:ascii="Arial" w:eastAsiaTheme="minorHAnsi" w:hAnsi="Arial" w:cs="Arial"/>
          <w:i/>
          <w:iCs/>
          <w:color w:val="000000"/>
          <w:sz w:val="22"/>
          <w:szCs w:val="22"/>
        </w:rPr>
        <w:t xml:space="preserve">Greater Shepparton Housing Strategy (Final Draft Version 2, 2008) </w:t>
      </w:r>
      <w:r w:rsidRPr="00693E70">
        <w:rPr>
          <w:rFonts w:ascii="Arial" w:eastAsiaTheme="minorHAnsi" w:hAnsi="Arial" w:cs="Arial"/>
          <w:color w:val="000000"/>
          <w:sz w:val="22"/>
          <w:szCs w:val="22"/>
        </w:rPr>
        <w:t>Greater Shepparton is experiencing strong population growth (approximately 800 persons per year), which is particularly being driven by internal and overseas migration and growth in the agricultural sector. The Shepparton North-East Growth Area is therefore well placed to help cater for Greater Shepparton’s population growth. In 2008 there were 60,528 persons in the City of Greater Shepparton. By 2030, the City of Greater Shepparton’s projected population is 78,214 persons.</w:t>
      </w:r>
    </w:p>
    <w:p w:rsidR="00DF5574" w:rsidRPr="00693E70" w:rsidRDefault="00DF5574" w:rsidP="00DF5574">
      <w:pPr>
        <w:autoSpaceDE w:val="0"/>
        <w:autoSpaceDN w:val="0"/>
        <w:adjustRightInd w:val="0"/>
        <w:rPr>
          <w:rFonts w:ascii="Arial" w:eastAsiaTheme="minorHAnsi" w:hAnsi="Arial" w:cs="Arial"/>
          <w:b/>
          <w:bCs/>
          <w:color w:val="FFFFFF"/>
          <w:sz w:val="22"/>
          <w:szCs w:val="22"/>
        </w:rPr>
      </w:pPr>
      <w:r w:rsidRPr="00693E70">
        <w:rPr>
          <w:rFonts w:ascii="Arial" w:eastAsiaTheme="minorHAnsi" w:hAnsi="Arial" w:cs="Arial"/>
          <w:b/>
          <w:bCs/>
          <w:color w:val="FFFFFF"/>
          <w:sz w:val="22"/>
          <w:szCs w:val="22"/>
        </w:rPr>
        <w:t>Projected Population</w:t>
      </w:r>
    </w:p>
    <w:tbl>
      <w:tblPr>
        <w:tblStyle w:val="TableGrid"/>
        <w:tblW w:w="0" w:type="auto"/>
        <w:tblInd w:w="108" w:type="dxa"/>
        <w:tblLook w:val="04A0"/>
      </w:tblPr>
      <w:tblGrid>
        <w:gridCol w:w="4003"/>
        <w:gridCol w:w="2106"/>
        <w:gridCol w:w="1910"/>
      </w:tblGrid>
      <w:tr w:rsidR="00DF5574" w:rsidRPr="00693E70" w:rsidTr="008D079A">
        <w:trPr>
          <w:trHeight w:val="251"/>
        </w:trPr>
        <w:tc>
          <w:tcPr>
            <w:tcW w:w="4003"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Usual Resident population</w:t>
            </w:r>
          </w:p>
        </w:tc>
        <w:tc>
          <w:tcPr>
            <w:tcW w:w="2106"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2008</w:t>
            </w:r>
          </w:p>
        </w:tc>
        <w:tc>
          <w:tcPr>
            <w:tcW w:w="1910"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60,528</w:t>
            </w:r>
          </w:p>
        </w:tc>
      </w:tr>
      <w:tr w:rsidR="00DF5574" w:rsidRPr="00693E70" w:rsidTr="008D079A">
        <w:trPr>
          <w:trHeight w:val="375"/>
        </w:trPr>
        <w:tc>
          <w:tcPr>
            <w:tcW w:w="4003"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Projected population</w:t>
            </w:r>
          </w:p>
        </w:tc>
        <w:tc>
          <w:tcPr>
            <w:tcW w:w="2106"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2010</w:t>
            </w:r>
            <w:r w:rsidRPr="00693E70">
              <w:rPr>
                <w:rFonts w:ascii="Arial" w:eastAsiaTheme="minorHAnsi" w:hAnsi="Arial" w:cs="Arial"/>
                <w:b/>
                <w:bCs/>
                <w:color w:val="FFFFFF"/>
              </w:rPr>
              <w:t>012010</w:t>
            </w:r>
          </w:p>
        </w:tc>
        <w:tc>
          <w:tcPr>
            <w:tcW w:w="1910"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61,905</w:t>
            </w:r>
          </w:p>
        </w:tc>
      </w:tr>
      <w:tr w:rsidR="00DF5574" w:rsidRPr="00693E70" w:rsidTr="008D079A">
        <w:trPr>
          <w:trHeight w:val="262"/>
        </w:trPr>
        <w:tc>
          <w:tcPr>
            <w:tcW w:w="4003"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Projected population</w:t>
            </w:r>
          </w:p>
        </w:tc>
        <w:tc>
          <w:tcPr>
            <w:tcW w:w="2106"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2020</w:t>
            </w:r>
          </w:p>
        </w:tc>
        <w:tc>
          <w:tcPr>
            <w:tcW w:w="1910"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69,480</w:t>
            </w:r>
          </w:p>
        </w:tc>
      </w:tr>
      <w:tr w:rsidR="00DF5574" w:rsidRPr="00693E70" w:rsidTr="008D079A">
        <w:trPr>
          <w:trHeight w:val="262"/>
        </w:trPr>
        <w:tc>
          <w:tcPr>
            <w:tcW w:w="4003"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Projected population</w:t>
            </w:r>
          </w:p>
        </w:tc>
        <w:tc>
          <w:tcPr>
            <w:tcW w:w="2106"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2030</w:t>
            </w:r>
          </w:p>
        </w:tc>
        <w:tc>
          <w:tcPr>
            <w:tcW w:w="1910" w:type="dxa"/>
          </w:tcPr>
          <w:p w:rsidR="00DF5574" w:rsidRPr="00693E70" w:rsidRDefault="00DF5574" w:rsidP="003B577C">
            <w:pPr>
              <w:autoSpaceDE w:val="0"/>
              <w:autoSpaceDN w:val="0"/>
              <w:adjustRightInd w:val="0"/>
              <w:rPr>
                <w:rFonts w:ascii="Arial" w:eastAsiaTheme="minorHAnsi" w:hAnsi="Arial" w:cs="Arial"/>
                <w:b/>
                <w:bCs/>
                <w:color w:val="FFFFFF"/>
              </w:rPr>
            </w:pPr>
            <w:r w:rsidRPr="00693E70">
              <w:rPr>
                <w:rFonts w:ascii="Arial" w:eastAsiaTheme="minorHAnsi" w:hAnsi="Arial" w:cs="Arial"/>
                <w:color w:val="000000"/>
              </w:rPr>
              <w:t>78,214</w:t>
            </w:r>
          </w:p>
        </w:tc>
      </w:tr>
    </w:tbl>
    <w:p w:rsidR="00DF5574" w:rsidRPr="00542808" w:rsidRDefault="00DF5574" w:rsidP="00DF5574">
      <w:pPr>
        <w:autoSpaceDE w:val="0"/>
        <w:autoSpaceDN w:val="0"/>
        <w:adjustRightInd w:val="0"/>
        <w:rPr>
          <w:rFonts w:ascii="Arial" w:eastAsiaTheme="minorHAnsi" w:hAnsi="Arial" w:cs="Arial"/>
          <w:color w:val="000000"/>
          <w:sz w:val="16"/>
          <w:szCs w:val="16"/>
        </w:rPr>
      </w:pPr>
      <w:r w:rsidRPr="00542808">
        <w:rPr>
          <w:rFonts w:ascii="Arial" w:eastAsiaTheme="minorHAnsi" w:hAnsi="Arial" w:cs="Arial"/>
          <w:color w:val="000000"/>
          <w:sz w:val="16"/>
          <w:szCs w:val="16"/>
        </w:rPr>
        <w:t>Source: forecast.id, City of Greater Shepparton.</w:t>
      </w:r>
    </w:p>
    <w:p w:rsidR="00DF5574" w:rsidRDefault="00DF5574" w:rsidP="0020195D">
      <w:pPr>
        <w:pStyle w:val="Heading2"/>
        <w:rPr>
          <w:rFonts w:eastAsiaTheme="minorHAnsi"/>
        </w:rPr>
      </w:pPr>
      <w:bookmarkStart w:id="15" w:name="_Toc325725917"/>
      <w:bookmarkStart w:id="16" w:name="_Toc335820960"/>
      <w:bookmarkStart w:id="17" w:name="_Toc343006820"/>
      <w:r w:rsidRPr="003758F4">
        <w:rPr>
          <w:rFonts w:eastAsiaTheme="minorHAnsi"/>
        </w:rPr>
        <w:t>Proposed Site Area</w:t>
      </w:r>
      <w:bookmarkEnd w:id="15"/>
      <w:bookmarkEnd w:id="16"/>
      <w:bookmarkEnd w:id="17"/>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The total future population size of the Shepparton North-East Growth Area is important for</w:t>
      </w:r>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recommending the size and type of community facilities at the subject site.</w:t>
      </w:r>
    </w:p>
    <w:p w:rsidR="00542808" w:rsidRDefault="00DF5574" w:rsidP="00F8066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 xml:space="preserve">The Shepparton North-East Growth Area site is 168.5 hectares in size. Of this, 104.95 hectares is to be developed for residential purposes. </w:t>
      </w:r>
    </w:p>
    <w:p w:rsidR="00DF5574" w:rsidRPr="0020195D" w:rsidRDefault="00DF5574" w:rsidP="0020195D">
      <w:pPr>
        <w:pStyle w:val="Heading2"/>
      </w:pPr>
      <w:bookmarkStart w:id="18" w:name="_Toc325725918"/>
      <w:bookmarkStart w:id="19" w:name="_Toc335820961"/>
      <w:bookmarkStart w:id="20" w:name="_Toc343006821"/>
      <w:r w:rsidRPr="0020195D">
        <w:t>Demographic Conclusions</w:t>
      </w:r>
      <w:bookmarkEnd w:id="18"/>
      <w:bookmarkEnd w:id="19"/>
      <w:bookmarkEnd w:id="20"/>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 xml:space="preserve">In the City of Greater Shepparton 11% of residents were aged between five and eleven years and 8.2% were between the age of 60 and 69 years. The most common age group is 35 to 49 years (21.8%). It is predicted that there will be an increasing proportion of the population that is aged zero to four years as there been increased fertility rates in the last few years. Early child development should be provided as part of the services at the Shepparton North East Growth Area because it is the foundation for each child’s future. The World Health Organisation’s report </w:t>
      </w:r>
      <w:r w:rsidRPr="00693E70">
        <w:rPr>
          <w:rFonts w:ascii="Arial" w:eastAsiaTheme="minorHAnsi" w:hAnsi="Arial" w:cs="Arial"/>
          <w:i/>
          <w:iCs/>
          <w:color w:val="000000"/>
          <w:sz w:val="22"/>
          <w:szCs w:val="22"/>
        </w:rPr>
        <w:t xml:space="preserve">Closing the gap in a generation </w:t>
      </w:r>
      <w:r w:rsidRPr="00693E70">
        <w:rPr>
          <w:rFonts w:ascii="Arial" w:eastAsiaTheme="minorHAnsi" w:hAnsi="Arial" w:cs="Arial"/>
          <w:color w:val="000000"/>
          <w:sz w:val="22"/>
          <w:szCs w:val="22"/>
        </w:rPr>
        <w:t>(2008) identifies that equity from the start “</w:t>
      </w:r>
      <w:r w:rsidRPr="00693E70">
        <w:rPr>
          <w:rFonts w:ascii="Arial" w:eastAsiaTheme="minorHAnsi" w:hAnsi="Arial" w:cs="Arial"/>
          <w:i/>
          <w:iCs/>
          <w:color w:val="000000"/>
          <w:sz w:val="22"/>
          <w:szCs w:val="22"/>
        </w:rPr>
        <w:t xml:space="preserve">including physical, social/emotional, language/cognitive domains – has a determining life influence on subsequent life changes and health through skills development, education, and occupational opportunities”. </w:t>
      </w:r>
      <w:r w:rsidRPr="00693E70">
        <w:rPr>
          <w:rFonts w:ascii="Arial" w:eastAsiaTheme="minorHAnsi" w:hAnsi="Arial" w:cs="Arial"/>
          <w:color w:val="000000"/>
          <w:sz w:val="22"/>
          <w:szCs w:val="22"/>
        </w:rPr>
        <w:t>Early child development can</w:t>
      </w:r>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therefore be used to promote the health and future prospects of children.</w:t>
      </w:r>
    </w:p>
    <w:p w:rsidR="00DF5574" w:rsidRPr="00693E70" w:rsidRDefault="00DF5574" w:rsidP="00DF5574">
      <w:pPr>
        <w:autoSpaceDE w:val="0"/>
        <w:autoSpaceDN w:val="0"/>
        <w:adjustRightInd w:val="0"/>
        <w:rPr>
          <w:rFonts w:ascii="Arial" w:eastAsiaTheme="minorHAnsi" w:hAnsi="Arial" w:cs="Arial"/>
          <w:color w:val="000000"/>
          <w:sz w:val="22"/>
          <w:szCs w:val="22"/>
        </w:rPr>
      </w:pPr>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 xml:space="preserve">It </w:t>
      </w:r>
      <w:r w:rsidR="00F6274C">
        <w:rPr>
          <w:rFonts w:ascii="Arial" w:eastAsiaTheme="minorHAnsi" w:hAnsi="Arial" w:cs="Arial"/>
          <w:color w:val="000000"/>
          <w:sz w:val="22"/>
          <w:szCs w:val="22"/>
        </w:rPr>
        <w:t xml:space="preserve">is </w:t>
      </w:r>
      <w:r w:rsidRPr="00693E70">
        <w:rPr>
          <w:rFonts w:ascii="Arial" w:eastAsiaTheme="minorHAnsi" w:hAnsi="Arial" w:cs="Arial"/>
          <w:color w:val="000000"/>
          <w:sz w:val="22"/>
          <w:szCs w:val="22"/>
        </w:rPr>
        <w:t>also forecast</w:t>
      </w:r>
      <w:r w:rsidR="00F6274C">
        <w:rPr>
          <w:rFonts w:ascii="Arial" w:eastAsiaTheme="minorHAnsi" w:hAnsi="Arial" w:cs="Arial"/>
          <w:color w:val="000000"/>
          <w:sz w:val="22"/>
          <w:szCs w:val="22"/>
        </w:rPr>
        <w:t>ed</w:t>
      </w:r>
      <w:r w:rsidRPr="00693E70">
        <w:rPr>
          <w:rFonts w:ascii="Arial" w:eastAsiaTheme="minorHAnsi" w:hAnsi="Arial" w:cs="Arial"/>
          <w:color w:val="000000"/>
          <w:sz w:val="22"/>
          <w:szCs w:val="22"/>
        </w:rPr>
        <w:t xml:space="preserve"> that household composition types will reflect this, with an increase of families with children due to the number of child bearing aged couples. It is also predicted that the Shepparton North East Growth Area will have an increased number of families with children due to the location of popular schools</w:t>
      </w:r>
      <w:r w:rsidR="00F6274C">
        <w:rPr>
          <w:rFonts w:ascii="Arial" w:eastAsiaTheme="minorHAnsi" w:hAnsi="Arial" w:cs="Arial"/>
          <w:color w:val="000000"/>
          <w:sz w:val="22"/>
          <w:szCs w:val="22"/>
        </w:rPr>
        <w:t>.</w:t>
      </w:r>
      <w:r w:rsidRPr="00693E70">
        <w:rPr>
          <w:rFonts w:ascii="Arial" w:eastAsiaTheme="minorHAnsi" w:hAnsi="Arial" w:cs="Arial"/>
          <w:color w:val="000000"/>
          <w:sz w:val="22"/>
          <w:szCs w:val="22"/>
        </w:rPr>
        <w:t xml:space="preserve"> A range of services and facilities would be required to meet the needs of various life stages of the community.</w:t>
      </w:r>
    </w:p>
    <w:p w:rsidR="00DF5574" w:rsidRPr="00693E70" w:rsidRDefault="00DF5574" w:rsidP="00DF5574">
      <w:pPr>
        <w:autoSpaceDE w:val="0"/>
        <w:autoSpaceDN w:val="0"/>
        <w:adjustRightInd w:val="0"/>
        <w:rPr>
          <w:rFonts w:ascii="Arial" w:eastAsiaTheme="minorHAnsi" w:hAnsi="Arial" w:cs="Arial"/>
          <w:color w:val="000000"/>
          <w:sz w:val="22"/>
          <w:szCs w:val="22"/>
        </w:rPr>
      </w:pPr>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The average individual weekly income in Greater Shepparton was between $400 and $599 in 2006.</w:t>
      </w:r>
    </w:p>
    <w:p w:rsidR="00DF5574" w:rsidRPr="00693E70" w:rsidRDefault="00DF5574" w:rsidP="00DF5574">
      <w:pPr>
        <w:autoSpaceDE w:val="0"/>
        <w:autoSpaceDN w:val="0"/>
        <w:adjustRightInd w:val="0"/>
        <w:rPr>
          <w:rFonts w:ascii="Arial" w:eastAsiaTheme="minorHAnsi" w:hAnsi="Arial" w:cs="Arial"/>
          <w:color w:val="000000"/>
          <w:sz w:val="22"/>
          <w:szCs w:val="22"/>
        </w:rPr>
      </w:pPr>
      <w:r w:rsidRPr="00693E70">
        <w:rPr>
          <w:rFonts w:ascii="Arial" w:eastAsiaTheme="minorHAnsi" w:hAnsi="Arial" w:cs="Arial"/>
          <w:color w:val="000000"/>
          <w:sz w:val="22"/>
          <w:szCs w:val="22"/>
        </w:rPr>
        <w:t>This was moderately higher than the average income in Regional Victoria an</w:t>
      </w:r>
      <w:r w:rsidR="00A17536">
        <w:rPr>
          <w:rFonts w:ascii="Arial" w:eastAsiaTheme="minorHAnsi" w:hAnsi="Arial" w:cs="Arial"/>
          <w:color w:val="000000"/>
          <w:sz w:val="22"/>
          <w:szCs w:val="22"/>
        </w:rPr>
        <w:t>d Victoria. However, a lack of public transport s</w:t>
      </w:r>
      <w:r w:rsidRPr="00693E70">
        <w:rPr>
          <w:rFonts w:ascii="Arial" w:eastAsiaTheme="minorHAnsi" w:hAnsi="Arial" w:cs="Arial"/>
          <w:color w:val="000000"/>
          <w:sz w:val="22"/>
          <w:szCs w:val="22"/>
        </w:rPr>
        <w:t>ervice</w:t>
      </w:r>
      <w:r w:rsidR="00A17536">
        <w:rPr>
          <w:rFonts w:ascii="Arial" w:eastAsiaTheme="minorHAnsi" w:hAnsi="Arial" w:cs="Arial"/>
          <w:color w:val="000000"/>
          <w:sz w:val="22"/>
          <w:szCs w:val="22"/>
        </w:rPr>
        <w:t>s</w:t>
      </w:r>
      <w:r w:rsidRPr="00693E70">
        <w:rPr>
          <w:rFonts w:ascii="Arial" w:eastAsiaTheme="minorHAnsi" w:hAnsi="Arial" w:cs="Arial"/>
          <w:color w:val="000000"/>
          <w:sz w:val="22"/>
          <w:szCs w:val="22"/>
        </w:rPr>
        <w:t xml:space="preserve"> in this area this moderate difference in income is likely to be absorbed in private transport costs.</w:t>
      </w:r>
    </w:p>
    <w:p w:rsidR="00DF5574" w:rsidRPr="00693E70" w:rsidRDefault="00DF5574" w:rsidP="00DF5574">
      <w:pPr>
        <w:autoSpaceDE w:val="0"/>
        <w:autoSpaceDN w:val="0"/>
        <w:adjustRightInd w:val="0"/>
        <w:rPr>
          <w:rFonts w:ascii="Arial" w:eastAsiaTheme="minorHAnsi" w:hAnsi="Arial" w:cs="Arial"/>
          <w:color w:val="000000"/>
          <w:sz w:val="22"/>
          <w:szCs w:val="22"/>
        </w:rPr>
      </w:pPr>
    </w:p>
    <w:p w:rsidR="00DF5574" w:rsidRPr="00693E70" w:rsidRDefault="00DF5574" w:rsidP="00542808">
      <w:pPr>
        <w:pStyle w:val="TOC1"/>
      </w:pPr>
    </w:p>
    <w:p w:rsidR="00DF5574" w:rsidRPr="00542808" w:rsidRDefault="00E7071C" w:rsidP="0020195D">
      <w:pPr>
        <w:pStyle w:val="Heading2"/>
      </w:pPr>
      <w:hyperlink w:anchor="_Toc287950110" w:history="1">
        <w:bookmarkStart w:id="21" w:name="_Toc325725919"/>
        <w:bookmarkStart w:id="22" w:name="_Toc335820962"/>
        <w:bookmarkStart w:id="23" w:name="_Toc343006822"/>
        <w:r w:rsidR="00DF5574" w:rsidRPr="00542808">
          <w:t>2008 SIA Summary Policy Context</w:t>
        </w:r>
        <w:bookmarkEnd w:id="21"/>
        <w:bookmarkEnd w:id="22"/>
        <w:bookmarkEnd w:id="23"/>
      </w:hyperlink>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Key policy objectives drawn from the above policy review are as follows and should be considered in the Shepparton North-East Growth Area:</w:t>
      </w:r>
    </w:p>
    <w:p w:rsidR="00DF5574" w:rsidRDefault="00DF5574" w:rsidP="0020195D">
      <w:pPr>
        <w:pStyle w:val="Heading3"/>
        <w:rPr>
          <w:rFonts w:eastAsiaTheme="minorHAnsi"/>
        </w:rPr>
      </w:pPr>
      <w:bookmarkStart w:id="24" w:name="_Toc325725920"/>
      <w:bookmarkStart w:id="25" w:name="_Toc335820963"/>
      <w:bookmarkStart w:id="26" w:name="_Toc343006823"/>
      <w:r w:rsidRPr="003758F4">
        <w:rPr>
          <w:rFonts w:eastAsiaTheme="minorHAnsi"/>
        </w:rPr>
        <w:t>State Planning Policy Framework</w:t>
      </w:r>
      <w:bookmarkEnd w:id="24"/>
      <w:bookmarkEnd w:id="25"/>
      <w:bookmarkEnd w:id="26"/>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Community infrastructure to be equitable and accessible;</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Need to cater for diverse communities, including considerations of affordable housing and open space;</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Quality urban design when planning facilities;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Small scale activity centres should:</w:t>
      </w:r>
    </w:p>
    <w:p w:rsidR="00DF5574" w:rsidRPr="00693E70" w:rsidRDefault="00DF5574" w:rsidP="00DF5574">
      <w:pPr>
        <w:autoSpaceDE w:val="0"/>
        <w:autoSpaceDN w:val="0"/>
        <w:adjustRightInd w:val="0"/>
        <w:ind w:firstLine="720"/>
        <w:rPr>
          <w:rFonts w:ascii="Arial" w:eastAsiaTheme="minorHAnsi" w:hAnsi="Arial" w:cs="Arial"/>
          <w:sz w:val="22"/>
          <w:szCs w:val="22"/>
        </w:rPr>
      </w:pPr>
      <w:r w:rsidRPr="00693E70">
        <w:rPr>
          <w:rFonts w:ascii="Arial" w:eastAsiaTheme="minorHAnsi" w:hAnsi="Arial" w:cs="Arial"/>
          <w:sz w:val="22"/>
          <w:szCs w:val="22"/>
        </w:rPr>
        <w:t>o Include a mix of uses to meet local convenience needs</w:t>
      </w:r>
    </w:p>
    <w:p w:rsidR="00DF5574" w:rsidRPr="00693E70" w:rsidRDefault="00DF5574" w:rsidP="00DF5574">
      <w:pPr>
        <w:autoSpaceDE w:val="0"/>
        <w:autoSpaceDN w:val="0"/>
        <w:adjustRightInd w:val="0"/>
        <w:ind w:firstLine="720"/>
        <w:rPr>
          <w:rFonts w:ascii="Arial" w:eastAsiaTheme="minorHAnsi" w:hAnsi="Arial" w:cs="Arial"/>
          <w:sz w:val="22"/>
          <w:szCs w:val="22"/>
        </w:rPr>
      </w:pPr>
      <w:r w:rsidRPr="00693E70">
        <w:rPr>
          <w:rFonts w:ascii="Arial" w:eastAsiaTheme="minorHAnsi" w:hAnsi="Arial" w:cs="Arial"/>
          <w:sz w:val="22"/>
          <w:szCs w:val="22"/>
        </w:rPr>
        <w:t>o Be accessible by walking and cycling</w:t>
      </w:r>
    </w:p>
    <w:p w:rsidR="00DF5574" w:rsidRPr="00693E70" w:rsidRDefault="00DF5574" w:rsidP="00DF5574">
      <w:pPr>
        <w:autoSpaceDE w:val="0"/>
        <w:autoSpaceDN w:val="0"/>
        <w:adjustRightInd w:val="0"/>
        <w:ind w:firstLine="720"/>
        <w:rPr>
          <w:rFonts w:ascii="Arial" w:eastAsiaTheme="minorHAnsi" w:hAnsi="Arial" w:cs="Arial"/>
          <w:sz w:val="22"/>
          <w:szCs w:val="22"/>
        </w:rPr>
      </w:pPr>
      <w:r w:rsidRPr="00693E70">
        <w:rPr>
          <w:rFonts w:ascii="Arial" w:eastAsiaTheme="minorHAnsi" w:hAnsi="Arial" w:cs="Arial"/>
          <w:sz w:val="22"/>
          <w:szCs w:val="22"/>
        </w:rPr>
        <w:t>o Be a community focal point</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Primary education facilities are accessible by walking.</w:t>
      </w:r>
    </w:p>
    <w:p w:rsidR="00DF5574" w:rsidRPr="0020195D" w:rsidRDefault="00DF5574" w:rsidP="0020195D">
      <w:pPr>
        <w:pStyle w:val="Heading3"/>
      </w:pPr>
      <w:bookmarkStart w:id="27" w:name="_Toc325725921"/>
      <w:bookmarkStart w:id="28" w:name="_Toc335820964"/>
      <w:bookmarkStart w:id="29" w:name="_Toc343006824"/>
      <w:r w:rsidRPr="0020195D">
        <w:t>State Government Policy</w:t>
      </w:r>
      <w:bookmarkEnd w:id="27"/>
      <w:bookmarkEnd w:id="28"/>
      <w:bookmarkEnd w:id="29"/>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Creating safe and caring communities;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Building cohesive communities;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Reduce inequalities and create socially and culturally inclusive environments;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Creating more liveable communities that support families;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All parts of the neighbourhood should be 400 metres from a neighbourhood centre; and</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Developing a community hub can help people and the community come together, as well as provide accessible services for the community.</w:t>
      </w:r>
    </w:p>
    <w:p w:rsidR="00DF5574" w:rsidRPr="0020195D" w:rsidRDefault="00DF5574" w:rsidP="0020195D">
      <w:pPr>
        <w:pStyle w:val="Heading3"/>
      </w:pPr>
      <w:bookmarkStart w:id="30" w:name="_Toc325725922"/>
      <w:bookmarkStart w:id="31" w:name="_Toc335820965"/>
      <w:bookmarkStart w:id="32" w:name="_Toc343006825"/>
      <w:r w:rsidRPr="0020195D">
        <w:t xml:space="preserve">Melbourne 2030 </w:t>
      </w:r>
      <w:r w:rsidRPr="00380FBF">
        <w:t>(where applicable to urban growth)</w:t>
      </w:r>
      <w:bookmarkEnd w:id="30"/>
      <w:bookmarkEnd w:id="31"/>
      <w:bookmarkEnd w:id="32"/>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Development of local neighbourhood activity centres which are accessible by walking and cycling;</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and</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Neighbourhood activity centres to be a local community focal point with a mix of community facilities.</w:t>
      </w:r>
    </w:p>
    <w:p w:rsidR="00DF5574" w:rsidRPr="0020195D" w:rsidRDefault="00DF5574" w:rsidP="0020195D">
      <w:pPr>
        <w:pStyle w:val="Heading3"/>
      </w:pPr>
      <w:bookmarkStart w:id="33" w:name="_Toc325725923"/>
      <w:bookmarkStart w:id="34" w:name="_Toc335820966"/>
      <w:bookmarkStart w:id="35" w:name="_Toc343006826"/>
      <w:r w:rsidRPr="0020195D">
        <w:t>Local Planning Policy Framework</w:t>
      </w:r>
      <w:bookmarkEnd w:id="33"/>
      <w:bookmarkEnd w:id="34"/>
      <w:bookmarkEnd w:id="35"/>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Create a sense of belonging;</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Integration of international migrants into the local community;</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Meeting educational needs of a broad culturally and linguistically diverse (CALD) community;</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Meeting the needs of an ageing population;</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Development of community hubs – multipurpose community infrastructure to enable sharing of facilities;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Encourage new development to have community gathering spaces; and</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Locate facilities and services in areas where they can be accessed by public transport, and by walking and cycling paths.</w:t>
      </w:r>
    </w:p>
    <w:p w:rsidR="00DF5574" w:rsidRPr="0020195D" w:rsidRDefault="00DF5574" w:rsidP="0020195D">
      <w:pPr>
        <w:pStyle w:val="Heading3"/>
      </w:pPr>
      <w:bookmarkStart w:id="36" w:name="_Toc325725924"/>
      <w:bookmarkStart w:id="37" w:name="_Toc335820967"/>
      <w:bookmarkStart w:id="38" w:name="_Toc343006827"/>
      <w:r w:rsidRPr="0020195D">
        <w:t>Council Policies</w:t>
      </w:r>
      <w:bookmarkEnd w:id="36"/>
      <w:bookmarkEnd w:id="37"/>
      <w:bookmarkEnd w:id="38"/>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Sustainable design principles;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Improvement of social connectedness;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Urban design that encourages walking and cycling;</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Improved range of recreation and sporting facilities in Shepparton;</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Ways to reduce the amount of travel to Melbourne for health care needs;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Improved equity of access to community facilities and equity distribution of these facilities;</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Provide a range of housing types and options; and</w:t>
      </w: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Provide a diverse range of learning and education options.</w:t>
      </w:r>
    </w:p>
    <w:p w:rsidR="00DF5574" w:rsidRPr="00693E70" w:rsidRDefault="00DF5574" w:rsidP="00DF5574">
      <w:pPr>
        <w:autoSpaceDE w:val="0"/>
        <w:autoSpaceDN w:val="0"/>
        <w:adjustRightInd w:val="0"/>
        <w:rPr>
          <w:rFonts w:ascii="Arial" w:eastAsiaTheme="minorHAnsi" w:hAnsi="Arial" w:cs="Arial"/>
          <w:sz w:val="22"/>
          <w:szCs w:val="22"/>
        </w:rPr>
      </w:pP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xml:space="preserve">The overall themes presented in the State and Local Planning Policies all support the development, using sustainable urban design principles, of a community hub or </w:t>
      </w:r>
      <w:r w:rsidRPr="00693E70">
        <w:rPr>
          <w:rFonts w:ascii="Arial" w:eastAsiaTheme="minorHAnsi" w:hAnsi="Arial" w:cs="Arial"/>
          <w:sz w:val="22"/>
          <w:szCs w:val="22"/>
        </w:rPr>
        <w:lastRenderedPageBreak/>
        <w:t>neighbourhood centre in any new community. The policies encourage community hubs that are multipurpose community facilities that bring a range of comparable services together collated at one site. These help create a focal point in the community, and provide a community gathering place that pools the expertise to create a greater sense of community. Community facilities need to be centrally located to the neighbourhood to ensure there is equitable access (particularly via walking) to prevent social isolation and social exclusion.</w:t>
      </w:r>
    </w:p>
    <w:p w:rsidR="007E54E8" w:rsidRPr="00542808" w:rsidRDefault="007E54E8" w:rsidP="00542808">
      <w:pPr>
        <w:pStyle w:val="TOC1"/>
      </w:pPr>
    </w:p>
    <w:p w:rsidR="00DF5574" w:rsidRDefault="00E7071C" w:rsidP="0020195D">
      <w:pPr>
        <w:pStyle w:val="Heading2"/>
      </w:pPr>
      <w:hyperlink w:anchor="_Toc287950111" w:history="1">
        <w:bookmarkStart w:id="39" w:name="_Toc325725925"/>
        <w:bookmarkStart w:id="40" w:name="_Toc335820968"/>
        <w:bookmarkStart w:id="41" w:name="_Toc343006828"/>
        <w:r w:rsidR="00DF5574" w:rsidRPr="00542808">
          <w:t>2008 SIA Recommendations</w:t>
        </w:r>
        <w:bookmarkEnd w:id="39"/>
        <w:bookmarkEnd w:id="40"/>
        <w:bookmarkEnd w:id="41"/>
      </w:hyperlink>
    </w:p>
    <w:p w:rsidR="00CB7E1F" w:rsidRPr="00CB7E1F" w:rsidRDefault="00CB7E1F" w:rsidP="00CB7E1F"/>
    <w:p w:rsidR="00DF5574" w:rsidRDefault="00645CBF" w:rsidP="00DF5574">
      <w:pPr>
        <w:autoSpaceDE w:val="0"/>
        <w:autoSpaceDN w:val="0"/>
        <w:adjustRightInd w:val="0"/>
        <w:rPr>
          <w:rFonts w:ascii="Arial" w:eastAsiaTheme="minorHAnsi" w:hAnsi="Arial" w:cs="Arial"/>
          <w:sz w:val="22"/>
          <w:szCs w:val="22"/>
        </w:rPr>
      </w:pPr>
      <w:r>
        <w:rPr>
          <w:rFonts w:ascii="Arial" w:eastAsiaTheme="minorHAnsi" w:hAnsi="Arial" w:cs="Arial"/>
          <w:sz w:val="22"/>
          <w:szCs w:val="22"/>
        </w:rPr>
        <w:t>The original report</w:t>
      </w:r>
      <w:r w:rsidR="00DF5574" w:rsidRPr="00693E70">
        <w:rPr>
          <w:rFonts w:ascii="Arial" w:eastAsiaTheme="minorHAnsi" w:hAnsi="Arial" w:cs="Arial"/>
          <w:sz w:val="22"/>
          <w:szCs w:val="22"/>
        </w:rPr>
        <w:t xml:space="preserve"> recommended that:</w:t>
      </w:r>
    </w:p>
    <w:p w:rsidR="004B293F" w:rsidRPr="00693E70" w:rsidRDefault="004B293F" w:rsidP="00DF5574">
      <w:pPr>
        <w:autoSpaceDE w:val="0"/>
        <w:autoSpaceDN w:val="0"/>
        <w:adjustRightInd w:val="0"/>
        <w:rPr>
          <w:rFonts w:ascii="Arial" w:eastAsiaTheme="minorHAnsi" w:hAnsi="Arial" w:cs="Arial"/>
          <w:sz w:val="22"/>
          <w:szCs w:val="22"/>
        </w:rPr>
      </w:pPr>
    </w:p>
    <w:p w:rsidR="004B293F"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A community hub/centre is built at the Shepparton North-East Growth Area.</w:t>
      </w:r>
    </w:p>
    <w:p w:rsidR="004B293F" w:rsidRPr="00693E70" w:rsidRDefault="004B293F" w:rsidP="00DF5574">
      <w:pPr>
        <w:autoSpaceDE w:val="0"/>
        <w:autoSpaceDN w:val="0"/>
        <w:adjustRightInd w:val="0"/>
        <w:rPr>
          <w:rFonts w:ascii="Arial" w:eastAsiaTheme="minorHAnsi" w:hAnsi="Arial" w:cs="Arial"/>
          <w:sz w:val="22"/>
          <w:szCs w:val="22"/>
        </w:rPr>
      </w:pPr>
    </w:p>
    <w:p w:rsidR="00DF5574"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xml:space="preserve">• </w:t>
      </w:r>
      <w:r w:rsidR="004B293F">
        <w:rPr>
          <w:rFonts w:ascii="Arial" w:eastAsiaTheme="minorHAnsi" w:hAnsi="Arial" w:cs="Arial"/>
          <w:sz w:val="22"/>
          <w:szCs w:val="22"/>
        </w:rPr>
        <w:t xml:space="preserve">That </w:t>
      </w:r>
      <w:r w:rsidRPr="00693E70">
        <w:rPr>
          <w:rFonts w:ascii="Arial" w:eastAsiaTheme="minorHAnsi" w:hAnsi="Arial" w:cs="Arial"/>
          <w:sz w:val="22"/>
          <w:szCs w:val="22"/>
        </w:rPr>
        <w:t>1,680 square metres is provided for the community hub.</w:t>
      </w:r>
    </w:p>
    <w:p w:rsidR="004B293F" w:rsidRPr="00693E70" w:rsidRDefault="004B293F" w:rsidP="00DF5574">
      <w:pPr>
        <w:autoSpaceDE w:val="0"/>
        <w:autoSpaceDN w:val="0"/>
        <w:adjustRightInd w:val="0"/>
        <w:rPr>
          <w:rFonts w:ascii="Arial" w:eastAsiaTheme="minorHAnsi" w:hAnsi="Arial" w:cs="Arial"/>
          <w:sz w:val="22"/>
          <w:szCs w:val="22"/>
        </w:rPr>
      </w:pP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The community hub/centre to provide facilities for Maternal and Child Health sessions, a</w:t>
      </w:r>
    </w:p>
    <w:p w:rsidR="00DF5574"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Preschool/kindergarten, occasional day care service and community services.</w:t>
      </w:r>
    </w:p>
    <w:p w:rsidR="004B293F" w:rsidRPr="00693E70" w:rsidRDefault="004B293F" w:rsidP="00DF5574">
      <w:pPr>
        <w:autoSpaceDE w:val="0"/>
        <w:autoSpaceDN w:val="0"/>
        <w:adjustRightInd w:val="0"/>
        <w:rPr>
          <w:rFonts w:ascii="Arial" w:eastAsiaTheme="minorHAnsi" w:hAnsi="Arial" w:cs="Arial"/>
          <w:sz w:val="22"/>
          <w:szCs w:val="22"/>
        </w:rPr>
      </w:pPr>
    </w:p>
    <w:p w:rsidR="00DF5574"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Grahamvale Primary School is relocated and expanded to accommodate the population growth of school aged children in the Shepparton North-East Growth Area and to become part of a neighbourhood centre.</w:t>
      </w:r>
    </w:p>
    <w:p w:rsidR="004B293F" w:rsidRPr="00693E70" w:rsidRDefault="004B293F" w:rsidP="00DF5574">
      <w:pPr>
        <w:autoSpaceDE w:val="0"/>
        <w:autoSpaceDN w:val="0"/>
        <w:adjustRightInd w:val="0"/>
        <w:rPr>
          <w:rFonts w:ascii="Arial" w:eastAsiaTheme="minorHAnsi" w:hAnsi="Arial" w:cs="Arial"/>
          <w:sz w:val="22"/>
          <w:szCs w:val="22"/>
        </w:rPr>
      </w:pPr>
    </w:p>
    <w:p w:rsidR="00DF5574"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The preferred location of the community hub is Option Three if Grahamvale Prim</w:t>
      </w:r>
      <w:r w:rsidR="0007050C">
        <w:rPr>
          <w:rFonts w:ascii="Arial" w:eastAsiaTheme="minorHAnsi" w:hAnsi="Arial" w:cs="Arial"/>
          <w:sz w:val="22"/>
          <w:szCs w:val="22"/>
        </w:rPr>
        <w:t>ary School relocates; otherwise t</w:t>
      </w:r>
      <w:r w:rsidRPr="00693E70">
        <w:rPr>
          <w:rFonts w:ascii="Arial" w:eastAsiaTheme="minorHAnsi" w:hAnsi="Arial" w:cs="Arial"/>
          <w:sz w:val="22"/>
          <w:szCs w:val="22"/>
        </w:rPr>
        <w:t>he recommended location is Option Two, which is near Shepparton Christian Community</w:t>
      </w:r>
      <w:r w:rsidR="0007050C">
        <w:rPr>
          <w:rFonts w:ascii="Arial" w:eastAsiaTheme="minorHAnsi" w:hAnsi="Arial" w:cs="Arial"/>
          <w:sz w:val="22"/>
          <w:szCs w:val="22"/>
        </w:rPr>
        <w:t xml:space="preserve"> </w:t>
      </w:r>
      <w:r w:rsidRPr="00693E70">
        <w:rPr>
          <w:rFonts w:ascii="Arial" w:eastAsiaTheme="minorHAnsi" w:hAnsi="Arial" w:cs="Arial"/>
          <w:sz w:val="22"/>
          <w:szCs w:val="22"/>
        </w:rPr>
        <w:t>School on Verney Road, just north of Hawkins Street.</w:t>
      </w:r>
    </w:p>
    <w:p w:rsidR="004B293F" w:rsidRPr="00693E70" w:rsidRDefault="004B293F" w:rsidP="00DF5574">
      <w:pPr>
        <w:autoSpaceDE w:val="0"/>
        <w:autoSpaceDN w:val="0"/>
        <w:adjustRightInd w:val="0"/>
        <w:rPr>
          <w:rFonts w:ascii="Arial" w:eastAsiaTheme="minorHAnsi" w:hAnsi="Arial" w:cs="Arial"/>
          <w:sz w:val="22"/>
          <w:szCs w:val="22"/>
        </w:rPr>
      </w:pPr>
    </w:p>
    <w:p w:rsidR="00DF5574"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The City of Greater Shepparton and the Department of Education and Early Child Development to support existing schools in Shepparton to attract local children. This would encourage more sustainable neighbourhoods as well as preventing social exclusion of these schools.</w:t>
      </w:r>
    </w:p>
    <w:p w:rsidR="004B293F" w:rsidRPr="00693E70" w:rsidRDefault="004B293F" w:rsidP="00DF5574">
      <w:pPr>
        <w:autoSpaceDE w:val="0"/>
        <w:autoSpaceDN w:val="0"/>
        <w:adjustRightInd w:val="0"/>
        <w:rPr>
          <w:rFonts w:ascii="Arial" w:eastAsiaTheme="minorHAnsi" w:hAnsi="Arial" w:cs="Arial"/>
          <w:sz w:val="22"/>
          <w:szCs w:val="22"/>
        </w:rPr>
      </w:pPr>
    </w:p>
    <w:p w:rsidR="00DF5574" w:rsidRPr="00693E70" w:rsidRDefault="00DF5574" w:rsidP="00DF5574">
      <w:pPr>
        <w:autoSpaceDE w:val="0"/>
        <w:autoSpaceDN w:val="0"/>
        <w:adjustRightInd w:val="0"/>
        <w:rPr>
          <w:rFonts w:ascii="Arial" w:eastAsiaTheme="minorHAnsi" w:hAnsi="Arial" w:cs="Arial"/>
          <w:sz w:val="22"/>
          <w:szCs w:val="22"/>
        </w:rPr>
      </w:pPr>
      <w:r w:rsidRPr="00693E70">
        <w:rPr>
          <w:rFonts w:ascii="Arial" w:eastAsiaTheme="minorHAnsi" w:hAnsi="Arial" w:cs="Arial"/>
          <w:sz w:val="22"/>
          <w:szCs w:val="22"/>
        </w:rPr>
        <w:t>• Medium density housing using quality Urban Design principles is located on the site in proximity to the community hub and retail area in order to maximise the community benefits.</w:t>
      </w:r>
    </w:p>
    <w:p w:rsidR="00DF5574" w:rsidRPr="00693E70" w:rsidRDefault="00DF5574" w:rsidP="00DF5574">
      <w:pPr>
        <w:spacing w:after="200" w:line="276" w:lineRule="auto"/>
        <w:rPr>
          <w:rFonts w:ascii="Arial" w:eastAsiaTheme="minorHAnsi" w:hAnsi="Arial" w:cs="Arial"/>
          <w:sz w:val="22"/>
          <w:szCs w:val="22"/>
        </w:rPr>
      </w:pPr>
      <w:r w:rsidRPr="00693E70">
        <w:rPr>
          <w:rFonts w:ascii="Arial" w:eastAsiaTheme="minorHAnsi" w:hAnsi="Arial" w:cs="Arial"/>
          <w:sz w:val="22"/>
          <w:szCs w:val="22"/>
        </w:rPr>
        <w:br w:type="page"/>
      </w:r>
    </w:p>
    <w:p w:rsidR="00DF5574" w:rsidRPr="0020195D" w:rsidRDefault="00E7071C" w:rsidP="0020195D">
      <w:pPr>
        <w:pStyle w:val="Heading1"/>
      </w:pPr>
      <w:hyperlink w:anchor="_Toc287950112" w:history="1">
        <w:bookmarkStart w:id="42" w:name="_Toc325725926"/>
        <w:bookmarkStart w:id="43" w:name="_Toc335820969"/>
        <w:bookmarkStart w:id="44" w:name="_Toc343006829"/>
        <w:r w:rsidR="00DF5574" w:rsidRPr="0020195D">
          <w:t>PART B</w:t>
        </w:r>
        <w:r w:rsidR="00EE4739">
          <w:t xml:space="preserve"> </w:t>
        </w:r>
        <w:r w:rsidR="00DF5574" w:rsidRPr="0020195D">
          <w:t>Review of the 2008 SIA Recommendations</w:t>
        </w:r>
        <w:bookmarkEnd w:id="42"/>
        <w:bookmarkEnd w:id="43"/>
        <w:bookmarkEnd w:id="44"/>
      </w:hyperlink>
    </w:p>
    <w:p w:rsidR="00306A66" w:rsidRPr="00306A66" w:rsidRDefault="00306A66" w:rsidP="00306A66">
      <w:pPr>
        <w:rPr>
          <w:rFonts w:eastAsiaTheme="minorHAnsi"/>
        </w:rPr>
      </w:pPr>
    </w:p>
    <w:p w:rsidR="00760B7C" w:rsidRPr="00211A4F" w:rsidRDefault="00EE4739" w:rsidP="00EE4739">
      <w:pPr>
        <w:rPr>
          <w:rFonts w:ascii="Arial" w:eastAsiaTheme="minorHAnsi" w:hAnsi="Arial" w:cs="Arial"/>
          <w:sz w:val="22"/>
          <w:szCs w:val="22"/>
        </w:rPr>
      </w:pPr>
      <w:r w:rsidRPr="00211A4F">
        <w:rPr>
          <w:rFonts w:ascii="Arial" w:eastAsiaTheme="minorHAnsi" w:hAnsi="Arial" w:cs="Arial"/>
          <w:sz w:val="22"/>
          <w:szCs w:val="22"/>
        </w:rPr>
        <w:t xml:space="preserve">This part of the report includes </w:t>
      </w:r>
      <w:hyperlink w:anchor="_Toc287950115" w:history="1">
        <w:bookmarkStart w:id="45" w:name="_Toc325725927"/>
        <w:bookmarkStart w:id="46" w:name="_Toc335820970"/>
        <w:r w:rsidRPr="00211A4F">
          <w:rPr>
            <w:rFonts w:ascii="Arial" w:eastAsiaTheme="minorHAnsi" w:hAnsi="Arial" w:cs="Arial"/>
            <w:sz w:val="22"/>
            <w:szCs w:val="22"/>
          </w:rPr>
          <w:t>d</w:t>
        </w:r>
        <w:r w:rsidR="00760B7C" w:rsidRPr="00211A4F">
          <w:rPr>
            <w:rFonts w:ascii="Arial" w:eastAsiaTheme="minorHAnsi" w:hAnsi="Arial" w:cs="Arial"/>
            <w:sz w:val="22"/>
            <w:szCs w:val="22"/>
          </w:rPr>
          <w:t>evelopments and strategic planning initiatives since the 2008 SIA impacting on community infrastructure provision in North-East Shepparton</w:t>
        </w:r>
      </w:hyperlink>
      <w:r w:rsidR="004B587B" w:rsidRPr="00211A4F">
        <w:rPr>
          <w:rFonts w:ascii="Arial" w:eastAsiaTheme="minorHAnsi" w:hAnsi="Arial" w:cs="Arial"/>
          <w:sz w:val="22"/>
          <w:szCs w:val="22"/>
        </w:rPr>
        <w:t>.</w:t>
      </w:r>
      <w:bookmarkEnd w:id="45"/>
      <w:bookmarkEnd w:id="46"/>
    </w:p>
    <w:p w:rsidR="00306A66" w:rsidRDefault="00306A66" w:rsidP="00EE4739">
      <w:r>
        <w:br w:type="page"/>
      </w:r>
    </w:p>
    <w:p w:rsidR="00306A66" w:rsidRPr="00306A66" w:rsidRDefault="00306A66" w:rsidP="00306A66"/>
    <w:p w:rsidR="00DF5574" w:rsidRPr="00151875" w:rsidRDefault="00E7071C" w:rsidP="00151875">
      <w:pPr>
        <w:pStyle w:val="Heading2"/>
      </w:pPr>
      <w:hyperlink w:anchor="_Toc287950114" w:history="1">
        <w:bookmarkStart w:id="47" w:name="_Toc325725928"/>
        <w:r w:rsidR="00CB2C05" w:rsidRPr="00151875">
          <w:t xml:space="preserve"> </w:t>
        </w:r>
        <w:bookmarkStart w:id="48" w:name="_Toc335820971"/>
        <w:bookmarkStart w:id="49" w:name="_Toc343006830"/>
        <w:r w:rsidR="00CB2C05" w:rsidRPr="00151875">
          <w:t xml:space="preserve">Key Population and </w:t>
        </w:r>
        <w:r w:rsidR="00DF5574" w:rsidRPr="00151875">
          <w:t>Socio-Economic Trends</w:t>
        </w:r>
        <w:bookmarkEnd w:id="47"/>
        <w:bookmarkEnd w:id="48"/>
        <w:bookmarkEnd w:id="49"/>
      </w:hyperlink>
    </w:p>
    <w:p w:rsidR="00CA6B20" w:rsidRPr="00CA6B20" w:rsidRDefault="00CA6B20" w:rsidP="00CA6B20">
      <w:pPr>
        <w:spacing w:after="98" w:line="284" w:lineRule="atLeast"/>
        <w:rPr>
          <w:rFonts w:ascii="Arial" w:hAnsi="Arial" w:cs="Arial"/>
          <w:noProof/>
          <w:sz w:val="22"/>
          <w:szCs w:val="22"/>
        </w:rPr>
      </w:pPr>
      <w:r w:rsidRPr="00CA6B20">
        <w:rPr>
          <w:rFonts w:ascii="Arial" w:hAnsi="Arial" w:cs="Arial"/>
          <w:noProof/>
          <w:sz w:val="22"/>
          <w:szCs w:val="22"/>
        </w:rPr>
        <w:t>The current official population of the City of Greater Shepparton as of the 30th June 2011</w:t>
      </w:r>
      <w:r w:rsidR="00810DC0" w:rsidRPr="00810DC0">
        <w:rPr>
          <w:rFonts w:ascii="Arial" w:hAnsi="Arial" w:cs="Arial"/>
          <w:noProof/>
          <w:sz w:val="22"/>
          <w:szCs w:val="22"/>
        </w:rPr>
        <w:t xml:space="preserve"> </w:t>
      </w:r>
      <w:r w:rsidR="00810DC0" w:rsidRPr="00CA6B20">
        <w:rPr>
          <w:rFonts w:ascii="Arial" w:hAnsi="Arial" w:cs="Arial"/>
          <w:noProof/>
          <w:sz w:val="22"/>
          <w:szCs w:val="22"/>
        </w:rPr>
        <w:t>is 61,737</w:t>
      </w:r>
      <w:r w:rsidRPr="00CA6B20">
        <w:rPr>
          <w:rFonts w:ascii="Arial" w:hAnsi="Arial" w:cs="Arial"/>
          <w:noProof/>
          <w:sz w:val="22"/>
          <w:szCs w:val="22"/>
        </w:rPr>
        <w:t>.</w:t>
      </w:r>
      <w:r w:rsidR="009C7171">
        <w:rPr>
          <w:rFonts w:ascii="Arial" w:hAnsi="Arial" w:cs="Arial"/>
          <w:noProof/>
          <w:sz w:val="22"/>
          <w:szCs w:val="22"/>
        </w:rPr>
        <w:t xml:space="preserve"> </w:t>
      </w:r>
      <w:r w:rsidR="003E5A06">
        <w:rPr>
          <w:rFonts w:ascii="Arial" w:hAnsi="Arial" w:cs="Arial"/>
          <w:noProof/>
          <w:sz w:val="22"/>
          <w:szCs w:val="22"/>
        </w:rPr>
        <w:t>Grea</w:t>
      </w:r>
      <w:r w:rsidR="000E3557">
        <w:rPr>
          <w:rFonts w:ascii="Arial" w:hAnsi="Arial" w:cs="Arial"/>
          <w:noProof/>
          <w:sz w:val="22"/>
          <w:szCs w:val="22"/>
        </w:rPr>
        <w:t>t</w:t>
      </w:r>
      <w:r w:rsidR="003E5A06">
        <w:rPr>
          <w:rFonts w:ascii="Arial" w:hAnsi="Arial" w:cs="Arial"/>
          <w:noProof/>
          <w:sz w:val="22"/>
          <w:szCs w:val="22"/>
        </w:rPr>
        <w:t>er Shepparton</w:t>
      </w:r>
      <w:r w:rsidR="009C7171">
        <w:rPr>
          <w:rFonts w:ascii="Arial" w:hAnsi="Arial" w:cs="Arial"/>
          <w:noProof/>
          <w:sz w:val="22"/>
          <w:szCs w:val="22"/>
        </w:rPr>
        <w:t xml:space="preserve"> has grown by 354 people since</w:t>
      </w:r>
      <w:r w:rsidR="008802B1">
        <w:rPr>
          <w:rFonts w:ascii="Arial" w:hAnsi="Arial" w:cs="Arial"/>
          <w:noProof/>
          <w:sz w:val="22"/>
          <w:szCs w:val="22"/>
        </w:rPr>
        <w:t xml:space="preserve"> the original report in</w:t>
      </w:r>
      <w:r w:rsidR="009C7171">
        <w:rPr>
          <w:rFonts w:ascii="Arial" w:hAnsi="Arial" w:cs="Arial"/>
          <w:noProof/>
          <w:sz w:val="22"/>
          <w:szCs w:val="22"/>
        </w:rPr>
        <w:t xml:space="preserve"> 2008.</w:t>
      </w:r>
    </w:p>
    <w:p w:rsidR="004904CA" w:rsidRPr="004904CA" w:rsidRDefault="004904CA" w:rsidP="004904CA"/>
    <w:p w:rsidR="004904CA" w:rsidRDefault="004904CA" w:rsidP="004904CA">
      <w:pPr>
        <w:shd w:val="clear" w:color="auto" w:fill="FFFFFF"/>
        <w:spacing w:line="327" w:lineRule="atLeast"/>
        <w:rPr>
          <w:rFonts w:ascii="Helvetica" w:hAnsi="Helvetica"/>
          <w:vanish/>
          <w:color w:val="BF1E2D"/>
          <w:sz w:val="25"/>
          <w:szCs w:val="25"/>
        </w:rPr>
      </w:pPr>
      <w:r>
        <w:rPr>
          <w:rFonts w:ascii="Helvetica" w:hAnsi="Helvetica"/>
          <w:vanish/>
          <w:color w:val="BF1E2D"/>
          <w:sz w:val="25"/>
          <w:szCs w:val="25"/>
        </w:rPr>
        <w:t>Five year age structure, 2011</w:t>
      </w:r>
    </w:p>
    <w:p w:rsidR="00CB2C05" w:rsidRPr="00693E70" w:rsidRDefault="004904CA" w:rsidP="004904CA">
      <w:pPr>
        <w:rPr>
          <w:rFonts w:ascii="Arial" w:hAnsi="Arial" w:cs="Arial"/>
          <w:sz w:val="22"/>
          <w:szCs w:val="22"/>
        </w:rPr>
      </w:pPr>
      <w:r>
        <w:rPr>
          <w:rFonts w:ascii="Helvetica" w:hAnsi="Helvetica"/>
          <w:noProof/>
          <w:color w:val="5F6062"/>
          <w:sz w:val="15"/>
          <w:szCs w:val="15"/>
          <w:lang w:eastAsia="en-AU"/>
        </w:rPr>
        <w:drawing>
          <wp:inline distT="0" distB="0" distL="0" distR="0">
            <wp:extent cx="5640532" cy="3355342"/>
            <wp:effectExtent l="19050" t="0" r="0" b="0"/>
            <wp:docPr id="1" name="Picture 1" descr="Five year age stru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year age structure, 2011"/>
                    <pic:cNvPicPr>
                      <a:picLocks noChangeAspect="1" noChangeArrowheads="1"/>
                    </pic:cNvPicPr>
                  </pic:nvPicPr>
                  <pic:blipFill>
                    <a:blip r:embed="rId9" cstate="print"/>
                    <a:srcRect/>
                    <a:stretch>
                      <a:fillRect/>
                    </a:stretch>
                  </pic:blipFill>
                  <pic:spPr bwMode="auto">
                    <a:xfrm>
                      <a:off x="0" y="0"/>
                      <a:ext cx="5643314" cy="3356997"/>
                    </a:xfrm>
                    <a:prstGeom prst="rect">
                      <a:avLst/>
                    </a:prstGeom>
                    <a:noFill/>
                    <a:ln w="9525">
                      <a:noFill/>
                      <a:miter lim="800000"/>
                      <a:headEnd/>
                      <a:tailEnd/>
                    </a:ln>
                  </pic:spPr>
                </pic:pic>
              </a:graphicData>
            </a:graphic>
          </wp:inline>
        </w:drawing>
      </w:r>
    </w:p>
    <w:p w:rsidR="00244E5E" w:rsidRDefault="00244E5E" w:rsidP="00244E5E">
      <w:pPr>
        <w:pStyle w:val="NormalWeb"/>
        <w:spacing w:line="196" w:lineRule="atLeast"/>
        <w:rPr>
          <w:rFonts w:ascii="Arial" w:hAnsi="Arial" w:cs="Arial"/>
          <w:noProof/>
          <w:color w:val="auto"/>
          <w:sz w:val="22"/>
          <w:szCs w:val="22"/>
          <w:lang w:eastAsia="en-US"/>
        </w:rPr>
      </w:pPr>
      <w:bookmarkStart w:id="50" w:name="_Toc325725929"/>
    </w:p>
    <w:p w:rsidR="00244E5E" w:rsidRPr="00244E5E" w:rsidRDefault="00244E5E" w:rsidP="00244E5E">
      <w:pPr>
        <w:pStyle w:val="NormalWeb"/>
        <w:spacing w:line="196" w:lineRule="atLeast"/>
        <w:rPr>
          <w:rFonts w:ascii="Arial" w:hAnsi="Arial" w:cs="Arial"/>
          <w:b/>
          <w:noProof/>
          <w:color w:val="auto"/>
          <w:sz w:val="22"/>
          <w:szCs w:val="22"/>
          <w:lang w:eastAsia="en-US"/>
        </w:rPr>
      </w:pPr>
      <w:r w:rsidRPr="00244E5E">
        <w:rPr>
          <w:rFonts w:ascii="Arial" w:hAnsi="Arial" w:cs="Arial"/>
          <w:b/>
          <w:noProof/>
          <w:color w:val="auto"/>
          <w:sz w:val="22"/>
          <w:szCs w:val="22"/>
          <w:lang w:eastAsia="en-US"/>
        </w:rPr>
        <w:t>Dominant Groups</w:t>
      </w:r>
    </w:p>
    <w:p w:rsidR="00244E5E" w:rsidRPr="00244E5E" w:rsidRDefault="00244E5E" w:rsidP="00244E5E">
      <w:pPr>
        <w:pStyle w:val="NormalWeb"/>
        <w:spacing w:line="196" w:lineRule="atLeast"/>
        <w:rPr>
          <w:rFonts w:ascii="Arial" w:hAnsi="Arial" w:cs="Arial"/>
          <w:noProof/>
          <w:color w:val="auto"/>
          <w:sz w:val="22"/>
          <w:szCs w:val="22"/>
          <w:lang w:eastAsia="en-US"/>
        </w:rPr>
      </w:pPr>
      <w:r w:rsidRPr="00244E5E">
        <w:rPr>
          <w:rFonts w:ascii="Arial" w:hAnsi="Arial" w:cs="Arial"/>
          <w:noProof/>
          <w:color w:val="auto"/>
          <w:sz w:val="22"/>
          <w:szCs w:val="22"/>
          <w:lang w:eastAsia="en-US"/>
        </w:rPr>
        <w:t>Analysis of the five year age groups of the City of Greater Shepparton in 2011 compared to Regional VIC shows that there was a higher proportion of people in the younger age groups (under 15) and a lower proportion of people in the older age groups (65+).</w:t>
      </w:r>
    </w:p>
    <w:p w:rsidR="00244E5E" w:rsidRPr="00244E5E" w:rsidRDefault="00244E5E" w:rsidP="00244E5E">
      <w:pPr>
        <w:pStyle w:val="NormalWeb"/>
        <w:spacing w:line="196" w:lineRule="atLeast"/>
        <w:rPr>
          <w:rFonts w:ascii="Arial" w:hAnsi="Arial" w:cs="Arial"/>
          <w:noProof/>
          <w:color w:val="auto"/>
          <w:sz w:val="22"/>
          <w:szCs w:val="22"/>
          <w:lang w:eastAsia="en-US"/>
        </w:rPr>
      </w:pPr>
      <w:r w:rsidRPr="00244E5E">
        <w:rPr>
          <w:rFonts w:ascii="Arial" w:hAnsi="Arial" w:cs="Arial"/>
          <w:noProof/>
          <w:color w:val="auto"/>
          <w:sz w:val="22"/>
          <w:szCs w:val="22"/>
          <w:lang w:eastAsia="en-US"/>
        </w:rPr>
        <w:t>Overall, 21.4% of the population was aged between 0 and 15, and 14.8% were aged 65 years and over, compared with 19.2% and 17.6% respectively for Regional VIC.</w:t>
      </w:r>
    </w:p>
    <w:p w:rsidR="00244E5E" w:rsidRPr="00244E5E" w:rsidRDefault="00244E5E" w:rsidP="00244E5E">
      <w:pPr>
        <w:spacing w:after="98" w:line="196" w:lineRule="atLeast"/>
        <w:rPr>
          <w:rFonts w:ascii="Arial" w:hAnsi="Arial" w:cs="Arial"/>
          <w:noProof/>
          <w:sz w:val="22"/>
          <w:szCs w:val="22"/>
        </w:rPr>
      </w:pPr>
      <w:r w:rsidRPr="00244E5E">
        <w:rPr>
          <w:rFonts w:ascii="Arial" w:hAnsi="Arial" w:cs="Arial"/>
          <w:noProof/>
          <w:sz w:val="22"/>
          <w:szCs w:val="22"/>
        </w:rPr>
        <w:t>The major differences between the age structure of the City of Greater Shepparton and Regional VIC were:</w:t>
      </w:r>
    </w:p>
    <w:p w:rsidR="00244E5E" w:rsidRPr="00244E5E" w:rsidRDefault="00244E5E" w:rsidP="00244E5E">
      <w:pPr>
        <w:numPr>
          <w:ilvl w:val="0"/>
          <w:numId w:val="21"/>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 xml:space="preserve">A </w:t>
      </w:r>
      <w:r w:rsidRPr="00244E5E">
        <w:rPr>
          <w:rFonts w:ascii="Arial" w:hAnsi="Arial" w:cs="Arial"/>
          <w:i/>
          <w:iCs/>
          <w:noProof/>
          <w:sz w:val="22"/>
          <w:szCs w:val="22"/>
        </w:rPr>
        <w:t>larger</w:t>
      </w:r>
      <w:r w:rsidRPr="00244E5E">
        <w:rPr>
          <w:rFonts w:ascii="Arial" w:hAnsi="Arial" w:cs="Arial"/>
          <w:noProof/>
          <w:sz w:val="22"/>
          <w:szCs w:val="22"/>
        </w:rPr>
        <w:t xml:space="preserve"> percentage of persons aged 10 to 14 (7.6% compared to 6.7%)</w:t>
      </w:r>
    </w:p>
    <w:p w:rsidR="00244E5E" w:rsidRPr="00244E5E" w:rsidRDefault="00244E5E" w:rsidP="00244E5E">
      <w:pPr>
        <w:numPr>
          <w:ilvl w:val="0"/>
          <w:numId w:val="21"/>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 xml:space="preserve">A </w:t>
      </w:r>
      <w:r w:rsidRPr="00244E5E">
        <w:rPr>
          <w:rFonts w:ascii="Arial" w:hAnsi="Arial" w:cs="Arial"/>
          <w:i/>
          <w:iCs/>
          <w:noProof/>
          <w:sz w:val="22"/>
          <w:szCs w:val="22"/>
        </w:rPr>
        <w:t>larger</w:t>
      </w:r>
      <w:r w:rsidRPr="00244E5E">
        <w:rPr>
          <w:rFonts w:ascii="Arial" w:hAnsi="Arial" w:cs="Arial"/>
          <w:noProof/>
          <w:sz w:val="22"/>
          <w:szCs w:val="22"/>
        </w:rPr>
        <w:t xml:space="preserve"> percentage of persons aged 0 to 4 (7.1% compared to 6.3%)</w:t>
      </w:r>
    </w:p>
    <w:p w:rsidR="00244E5E" w:rsidRPr="00244E5E" w:rsidRDefault="00244E5E" w:rsidP="00244E5E">
      <w:pPr>
        <w:numPr>
          <w:ilvl w:val="0"/>
          <w:numId w:val="21"/>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 xml:space="preserve">A </w:t>
      </w:r>
      <w:r w:rsidRPr="00244E5E">
        <w:rPr>
          <w:rFonts w:ascii="Arial" w:hAnsi="Arial" w:cs="Arial"/>
          <w:i/>
          <w:iCs/>
          <w:noProof/>
          <w:sz w:val="22"/>
          <w:szCs w:val="22"/>
        </w:rPr>
        <w:t>larger</w:t>
      </w:r>
      <w:r w:rsidRPr="00244E5E">
        <w:rPr>
          <w:rFonts w:ascii="Arial" w:hAnsi="Arial" w:cs="Arial"/>
          <w:noProof/>
          <w:sz w:val="22"/>
          <w:szCs w:val="22"/>
        </w:rPr>
        <w:t xml:space="preserve"> percentage of persons aged 25 to 29 (5.9% compared to 5.2%)</w:t>
      </w:r>
    </w:p>
    <w:p w:rsidR="00244E5E" w:rsidRDefault="00244E5E" w:rsidP="00244E5E">
      <w:pPr>
        <w:numPr>
          <w:ilvl w:val="0"/>
          <w:numId w:val="21"/>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 xml:space="preserve">A </w:t>
      </w:r>
      <w:r w:rsidRPr="00244E5E">
        <w:rPr>
          <w:rFonts w:ascii="Arial" w:hAnsi="Arial" w:cs="Arial"/>
          <w:i/>
          <w:iCs/>
          <w:noProof/>
          <w:sz w:val="22"/>
          <w:szCs w:val="22"/>
        </w:rPr>
        <w:t>larger</w:t>
      </w:r>
      <w:r w:rsidRPr="00244E5E">
        <w:rPr>
          <w:rFonts w:ascii="Arial" w:hAnsi="Arial" w:cs="Arial"/>
          <w:noProof/>
          <w:sz w:val="22"/>
          <w:szCs w:val="22"/>
        </w:rPr>
        <w:t xml:space="preserve"> percentage of persons aged 30 to 34 (5.8% compared to 5.2%)</w:t>
      </w:r>
    </w:p>
    <w:p w:rsidR="00C3618C" w:rsidRDefault="00C3618C" w:rsidP="00C3618C">
      <w:pPr>
        <w:spacing w:before="100" w:beforeAutospacing="1" w:after="100" w:afterAutospacing="1" w:line="196" w:lineRule="atLeast"/>
        <w:ind w:left="-185"/>
        <w:rPr>
          <w:rFonts w:ascii="Arial" w:hAnsi="Arial" w:cs="Arial"/>
          <w:noProof/>
          <w:sz w:val="22"/>
          <w:szCs w:val="22"/>
        </w:rPr>
      </w:pPr>
      <w:r>
        <w:rPr>
          <w:rFonts w:ascii="Arial" w:hAnsi="Arial" w:cs="Arial"/>
          <w:noProof/>
          <w:sz w:val="22"/>
          <w:szCs w:val="22"/>
        </w:rPr>
        <w:t>This data shows that Gretaer Shepparton generally has a younger population than regional Victoria, ages 0 -25, and it is therefore important to put emphaisis on development of approprtiate community facilities to support early childhood development. Further, Gretaer Shepparton has a greater amount of people in child bearing age</w:t>
      </w:r>
      <w:r w:rsidR="00955919">
        <w:rPr>
          <w:rFonts w:ascii="Arial" w:hAnsi="Arial" w:cs="Arial"/>
          <w:noProof/>
          <w:sz w:val="22"/>
          <w:szCs w:val="22"/>
        </w:rPr>
        <w:t xml:space="preserve"> than regional Victoria, hence the trend of higher numbers of babies being born </w:t>
      </w:r>
      <w:r>
        <w:rPr>
          <w:rFonts w:ascii="Arial" w:hAnsi="Arial" w:cs="Arial"/>
          <w:noProof/>
          <w:sz w:val="22"/>
          <w:szCs w:val="22"/>
        </w:rPr>
        <w:t>is likely to continue into the future.</w:t>
      </w:r>
    </w:p>
    <w:p w:rsidR="00244E5E" w:rsidRDefault="00244E5E" w:rsidP="00244E5E">
      <w:pPr>
        <w:spacing w:before="100" w:beforeAutospacing="1" w:after="100" w:afterAutospacing="1" w:line="196" w:lineRule="atLeast"/>
        <w:rPr>
          <w:rFonts w:ascii="Arial" w:hAnsi="Arial" w:cs="Arial"/>
          <w:b/>
          <w:noProof/>
          <w:sz w:val="22"/>
          <w:szCs w:val="22"/>
        </w:rPr>
      </w:pPr>
      <w:r w:rsidRPr="00244E5E">
        <w:rPr>
          <w:rFonts w:ascii="Arial" w:hAnsi="Arial" w:cs="Arial"/>
          <w:b/>
          <w:noProof/>
          <w:sz w:val="22"/>
          <w:szCs w:val="22"/>
        </w:rPr>
        <w:t>Emerging Groups</w:t>
      </w:r>
    </w:p>
    <w:p w:rsidR="00244E5E" w:rsidRPr="00244E5E" w:rsidRDefault="00244E5E" w:rsidP="00244E5E">
      <w:pPr>
        <w:spacing w:before="100" w:beforeAutospacing="1" w:after="100" w:afterAutospacing="1" w:line="196" w:lineRule="atLeast"/>
        <w:rPr>
          <w:rFonts w:ascii="Arial" w:hAnsi="Arial" w:cs="Arial"/>
          <w:noProof/>
          <w:sz w:val="22"/>
          <w:szCs w:val="22"/>
        </w:rPr>
      </w:pPr>
      <w:r w:rsidRPr="00244E5E">
        <w:rPr>
          <w:rFonts w:ascii="Arial" w:hAnsi="Arial" w:cs="Arial"/>
          <w:noProof/>
          <w:sz w:val="22"/>
          <w:szCs w:val="22"/>
        </w:rPr>
        <w:lastRenderedPageBreak/>
        <w:t xml:space="preserve">From 2006 to 2011, City of Greater Shepparton's population increased by 3,354 people (5.9%). This represents an average annual population change of 1.15% per year over the period. </w:t>
      </w:r>
    </w:p>
    <w:p w:rsidR="00244E5E" w:rsidRPr="00244E5E" w:rsidRDefault="00244E5E" w:rsidP="00244E5E">
      <w:pPr>
        <w:spacing w:after="98" w:line="196" w:lineRule="atLeast"/>
        <w:rPr>
          <w:rFonts w:ascii="Arial" w:hAnsi="Arial" w:cs="Arial"/>
          <w:noProof/>
          <w:sz w:val="22"/>
          <w:szCs w:val="22"/>
        </w:rPr>
      </w:pPr>
      <w:r w:rsidRPr="00244E5E">
        <w:rPr>
          <w:rFonts w:ascii="Arial" w:hAnsi="Arial" w:cs="Arial"/>
          <w:noProof/>
          <w:sz w:val="22"/>
          <w:szCs w:val="22"/>
        </w:rPr>
        <w:t xml:space="preserve">The largest changes in age structure in this area between 2006 and 2011 were in the age groups: </w:t>
      </w:r>
    </w:p>
    <w:p w:rsidR="00244E5E" w:rsidRPr="00244E5E" w:rsidRDefault="00244E5E" w:rsidP="00244E5E">
      <w:pPr>
        <w:numPr>
          <w:ilvl w:val="0"/>
          <w:numId w:val="22"/>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60 to 64 (+731 persons)</w:t>
      </w:r>
    </w:p>
    <w:p w:rsidR="00244E5E" w:rsidRPr="00244E5E" w:rsidRDefault="00244E5E" w:rsidP="00244E5E">
      <w:pPr>
        <w:numPr>
          <w:ilvl w:val="0"/>
          <w:numId w:val="22"/>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0 to 4 (+537 persons)</w:t>
      </w:r>
    </w:p>
    <w:p w:rsidR="00244E5E" w:rsidRPr="00244E5E" w:rsidRDefault="00244E5E" w:rsidP="00244E5E">
      <w:pPr>
        <w:numPr>
          <w:ilvl w:val="0"/>
          <w:numId w:val="22"/>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25 to 29 (+368 persons)</w:t>
      </w:r>
    </w:p>
    <w:p w:rsidR="00244E5E" w:rsidRPr="00244E5E" w:rsidRDefault="00244E5E" w:rsidP="00244E5E">
      <w:pPr>
        <w:numPr>
          <w:ilvl w:val="0"/>
          <w:numId w:val="22"/>
        </w:numPr>
        <w:spacing w:before="100" w:beforeAutospacing="1" w:after="100" w:afterAutospacing="1" w:line="196" w:lineRule="atLeast"/>
        <w:ind w:left="175"/>
        <w:rPr>
          <w:rFonts w:ascii="Arial" w:hAnsi="Arial" w:cs="Arial"/>
          <w:noProof/>
          <w:sz w:val="22"/>
          <w:szCs w:val="22"/>
        </w:rPr>
      </w:pPr>
      <w:r w:rsidRPr="00244E5E">
        <w:rPr>
          <w:rFonts w:ascii="Arial" w:hAnsi="Arial" w:cs="Arial"/>
          <w:noProof/>
          <w:sz w:val="22"/>
          <w:szCs w:val="22"/>
        </w:rPr>
        <w:t>65 to 69 (+366 persons)</w:t>
      </w:r>
    </w:p>
    <w:p w:rsidR="00A56394" w:rsidRDefault="002B7CA5">
      <w:pPr>
        <w:spacing w:after="200" w:line="276" w:lineRule="auto"/>
        <w:rPr>
          <w:rFonts w:ascii="Arial" w:hAnsi="Arial" w:cs="Arial"/>
          <w:sz w:val="16"/>
          <w:szCs w:val="16"/>
        </w:rPr>
      </w:pPr>
      <w:r>
        <w:rPr>
          <w:rFonts w:ascii="Arial" w:hAnsi="Arial" w:cs="Arial"/>
          <w:sz w:val="16"/>
          <w:szCs w:val="16"/>
        </w:rPr>
        <w:t>(</w:t>
      </w:r>
      <w:r w:rsidRPr="002B7CA5">
        <w:rPr>
          <w:rFonts w:ascii="Arial" w:hAnsi="Arial" w:cs="Arial"/>
          <w:sz w:val="16"/>
          <w:szCs w:val="16"/>
        </w:rPr>
        <w:t>Source: Australian Bureau of Statistics, Census of Population and Housing 2011 (usual residence data) Compiled and presented by id. the population experts.</w:t>
      </w:r>
      <w:r>
        <w:rPr>
          <w:rFonts w:ascii="Arial" w:hAnsi="Arial" w:cs="Arial"/>
          <w:sz w:val="16"/>
          <w:szCs w:val="16"/>
        </w:rPr>
        <w:t>)</w:t>
      </w:r>
    </w:p>
    <w:p w:rsidR="009C7171" w:rsidRDefault="005521A2">
      <w:pPr>
        <w:spacing w:after="200" w:line="276" w:lineRule="auto"/>
        <w:rPr>
          <w:rFonts w:ascii="Arial" w:hAnsi="Arial" w:cs="Arial"/>
          <w:sz w:val="16"/>
          <w:szCs w:val="16"/>
        </w:rPr>
      </w:pPr>
      <w:r>
        <w:rPr>
          <w:noProof/>
          <w:lang w:eastAsia="en-AU"/>
        </w:rPr>
        <w:drawing>
          <wp:inline distT="0" distB="0" distL="0" distR="0">
            <wp:extent cx="5731510" cy="3404834"/>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31510" cy="3404834"/>
                    </a:xfrm>
                    <a:prstGeom prst="rect">
                      <a:avLst/>
                    </a:prstGeom>
                    <a:noFill/>
                    <a:ln w="9525">
                      <a:noFill/>
                      <a:miter lim="800000"/>
                      <a:headEnd/>
                      <a:tailEnd/>
                    </a:ln>
                  </pic:spPr>
                </pic:pic>
              </a:graphicData>
            </a:graphic>
          </wp:inline>
        </w:drawing>
      </w:r>
    </w:p>
    <w:p w:rsidR="005521A2" w:rsidRDefault="005521A2" w:rsidP="00ED7DD7">
      <w:pPr>
        <w:pStyle w:val="NormalWeb"/>
        <w:spacing w:line="196" w:lineRule="atLeast"/>
        <w:rPr>
          <w:rFonts w:ascii="Arial" w:hAnsi="Arial" w:cs="Arial"/>
          <w:noProof/>
          <w:color w:val="auto"/>
          <w:sz w:val="22"/>
          <w:szCs w:val="22"/>
          <w:lang w:eastAsia="en-US"/>
        </w:rPr>
      </w:pPr>
      <w:r w:rsidRPr="005521A2">
        <w:rPr>
          <w:rFonts w:ascii="Arial" w:hAnsi="Arial" w:cs="Arial"/>
          <w:noProof/>
          <w:color w:val="auto"/>
          <w:sz w:val="22"/>
          <w:szCs w:val="22"/>
          <w:lang w:eastAsia="en-US"/>
        </w:rPr>
        <w:t>The size of households in general follows the life-cycle of families. Households are usually small at the stage of relationship formation (early marriage), and then increase in size with the advent of children.</w:t>
      </w:r>
    </w:p>
    <w:p w:rsidR="00ED7DD7" w:rsidRPr="00ED7DD7" w:rsidRDefault="00ED7DD7" w:rsidP="00ED7DD7">
      <w:pPr>
        <w:pStyle w:val="NormalWeb"/>
        <w:spacing w:line="196" w:lineRule="atLeast"/>
        <w:rPr>
          <w:rFonts w:ascii="Arial" w:hAnsi="Arial" w:cs="Arial"/>
          <w:noProof/>
          <w:color w:val="auto"/>
          <w:sz w:val="22"/>
          <w:szCs w:val="22"/>
          <w:lang w:eastAsia="en-US"/>
        </w:rPr>
      </w:pPr>
      <w:r w:rsidRPr="00ED7DD7">
        <w:rPr>
          <w:rFonts w:ascii="Arial" w:hAnsi="Arial" w:cs="Arial"/>
          <w:noProof/>
          <w:color w:val="auto"/>
          <w:sz w:val="22"/>
          <w:szCs w:val="22"/>
          <w:lang w:eastAsia="en-US"/>
        </w:rPr>
        <w:t xml:space="preserve">The number of households in City of Greater Shepparton increased by 1,449 between 2006 and 2011. </w:t>
      </w:r>
    </w:p>
    <w:p w:rsidR="00ED7DD7" w:rsidRPr="00ED7DD7" w:rsidRDefault="00ED7DD7" w:rsidP="00ED7DD7">
      <w:pPr>
        <w:spacing w:after="98" w:line="196" w:lineRule="atLeast"/>
        <w:rPr>
          <w:rFonts w:ascii="Arial" w:hAnsi="Arial" w:cs="Arial"/>
          <w:noProof/>
          <w:sz w:val="22"/>
          <w:szCs w:val="22"/>
        </w:rPr>
      </w:pPr>
      <w:r w:rsidRPr="00ED7DD7">
        <w:rPr>
          <w:rFonts w:ascii="Arial" w:hAnsi="Arial" w:cs="Arial"/>
          <w:noProof/>
          <w:sz w:val="22"/>
          <w:szCs w:val="22"/>
        </w:rPr>
        <w:t xml:space="preserve">The largest changes in the number of persons </w:t>
      </w:r>
      <w:r w:rsidR="00E33B18">
        <w:rPr>
          <w:rFonts w:ascii="Arial" w:hAnsi="Arial" w:cs="Arial"/>
          <w:noProof/>
          <w:sz w:val="22"/>
          <w:szCs w:val="22"/>
        </w:rPr>
        <w:t xml:space="preserve">that </w:t>
      </w:r>
      <w:r w:rsidRPr="00ED7DD7">
        <w:rPr>
          <w:rFonts w:ascii="Arial" w:hAnsi="Arial" w:cs="Arial"/>
          <w:noProof/>
          <w:sz w:val="22"/>
          <w:szCs w:val="22"/>
        </w:rPr>
        <w:t>usually resident in a household in the City of Greater Shepparton between 2006 and 2011 were:</w:t>
      </w:r>
    </w:p>
    <w:p w:rsidR="00ED7DD7" w:rsidRPr="00ED7DD7" w:rsidRDefault="00ED7DD7" w:rsidP="00ED7DD7">
      <w:pPr>
        <w:numPr>
          <w:ilvl w:val="0"/>
          <w:numId w:val="23"/>
        </w:numPr>
        <w:spacing w:before="100" w:beforeAutospacing="1" w:after="100" w:afterAutospacing="1" w:line="196" w:lineRule="atLeast"/>
        <w:ind w:left="175"/>
        <w:rPr>
          <w:rFonts w:ascii="Arial" w:hAnsi="Arial" w:cs="Arial"/>
          <w:noProof/>
          <w:sz w:val="22"/>
          <w:szCs w:val="22"/>
        </w:rPr>
      </w:pPr>
      <w:r w:rsidRPr="00ED7DD7">
        <w:rPr>
          <w:rFonts w:ascii="Arial" w:hAnsi="Arial" w:cs="Arial"/>
          <w:noProof/>
          <w:sz w:val="22"/>
          <w:szCs w:val="22"/>
        </w:rPr>
        <w:t>1 person (+781 households)</w:t>
      </w:r>
    </w:p>
    <w:p w:rsidR="00ED7DD7" w:rsidRPr="00ED7DD7" w:rsidRDefault="00ED7DD7" w:rsidP="00ED7DD7">
      <w:pPr>
        <w:numPr>
          <w:ilvl w:val="0"/>
          <w:numId w:val="23"/>
        </w:numPr>
        <w:spacing w:before="100" w:beforeAutospacing="1" w:after="100" w:afterAutospacing="1" w:line="196" w:lineRule="atLeast"/>
        <w:ind w:left="175"/>
        <w:rPr>
          <w:rFonts w:ascii="Arial" w:hAnsi="Arial" w:cs="Arial"/>
          <w:noProof/>
          <w:sz w:val="22"/>
          <w:szCs w:val="22"/>
        </w:rPr>
      </w:pPr>
      <w:r w:rsidRPr="00ED7DD7">
        <w:rPr>
          <w:rFonts w:ascii="Arial" w:hAnsi="Arial" w:cs="Arial"/>
          <w:noProof/>
          <w:sz w:val="22"/>
          <w:szCs w:val="22"/>
        </w:rPr>
        <w:t>2 persons (+440 households)</w:t>
      </w:r>
    </w:p>
    <w:p w:rsidR="00ED7DD7" w:rsidRPr="00ED7DD7" w:rsidRDefault="00ED7DD7" w:rsidP="00ED7DD7">
      <w:pPr>
        <w:numPr>
          <w:ilvl w:val="0"/>
          <w:numId w:val="23"/>
        </w:numPr>
        <w:spacing w:before="100" w:beforeAutospacing="1" w:after="100" w:afterAutospacing="1" w:line="196" w:lineRule="atLeast"/>
        <w:ind w:left="175"/>
        <w:rPr>
          <w:rFonts w:ascii="Arial" w:hAnsi="Arial" w:cs="Arial"/>
          <w:noProof/>
          <w:sz w:val="22"/>
          <w:szCs w:val="22"/>
        </w:rPr>
      </w:pPr>
      <w:r w:rsidRPr="00ED7DD7">
        <w:rPr>
          <w:rFonts w:ascii="Arial" w:hAnsi="Arial" w:cs="Arial"/>
          <w:noProof/>
          <w:sz w:val="22"/>
          <w:szCs w:val="22"/>
        </w:rPr>
        <w:t>3 persons (+144 households)</w:t>
      </w:r>
    </w:p>
    <w:p w:rsidR="00ED7DD7" w:rsidRDefault="00ED7DD7" w:rsidP="00ED7DD7">
      <w:pPr>
        <w:numPr>
          <w:ilvl w:val="0"/>
          <w:numId w:val="23"/>
        </w:numPr>
        <w:spacing w:before="100" w:beforeAutospacing="1" w:after="100" w:afterAutospacing="1" w:line="196" w:lineRule="atLeast"/>
        <w:ind w:left="175"/>
        <w:rPr>
          <w:rFonts w:ascii="Arial" w:hAnsi="Arial" w:cs="Arial"/>
          <w:noProof/>
          <w:sz w:val="22"/>
          <w:szCs w:val="22"/>
        </w:rPr>
      </w:pPr>
      <w:r w:rsidRPr="00ED7DD7">
        <w:rPr>
          <w:rFonts w:ascii="Arial" w:hAnsi="Arial" w:cs="Arial"/>
          <w:noProof/>
          <w:sz w:val="22"/>
          <w:szCs w:val="22"/>
        </w:rPr>
        <w:t>6 or more persons (+139 households)</w:t>
      </w:r>
    </w:p>
    <w:p w:rsidR="005521A2" w:rsidRDefault="00DC279C" w:rsidP="005521A2">
      <w:pPr>
        <w:spacing w:before="100" w:beforeAutospacing="1" w:after="100" w:afterAutospacing="1" w:line="196" w:lineRule="atLeast"/>
        <w:ind w:left="-185"/>
        <w:rPr>
          <w:rFonts w:ascii="Arial" w:hAnsi="Arial" w:cs="Arial"/>
          <w:noProof/>
          <w:sz w:val="22"/>
          <w:szCs w:val="22"/>
        </w:rPr>
      </w:pPr>
      <w:r>
        <w:rPr>
          <w:rFonts w:ascii="Arial" w:hAnsi="Arial" w:cs="Arial"/>
          <w:noProof/>
          <w:sz w:val="22"/>
          <w:szCs w:val="22"/>
        </w:rPr>
        <w:t xml:space="preserve">Greater Shepparton has more families with children and less lone persons households than regional Victoria in average. However, data also shows that single parent households has increased. This justifies the need for greater flexibility and choice in housing avilability and </w:t>
      </w:r>
      <w:r>
        <w:rPr>
          <w:rFonts w:ascii="Arial" w:hAnsi="Arial" w:cs="Arial"/>
          <w:noProof/>
          <w:sz w:val="22"/>
          <w:szCs w:val="22"/>
        </w:rPr>
        <w:lastRenderedPageBreak/>
        <w:t xml:space="preserve">tenure type as well as provision of affordable housing to cater for both families, sinlge parents and single person households. </w:t>
      </w:r>
    </w:p>
    <w:p w:rsidR="00DF5574" w:rsidRPr="003758F4" w:rsidRDefault="004B587B" w:rsidP="00151875">
      <w:pPr>
        <w:pStyle w:val="Heading3"/>
      </w:pPr>
      <w:bookmarkStart w:id="51" w:name="_Toc343006831"/>
      <w:bookmarkStart w:id="52" w:name="_Toc335820972"/>
      <w:r w:rsidRPr="003758F4">
        <w:t xml:space="preserve">Greater Shepparton </w:t>
      </w:r>
      <w:r w:rsidR="00FD30BE">
        <w:t>Population Projections</w:t>
      </w:r>
      <w:bookmarkEnd w:id="51"/>
      <w:r w:rsidR="00FD30BE">
        <w:t xml:space="preserve"> </w:t>
      </w:r>
      <w:bookmarkEnd w:id="50"/>
      <w:bookmarkEnd w:id="52"/>
    </w:p>
    <w:p w:rsidR="00A02F57" w:rsidRPr="00693E70" w:rsidRDefault="00A02F57" w:rsidP="00DF5574">
      <w:pPr>
        <w:rPr>
          <w:rFonts w:ascii="Arial" w:hAnsi="Arial" w:cs="Arial"/>
          <w:b/>
          <w:sz w:val="22"/>
          <w:szCs w:val="22"/>
        </w:rPr>
      </w:pPr>
    </w:p>
    <w:tbl>
      <w:tblPr>
        <w:tblpPr w:leftFromText="180" w:rightFromText="180" w:vertAnchor="page" w:horzAnchor="margin" w:tblpY="3296"/>
        <w:tblW w:w="8560" w:type="dxa"/>
        <w:tblBorders>
          <w:top w:val="single" w:sz="2" w:space="0" w:color="E5E5E5"/>
          <w:left w:val="single" w:sz="4" w:space="0" w:color="E5E5E5"/>
          <w:bottom w:val="single" w:sz="4" w:space="0" w:color="CCCCCC"/>
          <w:right w:val="single" w:sz="2" w:space="0" w:color="E5E5E5"/>
        </w:tblBorders>
        <w:tblCellMar>
          <w:top w:w="15" w:type="dxa"/>
          <w:left w:w="15" w:type="dxa"/>
          <w:bottom w:w="15" w:type="dxa"/>
          <w:right w:w="15" w:type="dxa"/>
        </w:tblCellMar>
        <w:tblLook w:val="04A0"/>
      </w:tblPr>
      <w:tblGrid>
        <w:gridCol w:w="1615"/>
        <w:gridCol w:w="999"/>
        <w:gridCol w:w="1212"/>
        <w:gridCol w:w="1211"/>
        <w:gridCol w:w="1212"/>
        <w:gridCol w:w="1212"/>
        <w:gridCol w:w="1099"/>
      </w:tblGrid>
      <w:tr w:rsidR="00D24C79" w:rsidRPr="00D24C79" w:rsidTr="00DC279C">
        <w:trPr>
          <w:trHeight w:val="330"/>
          <w:tblHeader/>
        </w:trPr>
        <w:tc>
          <w:tcPr>
            <w:tcW w:w="1615" w:type="dxa"/>
            <w:tcBorders>
              <w:top w:val="single" w:sz="4" w:space="0" w:color="666666"/>
              <w:left w:val="nil"/>
              <w:bottom w:val="nil"/>
              <w:right w:val="nil"/>
            </w:tcBorders>
            <w:shd w:val="clear" w:color="auto" w:fill="0B4664"/>
            <w:tcMar>
              <w:top w:w="55" w:type="dxa"/>
              <w:left w:w="55" w:type="dxa"/>
              <w:bottom w:w="55" w:type="dxa"/>
              <w:right w:w="55" w:type="dxa"/>
            </w:tcMar>
            <w:vAlign w:val="center"/>
            <w:hideMark/>
          </w:tcPr>
          <w:p w:rsidR="00D24C79" w:rsidRPr="00D24C79" w:rsidRDefault="00D24C79" w:rsidP="00DC279C">
            <w:pPr>
              <w:spacing w:before="33" w:after="109"/>
              <w:rPr>
                <w:rFonts w:ascii="Verdana" w:hAnsi="Verdana"/>
                <w:b/>
                <w:bCs/>
                <w:color w:val="FFFFFF"/>
                <w:sz w:val="17"/>
                <w:szCs w:val="17"/>
                <w:lang w:eastAsia="en-AU"/>
              </w:rPr>
            </w:pPr>
            <w:bookmarkStart w:id="53" w:name="_Toc325725930"/>
            <w:r w:rsidRPr="00D24C79">
              <w:rPr>
                <w:rFonts w:ascii="Verdana" w:hAnsi="Verdana"/>
                <w:b/>
                <w:bCs/>
                <w:color w:val="FFFFFF"/>
                <w:sz w:val="17"/>
                <w:szCs w:val="17"/>
                <w:lang w:eastAsia="en-AU"/>
              </w:rPr>
              <w:t>City of Greater Shepparton</w:t>
            </w:r>
          </w:p>
        </w:tc>
        <w:tc>
          <w:tcPr>
            <w:tcW w:w="6945" w:type="dxa"/>
            <w:gridSpan w:val="6"/>
            <w:shd w:val="clear" w:color="auto" w:fill="0B4664"/>
            <w:tcMar>
              <w:top w:w="33" w:type="dxa"/>
              <w:left w:w="109" w:type="dxa"/>
              <w:bottom w:w="33" w:type="dxa"/>
              <w:right w:w="109" w:type="dxa"/>
            </w:tcMar>
            <w:vAlign w:val="center"/>
            <w:hideMark/>
          </w:tcPr>
          <w:p w:rsidR="00D24C79" w:rsidRPr="00D24C79" w:rsidRDefault="00D24C79" w:rsidP="00DC279C">
            <w:pPr>
              <w:spacing w:before="33" w:after="109"/>
              <w:rPr>
                <w:rFonts w:ascii="Verdana" w:hAnsi="Verdana"/>
                <w:b/>
                <w:bCs/>
                <w:color w:val="FFFFFF"/>
                <w:sz w:val="17"/>
                <w:szCs w:val="17"/>
                <w:lang w:eastAsia="en-AU"/>
              </w:rPr>
            </w:pPr>
            <w:r w:rsidRPr="00D24C79">
              <w:rPr>
                <w:rFonts w:ascii="Verdana" w:hAnsi="Verdana"/>
                <w:b/>
                <w:bCs/>
                <w:color w:val="FFFFFF"/>
                <w:sz w:val="17"/>
                <w:szCs w:val="17"/>
                <w:lang w:eastAsia="en-AU"/>
              </w:rPr>
              <w:t>Forecast year</w:t>
            </w:r>
          </w:p>
        </w:tc>
      </w:tr>
      <w:tr w:rsidR="00FD30BE" w:rsidRPr="00D24C79" w:rsidTr="00DC279C">
        <w:trPr>
          <w:trHeight w:val="118"/>
          <w:tblHeader/>
        </w:trPr>
        <w:tc>
          <w:tcPr>
            <w:tcW w:w="1615" w:type="dxa"/>
            <w:tcBorders>
              <w:top w:val="single" w:sz="4" w:space="0" w:color="666666"/>
              <w:left w:val="nil"/>
              <w:bottom w:val="nil"/>
              <w:right w:val="nil"/>
            </w:tcBorders>
            <w:shd w:val="clear" w:color="auto" w:fill="0B4664"/>
            <w:vAlign w:val="center"/>
            <w:hideMark/>
          </w:tcPr>
          <w:p w:rsidR="00D24C79" w:rsidRPr="00D24C79" w:rsidRDefault="00D24C79" w:rsidP="00DC279C">
            <w:pPr>
              <w:rPr>
                <w:rFonts w:ascii="Verdana" w:hAnsi="Verdana"/>
                <w:b/>
                <w:bCs/>
                <w:color w:val="FFFFFF"/>
                <w:sz w:val="17"/>
                <w:szCs w:val="17"/>
                <w:lang w:eastAsia="en-AU"/>
              </w:rPr>
            </w:pPr>
          </w:p>
        </w:tc>
        <w:tc>
          <w:tcPr>
            <w:tcW w:w="999"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2006</w:t>
            </w:r>
          </w:p>
        </w:tc>
        <w:tc>
          <w:tcPr>
            <w:tcW w:w="1212"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2011</w:t>
            </w:r>
          </w:p>
        </w:tc>
        <w:tc>
          <w:tcPr>
            <w:tcW w:w="1211"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2016</w:t>
            </w:r>
          </w:p>
        </w:tc>
        <w:tc>
          <w:tcPr>
            <w:tcW w:w="1212"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2021</w:t>
            </w:r>
          </w:p>
        </w:tc>
        <w:tc>
          <w:tcPr>
            <w:tcW w:w="1212"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2026</w:t>
            </w:r>
          </w:p>
        </w:tc>
        <w:tc>
          <w:tcPr>
            <w:tcW w:w="1099" w:type="dxa"/>
            <w:shd w:val="clear" w:color="auto" w:fill="0B4664"/>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b/>
                <w:bCs/>
                <w:color w:val="FFFFFF"/>
                <w:sz w:val="17"/>
                <w:szCs w:val="17"/>
                <w:lang w:eastAsia="en-AU"/>
              </w:rPr>
            </w:pPr>
            <w:r w:rsidRPr="00D24C79">
              <w:rPr>
                <w:rFonts w:ascii="Verdana" w:hAnsi="Verdana"/>
                <w:b/>
                <w:bCs/>
                <w:color w:val="FFFFFF"/>
                <w:sz w:val="17"/>
                <w:szCs w:val="17"/>
                <w:lang w:eastAsia="en-AU"/>
              </w:rPr>
              <w:t>2031</w:t>
            </w:r>
          </w:p>
        </w:tc>
      </w:tr>
      <w:tr w:rsidR="00FD30BE" w:rsidRPr="00D24C79" w:rsidTr="00DC279C">
        <w:trPr>
          <w:trHeight w:val="286"/>
        </w:trPr>
        <w:tc>
          <w:tcPr>
            <w:tcW w:w="1615" w:type="dxa"/>
            <w:shd w:val="clear" w:color="auto" w:fill="E5E5E5"/>
            <w:tcMar>
              <w:top w:w="33" w:type="dxa"/>
              <w:left w:w="218" w:type="dxa"/>
              <w:bottom w:w="33" w:type="dxa"/>
              <w:right w:w="109" w:type="dxa"/>
            </w:tcMar>
            <w:vAlign w:val="center"/>
            <w:hideMark/>
          </w:tcPr>
          <w:p w:rsidR="00D24C79" w:rsidRPr="00D24C79" w:rsidRDefault="00D24C79" w:rsidP="00DC279C">
            <w:pPr>
              <w:spacing w:before="33" w:after="109"/>
              <w:jc w:val="center"/>
              <w:rPr>
                <w:rFonts w:ascii="Verdana" w:hAnsi="Verdana"/>
                <w:color w:val="000000"/>
                <w:sz w:val="17"/>
                <w:szCs w:val="17"/>
                <w:lang w:eastAsia="en-AU"/>
              </w:rPr>
            </w:pPr>
            <w:r w:rsidRPr="00D24C79">
              <w:rPr>
                <w:rFonts w:ascii="Verdana" w:hAnsi="Verdana"/>
                <w:color w:val="000000"/>
                <w:sz w:val="17"/>
                <w:szCs w:val="17"/>
                <w:lang w:eastAsia="en-AU"/>
              </w:rPr>
              <w:t>Population</w:t>
            </w:r>
          </w:p>
        </w:tc>
        <w:tc>
          <w:tcPr>
            <w:tcW w:w="999"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59,425</w:t>
            </w: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64,028</w:t>
            </w:r>
          </w:p>
        </w:tc>
        <w:tc>
          <w:tcPr>
            <w:tcW w:w="1211"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68,115</w:t>
            </w: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72,125</w:t>
            </w: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76,185</w:t>
            </w:r>
          </w:p>
        </w:tc>
        <w:tc>
          <w:tcPr>
            <w:tcW w:w="1099"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80,681</w:t>
            </w:r>
          </w:p>
        </w:tc>
      </w:tr>
      <w:tr w:rsidR="00FD30BE" w:rsidRPr="00D24C79" w:rsidTr="00DC279C">
        <w:trPr>
          <w:trHeight w:val="454"/>
        </w:trPr>
        <w:tc>
          <w:tcPr>
            <w:tcW w:w="1615" w:type="dxa"/>
            <w:shd w:val="clear" w:color="auto" w:fill="FFFFFF"/>
            <w:tcMar>
              <w:top w:w="33" w:type="dxa"/>
              <w:left w:w="218" w:type="dxa"/>
              <w:bottom w:w="33" w:type="dxa"/>
              <w:right w:w="109" w:type="dxa"/>
            </w:tcMar>
            <w:vAlign w:val="center"/>
            <w:hideMark/>
          </w:tcPr>
          <w:p w:rsidR="00D24C79" w:rsidRPr="00D24C79" w:rsidRDefault="00D24C79" w:rsidP="00DC279C">
            <w:pPr>
              <w:spacing w:before="33" w:after="109"/>
              <w:jc w:val="center"/>
              <w:rPr>
                <w:rFonts w:ascii="Verdana" w:hAnsi="Verdana"/>
                <w:color w:val="000000"/>
                <w:sz w:val="17"/>
                <w:szCs w:val="17"/>
                <w:lang w:eastAsia="en-AU"/>
              </w:rPr>
            </w:pPr>
            <w:r w:rsidRPr="00D24C79">
              <w:rPr>
                <w:rFonts w:ascii="Verdana" w:hAnsi="Verdana"/>
                <w:color w:val="000000"/>
                <w:sz w:val="17"/>
                <w:szCs w:val="17"/>
                <w:lang w:eastAsia="en-AU"/>
              </w:rPr>
              <w:t>Change in Population (5yrs)</w:t>
            </w:r>
          </w:p>
        </w:tc>
        <w:tc>
          <w:tcPr>
            <w:tcW w:w="999"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4,603</w:t>
            </w:r>
          </w:p>
        </w:tc>
        <w:tc>
          <w:tcPr>
            <w:tcW w:w="1211"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4,087</w:t>
            </w: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4,010</w:t>
            </w: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4,060</w:t>
            </w:r>
          </w:p>
        </w:tc>
        <w:tc>
          <w:tcPr>
            <w:tcW w:w="1099"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4,496</w:t>
            </w:r>
          </w:p>
        </w:tc>
      </w:tr>
      <w:tr w:rsidR="00FD30BE" w:rsidRPr="00D24C79" w:rsidTr="00DC279C">
        <w:trPr>
          <w:trHeight w:val="454"/>
        </w:trPr>
        <w:tc>
          <w:tcPr>
            <w:tcW w:w="1615" w:type="dxa"/>
            <w:shd w:val="clear" w:color="auto" w:fill="E5E5E5"/>
            <w:tcMar>
              <w:top w:w="33" w:type="dxa"/>
              <w:left w:w="218" w:type="dxa"/>
              <w:bottom w:w="33" w:type="dxa"/>
              <w:right w:w="109" w:type="dxa"/>
            </w:tcMar>
            <w:vAlign w:val="center"/>
            <w:hideMark/>
          </w:tcPr>
          <w:p w:rsidR="00D24C79" w:rsidRPr="00D24C79" w:rsidRDefault="00D24C79" w:rsidP="00DC279C">
            <w:pPr>
              <w:spacing w:before="33" w:after="109"/>
              <w:jc w:val="center"/>
              <w:rPr>
                <w:rFonts w:ascii="Verdana" w:hAnsi="Verdana"/>
                <w:color w:val="000000"/>
                <w:sz w:val="17"/>
                <w:szCs w:val="17"/>
                <w:lang w:eastAsia="en-AU"/>
              </w:rPr>
            </w:pPr>
            <w:r w:rsidRPr="00D24C79">
              <w:rPr>
                <w:rFonts w:ascii="Verdana" w:hAnsi="Verdana"/>
                <w:color w:val="000000"/>
                <w:sz w:val="17"/>
                <w:szCs w:val="17"/>
                <w:lang w:eastAsia="en-AU"/>
              </w:rPr>
              <w:t>Average Annual Change (%)</w:t>
            </w:r>
          </w:p>
        </w:tc>
        <w:tc>
          <w:tcPr>
            <w:tcW w:w="999"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1.5</w:t>
            </w:r>
          </w:p>
        </w:tc>
        <w:tc>
          <w:tcPr>
            <w:tcW w:w="1211"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1.25</w:t>
            </w: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1.15</w:t>
            </w:r>
          </w:p>
        </w:tc>
        <w:tc>
          <w:tcPr>
            <w:tcW w:w="1212"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1.1</w:t>
            </w:r>
          </w:p>
        </w:tc>
        <w:tc>
          <w:tcPr>
            <w:tcW w:w="1099" w:type="dxa"/>
            <w:shd w:val="clear" w:color="auto" w:fill="E5E5E5"/>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1.15</w:t>
            </w:r>
          </w:p>
        </w:tc>
      </w:tr>
      <w:tr w:rsidR="00FD30BE" w:rsidRPr="00D24C79" w:rsidTr="00DC279C">
        <w:trPr>
          <w:trHeight w:val="286"/>
        </w:trPr>
        <w:tc>
          <w:tcPr>
            <w:tcW w:w="1615" w:type="dxa"/>
            <w:shd w:val="clear" w:color="auto" w:fill="FFFFFF"/>
            <w:tcMar>
              <w:top w:w="33" w:type="dxa"/>
              <w:left w:w="218" w:type="dxa"/>
              <w:bottom w:w="33" w:type="dxa"/>
              <w:right w:w="109" w:type="dxa"/>
            </w:tcMar>
            <w:vAlign w:val="center"/>
            <w:hideMark/>
          </w:tcPr>
          <w:p w:rsidR="00D24C79" w:rsidRPr="00D24C79" w:rsidRDefault="00D24C79" w:rsidP="00DC279C">
            <w:pPr>
              <w:spacing w:before="33" w:after="109"/>
              <w:jc w:val="center"/>
              <w:rPr>
                <w:rFonts w:ascii="Verdana" w:hAnsi="Verdana"/>
                <w:color w:val="000000"/>
                <w:sz w:val="17"/>
                <w:szCs w:val="17"/>
                <w:lang w:eastAsia="en-AU"/>
              </w:rPr>
            </w:pPr>
            <w:r w:rsidRPr="00D24C79">
              <w:rPr>
                <w:rFonts w:ascii="Verdana" w:hAnsi="Verdana"/>
                <w:color w:val="000000"/>
                <w:sz w:val="17"/>
                <w:szCs w:val="17"/>
                <w:lang w:eastAsia="en-AU"/>
              </w:rPr>
              <w:t>Households</w:t>
            </w:r>
          </w:p>
        </w:tc>
        <w:tc>
          <w:tcPr>
            <w:tcW w:w="999"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22,588</w:t>
            </w: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24,518</w:t>
            </w:r>
          </w:p>
        </w:tc>
        <w:tc>
          <w:tcPr>
            <w:tcW w:w="1211"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26,561</w:t>
            </w: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28,558</w:t>
            </w:r>
          </w:p>
        </w:tc>
        <w:tc>
          <w:tcPr>
            <w:tcW w:w="1212"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30,476</w:t>
            </w:r>
          </w:p>
        </w:tc>
        <w:tc>
          <w:tcPr>
            <w:tcW w:w="1099" w:type="dxa"/>
            <w:shd w:val="clear" w:color="auto" w:fill="FFFFFF"/>
            <w:tcMar>
              <w:top w:w="33" w:type="dxa"/>
              <w:left w:w="55" w:type="dxa"/>
              <w:bottom w:w="33" w:type="dxa"/>
              <w:right w:w="55" w:type="dxa"/>
            </w:tcMar>
            <w:vAlign w:val="center"/>
            <w:hideMark/>
          </w:tcPr>
          <w:p w:rsidR="00D24C79" w:rsidRPr="00D24C79" w:rsidRDefault="00D24C79" w:rsidP="00DC279C">
            <w:pPr>
              <w:spacing w:before="33" w:after="109"/>
              <w:jc w:val="right"/>
              <w:rPr>
                <w:rFonts w:ascii="Verdana" w:hAnsi="Verdana"/>
                <w:color w:val="000000"/>
                <w:sz w:val="17"/>
                <w:szCs w:val="17"/>
                <w:lang w:eastAsia="en-AU"/>
              </w:rPr>
            </w:pPr>
            <w:r w:rsidRPr="00D24C79">
              <w:rPr>
                <w:rFonts w:ascii="Verdana" w:hAnsi="Verdana"/>
                <w:color w:val="000000"/>
                <w:sz w:val="17"/>
                <w:szCs w:val="17"/>
                <w:lang w:eastAsia="en-AU"/>
              </w:rPr>
              <w:t>32,496</w:t>
            </w:r>
          </w:p>
        </w:tc>
      </w:tr>
    </w:tbl>
    <w:p w:rsidR="00664CA2" w:rsidRPr="00542808" w:rsidRDefault="00664CA2" w:rsidP="00664CA2">
      <w:pPr>
        <w:autoSpaceDE w:val="0"/>
        <w:autoSpaceDN w:val="0"/>
        <w:adjustRightInd w:val="0"/>
        <w:rPr>
          <w:rFonts w:ascii="Arial" w:eastAsiaTheme="minorHAnsi" w:hAnsi="Arial" w:cs="Arial"/>
          <w:color w:val="000000"/>
          <w:sz w:val="16"/>
          <w:szCs w:val="16"/>
        </w:rPr>
      </w:pPr>
    </w:p>
    <w:p w:rsidR="008142AC" w:rsidRDefault="008142AC" w:rsidP="008142AC">
      <w:pPr>
        <w:rPr>
          <w:rFonts w:eastAsiaTheme="majorEastAsia"/>
        </w:rPr>
      </w:pPr>
      <w:r>
        <w:rPr>
          <w:rFonts w:ascii="Arial" w:hAnsi="Arial" w:cs="Arial"/>
          <w:sz w:val="16"/>
          <w:szCs w:val="16"/>
        </w:rPr>
        <w:t>(</w:t>
      </w:r>
      <w:r w:rsidRPr="002B7CA5">
        <w:rPr>
          <w:rFonts w:ascii="Arial" w:hAnsi="Arial" w:cs="Arial"/>
          <w:sz w:val="16"/>
          <w:szCs w:val="16"/>
        </w:rPr>
        <w:t xml:space="preserve">Source: </w:t>
      </w:r>
      <w:r>
        <w:rPr>
          <w:rFonts w:ascii="Arial" w:hAnsi="Arial" w:cs="Arial"/>
          <w:sz w:val="16"/>
          <w:szCs w:val="16"/>
        </w:rPr>
        <w:t xml:space="preserve">Greater Shepparton Forecast </w:t>
      </w:r>
      <w:r w:rsidRPr="002B7CA5">
        <w:rPr>
          <w:rFonts w:ascii="Arial" w:hAnsi="Arial" w:cs="Arial"/>
          <w:sz w:val="16"/>
          <w:szCs w:val="16"/>
        </w:rPr>
        <w:t>Compiled and presented by id. the population experts.</w:t>
      </w:r>
      <w:r>
        <w:rPr>
          <w:rFonts w:ascii="Arial" w:hAnsi="Arial" w:cs="Arial"/>
          <w:sz w:val="16"/>
          <w:szCs w:val="16"/>
        </w:rPr>
        <w:t>)</w:t>
      </w:r>
    </w:p>
    <w:p w:rsidR="006D6F46" w:rsidRDefault="006D6F46" w:rsidP="006D6F46">
      <w:pPr>
        <w:pStyle w:val="NormalWeb"/>
        <w:spacing w:line="196" w:lineRule="atLeast"/>
        <w:rPr>
          <w:rFonts w:ascii="Helvetica" w:hAnsi="Helvetica"/>
        </w:rPr>
      </w:pPr>
    </w:p>
    <w:p w:rsidR="006D6F46" w:rsidRPr="007145BC" w:rsidRDefault="006D6F46" w:rsidP="006D6F46">
      <w:pPr>
        <w:pStyle w:val="NormalWeb"/>
        <w:spacing w:line="196" w:lineRule="atLeast"/>
        <w:rPr>
          <w:rFonts w:ascii="Arial" w:hAnsi="Arial" w:cs="Arial"/>
          <w:color w:val="auto"/>
          <w:sz w:val="22"/>
          <w:szCs w:val="22"/>
        </w:rPr>
      </w:pPr>
      <w:r w:rsidRPr="007145BC">
        <w:rPr>
          <w:rFonts w:ascii="Arial" w:hAnsi="Arial" w:cs="Arial"/>
          <w:color w:val="auto"/>
          <w:sz w:val="22"/>
          <w:szCs w:val="22"/>
        </w:rPr>
        <w:t>North East Shepparton Forecast</w:t>
      </w:r>
    </w:p>
    <w:tbl>
      <w:tblPr>
        <w:tblStyle w:val="TableGrid"/>
        <w:tblW w:w="0" w:type="auto"/>
        <w:tblInd w:w="-34" w:type="dxa"/>
        <w:tblLayout w:type="fixed"/>
        <w:tblLook w:val="04A0"/>
      </w:tblPr>
      <w:tblGrid>
        <w:gridCol w:w="2410"/>
        <w:gridCol w:w="767"/>
        <w:gridCol w:w="851"/>
        <w:gridCol w:w="767"/>
        <w:gridCol w:w="767"/>
        <w:gridCol w:w="767"/>
        <w:gridCol w:w="767"/>
        <w:gridCol w:w="987"/>
        <w:gridCol w:w="1131"/>
      </w:tblGrid>
      <w:tr w:rsidR="006D6F46" w:rsidRPr="007145BC" w:rsidTr="007145BC">
        <w:trPr>
          <w:trHeight w:val="1271"/>
        </w:trPr>
        <w:tc>
          <w:tcPr>
            <w:tcW w:w="2410"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2006</w:t>
            </w:r>
          </w:p>
        </w:tc>
        <w:tc>
          <w:tcPr>
            <w:tcW w:w="851"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2011</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2016</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2021</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2026</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2031</w:t>
            </w:r>
          </w:p>
        </w:tc>
        <w:tc>
          <w:tcPr>
            <w:tcW w:w="98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Change 2006-2031</w:t>
            </w:r>
          </w:p>
        </w:tc>
        <w:tc>
          <w:tcPr>
            <w:tcW w:w="1131"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Average % Annual change</w:t>
            </w:r>
          </w:p>
        </w:tc>
      </w:tr>
      <w:tr w:rsidR="006D6F46" w:rsidRPr="007145BC" w:rsidTr="007145BC">
        <w:tc>
          <w:tcPr>
            <w:tcW w:w="2410"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Shepparton North</w:t>
            </w:r>
            <w:r w:rsidR="000824EF" w:rsidRPr="007145BC">
              <w:rPr>
                <w:rFonts w:ascii="Arial" w:hAnsi="Arial" w:cs="Arial"/>
                <w:color w:val="auto"/>
                <w:sz w:val="22"/>
                <w:szCs w:val="22"/>
              </w:rPr>
              <w:t>-</w:t>
            </w:r>
            <w:r w:rsidRPr="007145BC">
              <w:rPr>
                <w:rFonts w:ascii="Arial" w:hAnsi="Arial" w:cs="Arial"/>
                <w:color w:val="auto"/>
                <w:sz w:val="22"/>
                <w:szCs w:val="22"/>
              </w:rPr>
              <w:t>East</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3,672</w:t>
            </w:r>
          </w:p>
        </w:tc>
        <w:tc>
          <w:tcPr>
            <w:tcW w:w="851"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4,010</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3,973</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4,320</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4,865</w:t>
            </w:r>
          </w:p>
        </w:tc>
        <w:tc>
          <w:tcPr>
            <w:tcW w:w="76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5,674</w:t>
            </w:r>
          </w:p>
        </w:tc>
        <w:tc>
          <w:tcPr>
            <w:tcW w:w="987"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2,002</w:t>
            </w:r>
          </w:p>
        </w:tc>
        <w:tc>
          <w:tcPr>
            <w:tcW w:w="1131" w:type="dxa"/>
          </w:tcPr>
          <w:p w:rsidR="006D6F46" w:rsidRPr="007145BC" w:rsidRDefault="006D6F46" w:rsidP="006D6F46">
            <w:pPr>
              <w:pStyle w:val="NormalWeb"/>
              <w:tabs>
                <w:tab w:val="left" w:pos="2738"/>
              </w:tabs>
              <w:spacing w:line="196" w:lineRule="atLeast"/>
              <w:rPr>
                <w:rFonts w:ascii="Arial" w:hAnsi="Arial" w:cs="Arial"/>
                <w:color w:val="auto"/>
                <w:sz w:val="22"/>
                <w:szCs w:val="22"/>
              </w:rPr>
            </w:pPr>
            <w:r w:rsidRPr="007145BC">
              <w:rPr>
                <w:rFonts w:ascii="Arial" w:hAnsi="Arial" w:cs="Arial"/>
                <w:color w:val="auto"/>
                <w:sz w:val="22"/>
                <w:szCs w:val="22"/>
              </w:rPr>
              <w:t>1.76</w:t>
            </w:r>
          </w:p>
        </w:tc>
      </w:tr>
    </w:tbl>
    <w:p w:rsidR="00216D13" w:rsidRDefault="00646931" w:rsidP="00646931">
      <w:pPr>
        <w:rPr>
          <w:rFonts w:eastAsiaTheme="majorEastAsia"/>
        </w:rPr>
      </w:pPr>
      <w:r>
        <w:rPr>
          <w:rFonts w:ascii="Arial" w:hAnsi="Arial" w:cs="Arial"/>
          <w:sz w:val="16"/>
          <w:szCs w:val="16"/>
        </w:rPr>
        <w:t>(</w:t>
      </w:r>
      <w:r w:rsidRPr="002B7CA5">
        <w:rPr>
          <w:rFonts w:ascii="Arial" w:hAnsi="Arial" w:cs="Arial"/>
          <w:sz w:val="16"/>
          <w:szCs w:val="16"/>
        </w:rPr>
        <w:t xml:space="preserve">Source: </w:t>
      </w:r>
      <w:r>
        <w:rPr>
          <w:rFonts w:ascii="Arial" w:hAnsi="Arial" w:cs="Arial"/>
          <w:sz w:val="16"/>
          <w:szCs w:val="16"/>
        </w:rPr>
        <w:t xml:space="preserve">Greater Shepparton Forecast </w:t>
      </w:r>
      <w:r w:rsidRPr="002B7CA5">
        <w:rPr>
          <w:rFonts w:ascii="Arial" w:hAnsi="Arial" w:cs="Arial"/>
          <w:sz w:val="16"/>
          <w:szCs w:val="16"/>
        </w:rPr>
        <w:t>Compiled and presented by id. the population experts.</w:t>
      </w:r>
      <w:r>
        <w:rPr>
          <w:rFonts w:ascii="Arial" w:hAnsi="Arial" w:cs="Arial"/>
          <w:sz w:val="16"/>
          <w:szCs w:val="16"/>
        </w:rPr>
        <w:t>)</w:t>
      </w:r>
    </w:p>
    <w:p w:rsidR="009C7171" w:rsidRPr="008466AA" w:rsidRDefault="00A57741" w:rsidP="00745F96">
      <w:pPr>
        <w:pStyle w:val="Heading2"/>
        <w:rPr>
          <w:rFonts w:ascii="Arial" w:eastAsia="Times New Roman" w:hAnsi="Arial" w:cs="Arial"/>
          <w:b w:val="0"/>
          <w:bCs w:val="0"/>
          <w:noProof/>
          <w:color w:val="auto"/>
          <w:sz w:val="22"/>
          <w:szCs w:val="22"/>
        </w:rPr>
      </w:pPr>
      <w:bookmarkStart w:id="54" w:name="_Toc343006832"/>
      <w:bookmarkStart w:id="55" w:name="_Toc335820975"/>
      <w:bookmarkStart w:id="56" w:name="_Toc325725931"/>
      <w:bookmarkEnd w:id="53"/>
      <w:r w:rsidRPr="008466AA">
        <w:rPr>
          <w:rFonts w:ascii="Arial" w:eastAsia="Times New Roman" w:hAnsi="Arial" w:cs="Arial"/>
          <w:b w:val="0"/>
          <w:bCs w:val="0"/>
          <w:noProof/>
          <w:color w:val="auto"/>
          <w:sz w:val="22"/>
          <w:szCs w:val="22"/>
        </w:rPr>
        <w:t xml:space="preserve">The </w:t>
      </w:r>
      <w:r w:rsidR="009D6856">
        <w:rPr>
          <w:rFonts w:ascii="Arial" w:eastAsia="Times New Roman" w:hAnsi="Arial" w:cs="Arial"/>
          <w:b w:val="0"/>
          <w:bCs w:val="0"/>
          <w:noProof/>
          <w:color w:val="auto"/>
          <w:sz w:val="22"/>
          <w:szCs w:val="22"/>
        </w:rPr>
        <w:t>F</w:t>
      </w:r>
      <w:r w:rsidRPr="008466AA">
        <w:rPr>
          <w:rFonts w:ascii="Arial" w:eastAsia="Times New Roman" w:hAnsi="Arial" w:cs="Arial"/>
          <w:b w:val="0"/>
          <w:bCs w:val="0"/>
          <w:noProof/>
          <w:color w:val="auto"/>
          <w:sz w:val="22"/>
          <w:szCs w:val="22"/>
        </w:rPr>
        <w:t xml:space="preserve">orecast for Greater Shepparton shows that a strong growth rate above 1.1% will continue until 2031. </w:t>
      </w:r>
      <w:r w:rsidR="008466AA" w:rsidRPr="008466AA">
        <w:rPr>
          <w:rFonts w:ascii="Arial" w:eastAsia="Times New Roman" w:hAnsi="Arial" w:cs="Arial"/>
          <w:b w:val="0"/>
          <w:bCs w:val="0"/>
          <w:noProof/>
          <w:color w:val="auto"/>
          <w:sz w:val="22"/>
          <w:szCs w:val="22"/>
        </w:rPr>
        <w:t xml:space="preserve">This projection </w:t>
      </w:r>
      <w:r w:rsidR="008466AA">
        <w:rPr>
          <w:rFonts w:ascii="Arial" w:eastAsia="Times New Roman" w:hAnsi="Arial" w:cs="Arial"/>
          <w:b w:val="0"/>
          <w:bCs w:val="0"/>
          <w:noProof/>
          <w:color w:val="auto"/>
          <w:sz w:val="22"/>
          <w:szCs w:val="22"/>
        </w:rPr>
        <w:t>is in line with the original report and supports the reccomendations made by Maunsell/AECOM.</w:t>
      </w:r>
      <w:bookmarkEnd w:id="54"/>
      <w:r w:rsidR="008466AA">
        <w:rPr>
          <w:rFonts w:ascii="Arial" w:eastAsia="Times New Roman" w:hAnsi="Arial" w:cs="Arial"/>
          <w:b w:val="0"/>
          <w:bCs w:val="0"/>
          <w:noProof/>
          <w:color w:val="auto"/>
          <w:sz w:val="22"/>
          <w:szCs w:val="22"/>
        </w:rPr>
        <w:t xml:space="preserve"> </w:t>
      </w:r>
    </w:p>
    <w:p w:rsidR="00635594" w:rsidRPr="00151875" w:rsidRDefault="00635594" w:rsidP="00745F96">
      <w:pPr>
        <w:pStyle w:val="Heading2"/>
      </w:pPr>
      <w:bookmarkStart w:id="57" w:name="_Toc343006833"/>
      <w:r w:rsidRPr="00151875">
        <w:t>Plans and Strategies</w:t>
      </w:r>
      <w:bookmarkEnd w:id="55"/>
      <w:bookmarkEnd w:id="57"/>
    </w:p>
    <w:p w:rsidR="00DF5574" w:rsidRPr="0020195D" w:rsidRDefault="00DF5574" w:rsidP="0020195D">
      <w:pPr>
        <w:pStyle w:val="Heading3"/>
      </w:pPr>
      <w:bookmarkStart w:id="58" w:name="_Toc335820976"/>
      <w:bookmarkStart w:id="59" w:name="_Toc343006834"/>
      <w:r w:rsidRPr="0020195D">
        <w:t>Council Plan and Strategic Resource Plan</w:t>
      </w:r>
      <w:bookmarkEnd w:id="56"/>
      <w:bookmarkEnd w:id="58"/>
      <w:bookmarkEnd w:id="59"/>
      <w:r w:rsidRPr="0020195D">
        <w:t xml:space="preserve"> </w:t>
      </w:r>
    </w:p>
    <w:p w:rsidR="004B293F" w:rsidRPr="004B293F" w:rsidRDefault="004B293F" w:rsidP="004B293F"/>
    <w:p w:rsidR="004B293F" w:rsidRDefault="00F6274C" w:rsidP="00DF5574">
      <w:pPr>
        <w:rPr>
          <w:rFonts w:ascii="Arial" w:hAnsi="Arial" w:cs="Arial"/>
          <w:noProof/>
          <w:sz w:val="22"/>
          <w:szCs w:val="22"/>
        </w:rPr>
      </w:pPr>
      <w:r>
        <w:rPr>
          <w:rFonts w:ascii="Arial" w:hAnsi="Arial" w:cs="Arial"/>
          <w:noProof/>
          <w:sz w:val="22"/>
          <w:szCs w:val="22"/>
        </w:rPr>
        <w:t>Settlement and Housing</w:t>
      </w:r>
      <w:r w:rsidR="007B7AEC" w:rsidRPr="00693E70">
        <w:rPr>
          <w:rFonts w:ascii="Arial" w:hAnsi="Arial" w:cs="Arial"/>
          <w:noProof/>
          <w:sz w:val="22"/>
          <w:szCs w:val="22"/>
        </w:rPr>
        <w:t xml:space="preserve"> Objective 2</w:t>
      </w:r>
      <w:r w:rsidR="00DE569B" w:rsidRPr="00693E70">
        <w:rPr>
          <w:rFonts w:ascii="Arial" w:hAnsi="Arial" w:cs="Arial"/>
          <w:noProof/>
          <w:sz w:val="22"/>
          <w:szCs w:val="22"/>
        </w:rPr>
        <w:t>;</w:t>
      </w:r>
      <w:r w:rsidR="007B7AEC" w:rsidRPr="00693E70">
        <w:rPr>
          <w:rFonts w:ascii="Arial" w:hAnsi="Arial" w:cs="Arial"/>
          <w:noProof/>
          <w:sz w:val="22"/>
          <w:szCs w:val="22"/>
        </w:rPr>
        <w:t xml:space="preserve"> </w:t>
      </w:r>
    </w:p>
    <w:p w:rsidR="004B293F" w:rsidRDefault="004B293F" w:rsidP="00DF5574">
      <w:pPr>
        <w:rPr>
          <w:rFonts w:ascii="Arial" w:hAnsi="Arial" w:cs="Arial"/>
          <w:noProof/>
          <w:sz w:val="22"/>
          <w:szCs w:val="22"/>
        </w:rPr>
      </w:pPr>
    </w:p>
    <w:p w:rsidR="007B7AEC" w:rsidRPr="004B293F" w:rsidRDefault="004B293F" w:rsidP="00DF5574">
      <w:pPr>
        <w:rPr>
          <w:rFonts w:ascii="Arial" w:hAnsi="Arial" w:cs="Arial"/>
          <w:i/>
          <w:noProof/>
          <w:sz w:val="22"/>
          <w:szCs w:val="22"/>
        </w:rPr>
      </w:pPr>
      <w:r>
        <w:rPr>
          <w:rFonts w:ascii="Arial" w:hAnsi="Arial" w:cs="Arial"/>
          <w:i/>
          <w:noProof/>
          <w:sz w:val="22"/>
          <w:szCs w:val="22"/>
        </w:rPr>
        <w:t>A</w:t>
      </w:r>
      <w:r w:rsidR="00DE569B" w:rsidRPr="004B293F">
        <w:rPr>
          <w:rFonts w:ascii="Arial" w:hAnsi="Arial" w:cs="Arial"/>
          <w:i/>
          <w:noProof/>
          <w:sz w:val="22"/>
          <w:szCs w:val="22"/>
        </w:rPr>
        <w:t xml:space="preserve">s </w:t>
      </w:r>
      <w:r w:rsidR="007B7AEC" w:rsidRPr="004B293F">
        <w:rPr>
          <w:rFonts w:ascii="Arial" w:hAnsi="Arial" w:cs="Arial"/>
          <w:i/>
          <w:noProof/>
          <w:sz w:val="22"/>
          <w:szCs w:val="22"/>
        </w:rPr>
        <w:t xml:space="preserve">one of Australia’s fastests growing inland regional cities, it </w:t>
      </w:r>
      <w:r w:rsidR="00DE569B" w:rsidRPr="004B293F">
        <w:rPr>
          <w:rFonts w:ascii="Arial" w:hAnsi="Arial" w:cs="Arial"/>
          <w:i/>
          <w:noProof/>
          <w:sz w:val="22"/>
          <w:szCs w:val="22"/>
        </w:rPr>
        <w:t xml:space="preserve">is </w:t>
      </w:r>
      <w:r w:rsidR="007B7AEC" w:rsidRPr="004B293F">
        <w:rPr>
          <w:rFonts w:ascii="Arial" w:hAnsi="Arial" w:cs="Arial"/>
          <w:i/>
          <w:noProof/>
          <w:sz w:val="22"/>
          <w:szCs w:val="22"/>
        </w:rPr>
        <w:t>improtant to mamage growth in a structured an sustainable manner</w:t>
      </w:r>
      <w:r w:rsidR="00F6274C">
        <w:rPr>
          <w:rFonts w:ascii="Arial" w:hAnsi="Arial" w:cs="Arial"/>
          <w:i/>
          <w:noProof/>
          <w:sz w:val="22"/>
          <w:szCs w:val="22"/>
        </w:rPr>
        <w:t>. In consultation with the Victo</w:t>
      </w:r>
      <w:r w:rsidR="007B7AEC" w:rsidRPr="004B293F">
        <w:rPr>
          <w:rFonts w:ascii="Arial" w:hAnsi="Arial" w:cs="Arial"/>
          <w:i/>
          <w:noProof/>
          <w:sz w:val="22"/>
          <w:szCs w:val="22"/>
        </w:rPr>
        <w:t>r</w:t>
      </w:r>
      <w:r w:rsidR="00F6274C">
        <w:rPr>
          <w:rFonts w:ascii="Arial" w:hAnsi="Arial" w:cs="Arial"/>
          <w:i/>
          <w:noProof/>
          <w:sz w:val="22"/>
          <w:szCs w:val="22"/>
        </w:rPr>
        <w:t>i</w:t>
      </w:r>
      <w:r w:rsidR="007B7AEC" w:rsidRPr="004B293F">
        <w:rPr>
          <w:rFonts w:ascii="Arial" w:hAnsi="Arial" w:cs="Arial"/>
          <w:i/>
          <w:noProof/>
          <w:sz w:val="22"/>
          <w:szCs w:val="22"/>
        </w:rPr>
        <w:t>an Government and community stakeholders, G</w:t>
      </w:r>
      <w:r w:rsidRPr="004B293F">
        <w:rPr>
          <w:rFonts w:ascii="Arial" w:hAnsi="Arial" w:cs="Arial"/>
          <w:i/>
          <w:noProof/>
          <w:sz w:val="22"/>
          <w:szCs w:val="22"/>
        </w:rPr>
        <w:t xml:space="preserve">retaer </w:t>
      </w:r>
      <w:r w:rsidR="007B7AEC" w:rsidRPr="004B293F">
        <w:rPr>
          <w:rFonts w:ascii="Arial" w:hAnsi="Arial" w:cs="Arial"/>
          <w:i/>
          <w:noProof/>
          <w:sz w:val="22"/>
          <w:szCs w:val="22"/>
        </w:rPr>
        <w:t>S</w:t>
      </w:r>
      <w:r w:rsidRPr="004B293F">
        <w:rPr>
          <w:rFonts w:ascii="Arial" w:hAnsi="Arial" w:cs="Arial"/>
          <w:i/>
          <w:noProof/>
          <w:sz w:val="22"/>
          <w:szCs w:val="22"/>
        </w:rPr>
        <w:t xml:space="preserve">hepparton </w:t>
      </w:r>
      <w:r w:rsidR="007B7AEC" w:rsidRPr="004B293F">
        <w:rPr>
          <w:rFonts w:ascii="Arial" w:hAnsi="Arial" w:cs="Arial"/>
          <w:i/>
          <w:noProof/>
          <w:sz w:val="22"/>
          <w:szCs w:val="22"/>
        </w:rPr>
        <w:t>C</w:t>
      </w:r>
      <w:r w:rsidRPr="004B293F">
        <w:rPr>
          <w:rFonts w:ascii="Arial" w:hAnsi="Arial" w:cs="Arial"/>
          <w:i/>
          <w:noProof/>
          <w:sz w:val="22"/>
          <w:szCs w:val="22"/>
        </w:rPr>
        <w:t xml:space="preserve">ity </w:t>
      </w:r>
      <w:r w:rsidR="007B7AEC" w:rsidRPr="004B293F">
        <w:rPr>
          <w:rFonts w:ascii="Arial" w:hAnsi="Arial" w:cs="Arial"/>
          <w:i/>
          <w:noProof/>
          <w:sz w:val="22"/>
          <w:szCs w:val="22"/>
        </w:rPr>
        <w:t>C</w:t>
      </w:r>
      <w:r w:rsidRPr="004B293F">
        <w:rPr>
          <w:rFonts w:ascii="Arial" w:hAnsi="Arial" w:cs="Arial"/>
          <w:i/>
          <w:noProof/>
          <w:sz w:val="22"/>
          <w:szCs w:val="22"/>
        </w:rPr>
        <w:t>ouncil</w:t>
      </w:r>
      <w:r w:rsidR="007B7AEC" w:rsidRPr="004B293F">
        <w:rPr>
          <w:rFonts w:ascii="Arial" w:hAnsi="Arial" w:cs="Arial"/>
          <w:i/>
          <w:noProof/>
          <w:sz w:val="22"/>
          <w:szCs w:val="22"/>
        </w:rPr>
        <w:t xml:space="preserve"> will contin</w:t>
      </w:r>
      <w:r w:rsidR="00DE569B" w:rsidRPr="004B293F">
        <w:rPr>
          <w:rFonts w:ascii="Arial" w:hAnsi="Arial" w:cs="Arial"/>
          <w:i/>
          <w:noProof/>
          <w:sz w:val="22"/>
          <w:szCs w:val="22"/>
        </w:rPr>
        <w:t>ue to develop planning framewo</w:t>
      </w:r>
      <w:r w:rsidRPr="004B293F">
        <w:rPr>
          <w:rFonts w:ascii="Arial" w:hAnsi="Arial" w:cs="Arial"/>
          <w:i/>
          <w:noProof/>
          <w:sz w:val="22"/>
          <w:szCs w:val="22"/>
        </w:rPr>
        <w:t>rk that ensures t</w:t>
      </w:r>
      <w:r w:rsidR="007B7AEC" w:rsidRPr="004B293F">
        <w:rPr>
          <w:rFonts w:ascii="Arial" w:hAnsi="Arial" w:cs="Arial"/>
          <w:i/>
          <w:noProof/>
          <w:sz w:val="22"/>
          <w:szCs w:val="22"/>
        </w:rPr>
        <w:t>h</w:t>
      </w:r>
      <w:r w:rsidRPr="004B293F">
        <w:rPr>
          <w:rFonts w:ascii="Arial" w:hAnsi="Arial" w:cs="Arial"/>
          <w:i/>
          <w:noProof/>
          <w:sz w:val="22"/>
          <w:szCs w:val="22"/>
        </w:rPr>
        <w:t>a</w:t>
      </w:r>
      <w:r w:rsidR="007B7AEC" w:rsidRPr="004B293F">
        <w:rPr>
          <w:rFonts w:ascii="Arial" w:hAnsi="Arial" w:cs="Arial"/>
          <w:i/>
          <w:noProof/>
          <w:sz w:val="22"/>
          <w:szCs w:val="22"/>
        </w:rPr>
        <w:t>t our growth and develoepmnet does no compromise our enviable lifestyle.</w:t>
      </w:r>
    </w:p>
    <w:p w:rsidR="007B7AEC" w:rsidRPr="004B293F" w:rsidRDefault="007B7AEC" w:rsidP="00DF5574">
      <w:pPr>
        <w:rPr>
          <w:rFonts w:ascii="Arial" w:hAnsi="Arial" w:cs="Arial"/>
          <w:i/>
          <w:noProof/>
          <w:sz w:val="22"/>
          <w:szCs w:val="22"/>
        </w:rPr>
      </w:pPr>
    </w:p>
    <w:p w:rsidR="007B7AEC" w:rsidRPr="004B293F" w:rsidRDefault="007B7AEC" w:rsidP="00DF5574">
      <w:pPr>
        <w:rPr>
          <w:rFonts w:ascii="Arial" w:hAnsi="Arial" w:cs="Arial"/>
          <w:i/>
          <w:noProof/>
          <w:sz w:val="22"/>
          <w:szCs w:val="22"/>
        </w:rPr>
      </w:pPr>
      <w:r w:rsidRPr="004B293F">
        <w:rPr>
          <w:rFonts w:ascii="Arial" w:hAnsi="Arial" w:cs="Arial"/>
          <w:i/>
          <w:noProof/>
          <w:sz w:val="22"/>
          <w:szCs w:val="22"/>
        </w:rPr>
        <w:t>Complete structure plans for growth areas, including developer contributions plan.</w:t>
      </w:r>
    </w:p>
    <w:p w:rsidR="00DF5574" w:rsidRPr="0020195D" w:rsidRDefault="00DF5574" w:rsidP="0020195D">
      <w:pPr>
        <w:pStyle w:val="Heading3"/>
      </w:pPr>
      <w:bookmarkStart w:id="60" w:name="_Toc325725932"/>
      <w:bookmarkStart w:id="61" w:name="_Toc335820977"/>
      <w:bookmarkStart w:id="62" w:name="_Toc343006835"/>
      <w:r w:rsidRPr="0020195D">
        <w:t>Public Health Plan 2009-2013</w:t>
      </w:r>
      <w:bookmarkEnd w:id="60"/>
      <w:bookmarkEnd w:id="61"/>
      <w:bookmarkEnd w:id="62"/>
    </w:p>
    <w:p w:rsidR="00DF5574" w:rsidRPr="00693E70" w:rsidRDefault="00DF5574" w:rsidP="00DF5574">
      <w:pPr>
        <w:spacing w:after="120"/>
        <w:rPr>
          <w:rFonts w:ascii="Arial" w:hAnsi="Arial" w:cs="Arial"/>
          <w:noProof/>
          <w:sz w:val="22"/>
          <w:szCs w:val="22"/>
        </w:rPr>
      </w:pPr>
      <w:r w:rsidRPr="00693E70">
        <w:rPr>
          <w:rFonts w:ascii="Arial" w:hAnsi="Arial" w:cs="Arial"/>
          <w:noProof/>
          <w:sz w:val="22"/>
          <w:szCs w:val="22"/>
        </w:rPr>
        <w:t>The Greater shepparton Health Plan whcih was developed in 2009 includes ten key strategic objectives. The plan is higlighting the importance of ensuring that the following principles are incorporated in new development:</w:t>
      </w:r>
    </w:p>
    <w:p w:rsidR="00DF5574" w:rsidRPr="00693E70" w:rsidRDefault="00DF5574" w:rsidP="00DF5574">
      <w:pPr>
        <w:pStyle w:val="ListParagraph"/>
        <w:numPr>
          <w:ilvl w:val="0"/>
          <w:numId w:val="2"/>
        </w:numPr>
        <w:rPr>
          <w:rFonts w:ascii="Arial" w:hAnsi="Arial" w:cs="Arial"/>
          <w:noProof/>
          <w:sz w:val="22"/>
          <w:szCs w:val="22"/>
        </w:rPr>
      </w:pPr>
      <w:r w:rsidRPr="00693E70">
        <w:rPr>
          <w:rFonts w:ascii="Arial" w:hAnsi="Arial" w:cs="Arial"/>
          <w:noProof/>
          <w:sz w:val="22"/>
          <w:szCs w:val="22"/>
        </w:rPr>
        <w:lastRenderedPageBreak/>
        <w:t>Universal access,</w:t>
      </w:r>
    </w:p>
    <w:p w:rsidR="00DF5574" w:rsidRPr="00693E70" w:rsidRDefault="00DF5574" w:rsidP="00DF5574">
      <w:pPr>
        <w:pStyle w:val="ListParagraph"/>
        <w:numPr>
          <w:ilvl w:val="0"/>
          <w:numId w:val="2"/>
        </w:numPr>
        <w:rPr>
          <w:rFonts w:ascii="Arial" w:hAnsi="Arial" w:cs="Arial"/>
          <w:noProof/>
          <w:sz w:val="22"/>
          <w:szCs w:val="22"/>
        </w:rPr>
      </w:pPr>
      <w:r w:rsidRPr="00693E70">
        <w:rPr>
          <w:rFonts w:ascii="Arial" w:hAnsi="Arial" w:cs="Arial"/>
          <w:noProof/>
          <w:sz w:val="22"/>
          <w:szCs w:val="22"/>
        </w:rPr>
        <w:t xml:space="preserve">Crime Prevention Through Environmental Design (CPTED) </w:t>
      </w:r>
    </w:p>
    <w:p w:rsidR="00DF5574" w:rsidRPr="00693E70" w:rsidRDefault="00DF5574" w:rsidP="00DF5574">
      <w:pPr>
        <w:pStyle w:val="ListParagraph"/>
        <w:numPr>
          <w:ilvl w:val="0"/>
          <w:numId w:val="2"/>
        </w:numPr>
        <w:rPr>
          <w:rFonts w:ascii="Arial" w:hAnsi="Arial" w:cs="Arial"/>
          <w:noProof/>
          <w:sz w:val="22"/>
          <w:szCs w:val="22"/>
        </w:rPr>
      </w:pPr>
      <w:r w:rsidRPr="00693E70">
        <w:rPr>
          <w:rFonts w:ascii="Arial" w:hAnsi="Arial" w:cs="Arial"/>
          <w:noProof/>
          <w:sz w:val="22"/>
          <w:szCs w:val="22"/>
        </w:rPr>
        <w:t>Healthy by Design</w:t>
      </w:r>
    </w:p>
    <w:p w:rsidR="00DF5574" w:rsidRPr="00693E70" w:rsidRDefault="00DF5574" w:rsidP="00DF5574">
      <w:pPr>
        <w:pStyle w:val="ListParagraph"/>
        <w:numPr>
          <w:ilvl w:val="0"/>
          <w:numId w:val="2"/>
        </w:numPr>
        <w:rPr>
          <w:rFonts w:ascii="Arial" w:hAnsi="Arial" w:cs="Arial"/>
          <w:noProof/>
          <w:sz w:val="22"/>
          <w:szCs w:val="22"/>
        </w:rPr>
      </w:pPr>
      <w:r w:rsidRPr="00693E70">
        <w:rPr>
          <w:rFonts w:ascii="Arial" w:hAnsi="Arial" w:cs="Arial"/>
          <w:noProof/>
          <w:sz w:val="22"/>
          <w:szCs w:val="22"/>
        </w:rPr>
        <w:t>Toolkit for connectedness</w:t>
      </w:r>
    </w:p>
    <w:p w:rsidR="00DF5574" w:rsidRPr="00693E70" w:rsidRDefault="00DF5574" w:rsidP="00DF5574">
      <w:pPr>
        <w:pStyle w:val="ListParagraph"/>
        <w:numPr>
          <w:ilvl w:val="0"/>
          <w:numId w:val="2"/>
        </w:numPr>
        <w:rPr>
          <w:rFonts w:ascii="Arial" w:hAnsi="Arial" w:cs="Arial"/>
          <w:noProof/>
          <w:sz w:val="22"/>
          <w:szCs w:val="22"/>
        </w:rPr>
      </w:pPr>
      <w:r w:rsidRPr="00693E70">
        <w:rPr>
          <w:rFonts w:ascii="Arial" w:hAnsi="Arial" w:cs="Arial"/>
          <w:noProof/>
          <w:sz w:val="22"/>
          <w:szCs w:val="22"/>
        </w:rPr>
        <w:t>Environemntal best parctise.</w:t>
      </w:r>
    </w:p>
    <w:p w:rsidR="00DF5574" w:rsidRPr="0020195D" w:rsidRDefault="00DF5574" w:rsidP="0020195D">
      <w:pPr>
        <w:pStyle w:val="Heading3"/>
      </w:pPr>
      <w:bookmarkStart w:id="63" w:name="_Toc325725934"/>
      <w:bookmarkStart w:id="64" w:name="_Toc335820978"/>
      <w:bookmarkStart w:id="65" w:name="_Toc343006836"/>
      <w:r w:rsidRPr="0020195D">
        <w:t>Greater Shepparton Housing Strategy</w:t>
      </w:r>
      <w:bookmarkEnd w:id="63"/>
      <w:bookmarkEnd w:id="64"/>
      <w:bookmarkEnd w:id="65"/>
    </w:p>
    <w:p w:rsidR="00DF5574" w:rsidRPr="00693E70" w:rsidRDefault="00DF5574" w:rsidP="00DF5574">
      <w:pPr>
        <w:pStyle w:val="Default"/>
        <w:rPr>
          <w:rFonts w:eastAsia="Times New Roman"/>
          <w:noProof/>
          <w:color w:val="auto"/>
          <w:sz w:val="22"/>
          <w:szCs w:val="22"/>
        </w:rPr>
      </w:pPr>
      <w:r w:rsidRPr="00693E70">
        <w:rPr>
          <w:rFonts w:eastAsia="Times New Roman"/>
          <w:noProof/>
          <w:color w:val="auto"/>
          <w:sz w:val="22"/>
          <w:szCs w:val="22"/>
        </w:rPr>
        <w:t xml:space="preserve">The Greater Shepparton Housing Strategy (GSHS) was undertaken between 2007 and 2009, with the Greater Shepparton City Council adopting the strategy in 2009 to guide the future long term identification and provision of residential land within the municipality. </w:t>
      </w:r>
    </w:p>
    <w:p w:rsidR="00DF5574" w:rsidRPr="00693E70" w:rsidRDefault="00DF5574" w:rsidP="00DF5574">
      <w:pPr>
        <w:pStyle w:val="Default"/>
        <w:rPr>
          <w:rFonts w:eastAsia="Times New Roman"/>
          <w:noProof/>
          <w:color w:val="auto"/>
          <w:sz w:val="22"/>
          <w:szCs w:val="22"/>
        </w:rPr>
      </w:pPr>
    </w:p>
    <w:p w:rsidR="00B6659B" w:rsidRDefault="00DF5574" w:rsidP="00DF5574">
      <w:pPr>
        <w:pStyle w:val="Default"/>
        <w:rPr>
          <w:rFonts w:eastAsia="Times New Roman"/>
          <w:noProof/>
          <w:color w:val="auto"/>
          <w:sz w:val="22"/>
          <w:szCs w:val="22"/>
        </w:rPr>
      </w:pPr>
      <w:r w:rsidRPr="00693E70">
        <w:rPr>
          <w:rFonts w:eastAsia="Times New Roman"/>
          <w:noProof/>
          <w:color w:val="auto"/>
          <w:sz w:val="22"/>
          <w:szCs w:val="22"/>
        </w:rPr>
        <w:t>As a result of changes made to the strategy arising from the Amendment C93 panel report and adoption of the amendment, the Greater Shepparton City Council re-adopted the Greater Shepparton Housing Strategy in May 2011.</w:t>
      </w:r>
    </w:p>
    <w:p w:rsidR="00DF5574" w:rsidRPr="00693E70" w:rsidRDefault="00DF5574" w:rsidP="00DF5574">
      <w:pPr>
        <w:pStyle w:val="Default"/>
        <w:rPr>
          <w:rFonts w:eastAsia="Times New Roman"/>
          <w:noProof/>
          <w:color w:val="auto"/>
          <w:sz w:val="22"/>
          <w:szCs w:val="22"/>
        </w:rPr>
      </w:pPr>
    </w:p>
    <w:p w:rsidR="00DF5574" w:rsidRPr="00693E70" w:rsidRDefault="00DF5574" w:rsidP="00DF5574">
      <w:pPr>
        <w:pStyle w:val="Default"/>
        <w:rPr>
          <w:rFonts w:eastAsia="Times New Roman"/>
          <w:noProof/>
          <w:color w:val="auto"/>
          <w:sz w:val="22"/>
          <w:szCs w:val="22"/>
        </w:rPr>
      </w:pPr>
      <w:r w:rsidRPr="00693E70">
        <w:rPr>
          <w:rFonts w:eastAsia="Times New Roman"/>
          <w:noProof/>
          <w:color w:val="auto"/>
          <w:sz w:val="22"/>
          <w:szCs w:val="22"/>
        </w:rPr>
        <w:t xml:space="preserve">The following vision for the future of housing in Greater Shepparton has been developed: </w:t>
      </w:r>
    </w:p>
    <w:p w:rsidR="00DF5574" w:rsidRPr="00693E70" w:rsidRDefault="00DF5574" w:rsidP="00DF5574">
      <w:pPr>
        <w:pStyle w:val="Default"/>
        <w:rPr>
          <w:rFonts w:eastAsia="Times New Roman"/>
          <w:noProof/>
          <w:color w:val="auto"/>
          <w:sz w:val="22"/>
          <w:szCs w:val="22"/>
        </w:rPr>
      </w:pPr>
    </w:p>
    <w:p w:rsidR="00DF5574" w:rsidRPr="00693E70" w:rsidRDefault="00DF5574" w:rsidP="00DF5574">
      <w:pPr>
        <w:pStyle w:val="Default"/>
        <w:rPr>
          <w:rFonts w:eastAsia="Times New Roman"/>
          <w:i/>
          <w:noProof/>
          <w:color w:val="auto"/>
          <w:sz w:val="22"/>
          <w:szCs w:val="22"/>
        </w:rPr>
      </w:pPr>
      <w:r w:rsidRPr="00693E70">
        <w:rPr>
          <w:rFonts w:eastAsia="Times New Roman"/>
          <w:i/>
          <w:noProof/>
          <w:color w:val="auto"/>
          <w:sz w:val="22"/>
          <w:szCs w:val="22"/>
        </w:rPr>
        <w:t xml:space="preserve">Housing development in the City of Greater Shepparton will be more than just dwelling construction but will be about creating the building blocks of sustainable communities. </w:t>
      </w:r>
    </w:p>
    <w:p w:rsidR="00DF5574" w:rsidRPr="00693E70" w:rsidRDefault="00DF5574" w:rsidP="00DF5574">
      <w:pPr>
        <w:pStyle w:val="Default"/>
        <w:rPr>
          <w:rFonts w:eastAsia="Times New Roman"/>
          <w:i/>
          <w:noProof/>
          <w:color w:val="auto"/>
          <w:sz w:val="22"/>
          <w:szCs w:val="22"/>
        </w:rPr>
      </w:pPr>
    </w:p>
    <w:p w:rsidR="00DF5574" w:rsidRPr="00693E70" w:rsidRDefault="00DF5574" w:rsidP="00DF5574">
      <w:pPr>
        <w:pStyle w:val="Default"/>
        <w:rPr>
          <w:rFonts w:eastAsia="Times New Roman"/>
          <w:i/>
          <w:noProof/>
          <w:color w:val="auto"/>
          <w:sz w:val="22"/>
          <w:szCs w:val="22"/>
        </w:rPr>
      </w:pPr>
      <w:r w:rsidRPr="00693E70">
        <w:rPr>
          <w:rFonts w:eastAsia="Times New Roman"/>
          <w:i/>
          <w:noProof/>
          <w:color w:val="auto"/>
          <w:sz w:val="22"/>
          <w:szCs w:val="22"/>
        </w:rPr>
        <w:t xml:space="preserve">The residential areas of Greater Shepparton will be pleasant and attractive places to live and play, socially inclusive, promote the health and well-being of its residents, and provide for a range of housing needs and preferences. </w:t>
      </w:r>
    </w:p>
    <w:p w:rsidR="00DF5574" w:rsidRPr="00693E70" w:rsidRDefault="00DF5574" w:rsidP="00DF5574">
      <w:pPr>
        <w:pStyle w:val="Default"/>
        <w:rPr>
          <w:rFonts w:eastAsia="Times New Roman"/>
          <w:i/>
          <w:noProof/>
          <w:color w:val="auto"/>
          <w:sz w:val="22"/>
          <w:szCs w:val="22"/>
        </w:rPr>
      </w:pPr>
    </w:p>
    <w:p w:rsidR="00DF5574" w:rsidRPr="00693E70" w:rsidRDefault="00DF5574" w:rsidP="00DF5574">
      <w:pPr>
        <w:pStyle w:val="Default"/>
        <w:rPr>
          <w:i/>
          <w:iCs/>
          <w:sz w:val="22"/>
          <w:szCs w:val="22"/>
        </w:rPr>
      </w:pPr>
      <w:r w:rsidRPr="00693E70">
        <w:rPr>
          <w:rFonts w:eastAsia="Times New Roman"/>
          <w:i/>
          <w:noProof/>
          <w:color w:val="auto"/>
          <w:sz w:val="22"/>
          <w:szCs w:val="22"/>
        </w:rPr>
        <w:t>At the same time residential growth will be effectively managed to reduce its impacts on the natural environment and lead to benefits for the entire community whilst protecting the character of Greater Shepparton and its various housing setting</w:t>
      </w:r>
      <w:r w:rsidRPr="00693E70">
        <w:rPr>
          <w:i/>
          <w:iCs/>
          <w:sz w:val="22"/>
          <w:szCs w:val="22"/>
        </w:rPr>
        <w:t>s.</w:t>
      </w:r>
    </w:p>
    <w:p w:rsidR="00DF5574" w:rsidRPr="00693E70" w:rsidRDefault="00DF5574" w:rsidP="00DF5574">
      <w:pPr>
        <w:pStyle w:val="Default"/>
        <w:rPr>
          <w:i/>
          <w:iCs/>
          <w:sz w:val="22"/>
          <w:szCs w:val="22"/>
        </w:rPr>
      </w:pPr>
    </w:p>
    <w:p w:rsidR="00DF5574" w:rsidRPr="00693E70" w:rsidRDefault="00DF5574" w:rsidP="00DF5574">
      <w:pPr>
        <w:pStyle w:val="Default"/>
        <w:spacing w:after="120"/>
        <w:rPr>
          <w:sz w:val="22"/>
          <w:szCs w:val="22"/>
          <w:u w:val="single"/>
        </w:rPr>
      </w:pPr>
      <w:r w:rsidRPr="00693E70">
        <w:rPr>
          <w:sz w:val="22"/>
          <w:szCs w:val="22"/>
          <w:u w:val="single"/>
        </w:rPr>
        <w:t>The strategic directions of the GSHS are to:</w:t>
      </w:r>
    </w:p>
    <w:p w:rsidR="00DF5574" w:rsidRPr="00693E70" w:rsidRDefault="00DF5574" w:rsidP="00DF5574">
      <w:pPr>
        <w:pStyle w:val="Default"/>
        <w:spacing w:after="120"/>
        <w:rPr>
          <w:sz w:val="22"/>
          <w:szCs w:val="22"/>
        </w:rPr>
      </w:pPr>
      <w:r w:rsidRPr="00693E70">
        <w:rPr>
          <w:sz w:val="22"/>
          <w:szCs w:val="22"/>
        </w:rPr>
        <w:t xml:space="preserve">• manage development outcomes and change to the benefit of the entire community; </w:t>
      </w:r>
    </w:p>
    <w:p w:rsidR="00DF5574" w:rsidRPr="00693E70" w:rsidRDefault="00DF5574" w:rsidP="00DF5574">
      <w:pPr>
        <w:pStyle w:val="Default"/>
        <w:spacing w:after="120"/>
        <w:rPr>
          <w:sz w:val="22"/>
          <w:szCs w:val="22"/>
        </w:rPr>
      </w:pPr>
      <w:r w:rsidRPr="00693E70">
        <w:rPr>
          <w:sz w:val="22"/>
          <w:szCs w:val="22"/>
        </w:rPr>
        <w:t xml:space="preserve">• locate residential development in locations appropriate to its intended use; </w:t>
      </w:r>
    </w:p>
    <w:p w:rsidR="00DF5574" w:rsidRPr="00693E70" w:rsidRDefault="00DF5574" w:rsidP="00DF5574">
      <w:pPr>
        <w:pStyle w:val="Default"/>
        <w:spacing w:after="120"/>
        <w:rPr>
          <w:sz w:val="22"/>
          <w:szCs w:val="22"/>
        </w:rPr>
      </w:pPr>
      <w:r w:rsidRPr="00693E70">
        <w:rPr>
          <w:sz w:val="22"/>
          <w:szCs w:val="22"/>
        </w:rPr>
        <w:t xml:space="preserve">• create sustainable living environments which conserve land and energy and are integrated with existing urban networks and systems; </w:t>
      </w:r>
    </w:p>
    <w:p w:rsidR="00DF5574" w:rsidRPr="00693E70" w:rsidRDefault="00DF5574" w:rsidP="00DF5574">
      <w:pPr>
        <w:pStyle w:val="Default"/>
        <w:spacing w:after="120"/>
        <w:rPr>
          <w:sz w:val="22"/>
          <w:szCs w:val="22"/>
        </w:rPr>
      </w:pPr>
      <w:r w:rsidRPr="00693E70">
        <w:rPr>
          <w:sz w:val="22"/>
          <w:szCs w:val="22"/>
        </w:rPr>
        <w:t xml:space="preserve">• promote social equity and safety for all citizens in residential areas; </w:t>
      </w:r>
    </w:p>
    <w:p w:rsidR="00DF5574" w:rsidRPr="00693E70" w:rsidRDefault="00DF5574" w:rsidP="00DF5574">
      <w:pPr>
        <w:pStyle w:val="Default"/>
        <w:spacing w:after="120"/>
        <w:rPr>
          <w:sz w:val="22"/>
          <w:szCs w:val="22"/>
        </w:rPr>
      </w:pPr>
      <w:r w:rsidRPr="00693E70">
        <w:rPr>
          <w:sz w:val="22"/>
          <w:szCs w:val="22"/>
        </w:rPr>
        <w:t xml:space="preserve">• ensure housing and residential areas contribute to the health and well-being of its citizens; </w:t>
      </w:r>
    </w:p>
    <w:p w:rsidR="00DF5574" w:rsidRPr="00693E70" w:rsidRDefault="00DF5574" w:rsidP="00DF5574">
      <w:pPr>
        <w:pStyle w:val="Default"/>
        <w:spacing w:after="120"/>
        <w:rPr>
          <w:sz w:val="22"/>
          <w:szCs w:val="22"/>
        </w:rPr>
      </w:pPr>
      <w:r w:rsidRPr="00693E70">
        <w:rPr>
          <w:sz w:val="22"/>
          <w:szCs w:val="22"/>
        </w:rPr>
        <w:t xml:space="preserve">• provide a diversity of housing options which become long-term assets to their neighbourhood; and </w:t>
      </w:r>
    </w:p>
    <w:p w:rsidR="00DF5574" w:rsidRPr="00693E70" w:rsidRDefault="00DF5574" w:rsidP="00DF5574">
      <w:pPr>
        <w:pStyle w:val="Default"/>
        <w:spacing w:after="120"/>
        <w:rPr>
          <w:sz w:val="22"/>
          <w:szCs w:val="22"/>
        </w:rPr>
      </w:pPr>
      <w:r w:rsidRPr="00693E70">
        <w:rPr>
          <w:sz w:val="22"/>
          <w:szCs w:val="22"/>
        </w:rPr>
        <w:t xml:space="preserve">• ensure housing contributes to the public spaces and streetscapes it defines. </w:t>
      </w:r>
    </w:p>
    <w:p w:rsidR="00DF5574" w:rsidRPr="00693E70" w:rsidRDefault="00DF5574" w:rsidP="00487D38">
      <w:pPr>
        <w:pStyle w:val="Default"/>
        <w:jc w:val="center"/>
        <w:rPr>
          <w:noProof/>
          <w:sz w:val="22"/>
          <w:szCs w:val="22"/>
        </w:rPr>
      </w:pPr>
    </w:p>
    <w:p w:rsidR="00DF5574" w:rsidRPr="00693E70" w:rsidRDefault="00DF5574" w:rsidP="00DF5574">
      <w:pPr>
        <w:rPr>
          <w:rFonts w:ascii="Arial" w:hAnsi="Arial" w:cs="Arial"/>
          <w:sz w:val="22"/>
          <w:szCs w:val="22"/>
        </w:rPr>
      </w:pPr>
    </w:p>
    <w:p w:rsidR="0021276E" w:rsidRDefault="0021276E">
      <w:pPr>
        <w:spacing w:after="200" w:line="276" w:lineRule="auto"/>
        <w:rPr>
          <w:rFonts w:ascii="Arial" w:eastAsiaTheme="minorHAnsi" w:hAnsi="Arial" w:cs="Arial"/>
          <w:color w:val="000000"/>
          <w:sz w:val="16"/>
          <w:szCs w:val="16"/>
        </w:rPr>
      </w:pPr>
      <w:bookmarkStart w:id="66" w:name="_Toc325725935"/>
      <w:r>
        <w:rPr>
          <w:rFonts w:ascii="Arial" w:eastAsiaTheme="minorHAnsi" w:hAnsi="Arial" w:cs="Arial"/>
          <w:color w:val="000000"/>
          <w:sz w:val="16"/>
          <w:szCs w:val="16"/>
        </w:rPr>
        <w:br w:type="page"/>
      </w:r>
    </w:p>
    <w:p w:rsidR="00306A66" w:rsidRPr="0032217E" w:rsidRDefault="00306A66">
      <w:pPr>
        <w:spacing w:after="200" w:line="276" w:lineRule="auto"/>
        <w:rPr>
          <w:rFonts w:ascii="Arial" w:eastAsiaTheme="minorHAnsi" w:hAnsi="Arial" w:cs="Arial"/>
          <w:b/>
          <w:noProof/>
          <w:sz w:val="16"/>
          <w:szCs w:val="16"/>
        </w:rPr>
      </w:pPr>
    </w:p>
    <w:p w:rsidR="00DF5574" w:rsidRDefault="00DF5574" w:rsidP="0020195D">
      <w:pPr>
        <w:pStyle w:val="Heading3"/>
      </w:pPr>
      <w:bookmarkStart w:id="67" w:name="_Toc335820979"/>
      <w:bookmarkStart w:id="68" w:name="_Toc343006837"/>
      <w:r w:rsidRPr="0020195D">
        <w:t>Early years Service Review and Future Demand Analysis</w:t>
      </w:r>
      <w:bookmarkEnd w:id="66"/>
      <w:bookmarkEnd w:id="67"/>
      <w:bookmarkEnd w:id="68"/>
    </w:p>
    <w:p w:rsidR="00B013D7" w:rsidRPr="00B013D7" w:rsidRDefault="00B013D7" w:rsidP="00B013D7"/>
    <w:p w:rsidR="00B013D7" w:rsidRDefault="00B013D7" w:rsidP="00B013D7">
      <w:r w:rsidRPr="00B013D7">
        <w:rPr>
          <w:noProof/>
          <w:lang w:eastAsia="en-AU"/>
        </w:rPr>
        <w:drawing>
          <wp:inline distT="0" distB="0" distL="0" distR="0">
            <wp:extent cx="5349586" cy="3320624"/>
            <wp:effectExtent l="19050" t="0" r="346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352837" cy="3322642"/>
                    </a:xfrm>
                    <a:prstGeom prst="rect">
                      <a:avLst/>
                    </a:prstGeom>
                    <a:noFill/>
                    <a:ln w="9525">
                      <a:noFill/>
                      <a:miter lim="800000"/>
                      <a:headEnd/>
                      <a:tailEnd/>
                    </a:ln>
                  </pic:spPr>
                </pic:pic>
              </a:graphicData>
            </a:graphic>
          </wp:inline>
        </w:drawing>
      </w:r>
    </w:p>
    <w:p w:rsidR="00B013D7" w:rsidRPr="00B013D7" w:rsidRDefault="007B2540" w:rsidP="00B013D7">
      <w:pPr>
        <w:rPr>
          <w:rFonts w:ascii="Arial" w:hAnsi="Arial" w:cs="Arial"/>
          <w:sz w:val="16"/>
          <w:szCs w:val="16"/>
        </w:rPr>
      </w:pPr>
      <w:bookmarkStart w:id="69" w:name="_Toc325725936"/>
      <w:r>
        <w:rPr>
          <w:rFonts w:ascii="Arial" w:hAnsi="Arial" w:cs="Arial"/>
          <w:sz w:val="16"/>
          <w:szCs w:val="16"/>
        </w:rPr>
        <w:t>*</w:t>
      </w:r>
      <w:r w:rsidR="00B013D7" w:rsidRPr="00B013D7">
        <w:rPr>
          <w:rFonts w:ascii="Arial" w:hAnsi="Arial" w:cs="Arial"/>
          <w:sz w:val="16"/>
          <w:szCs w:val="16"/>
        </w:rPr>
        <w:t>Early Years Services available in Shepparton</w:t>
      </w:r>
      <w:bookmarkEnd w:id="69"/>
    </w:p>
    <w:p w:rsidR="00B013D7" w:rsidRPr="00B013D7" w:rsidRDefault="00B013D7" w:rsidP="00B013D7"/>
    <w:p w:rsidR="00DF5574" w:rsidRDefault="00DF5574" w:rsidP="00DF5574">
      <w:pPr>
        <w:pStyle w:val="Default"/>
        <w:rPr>
          <w:sz w:val="22"/>
          <w:szCs w:val="22"/>
        </w:rPr>
      </w:pPr>
      <w:bookmarkStart w:id="70" w:name="_GoBack"/>
      <w:bookmarkEnd w:id="70"/>
      <w:r w:rsidRPr="00693E70">
        <w:rPr>
          <w:rFonts w:eastAsia="Times New Roman"/>
          <w:color w:val="auto"/>
          <w:sz w:val="22"/>
          <w:szCs w:val="22"/>
        </w:rPr>
        <w:t>Access to early years services is strongly articulated as a priority area for action at the local government level. Early years services are recognised as having a critical role in facilitating community health and well-being in a range of Greater Shepparton City Council policy and strategy documents and reports.</w:t>
      </w:r>
      <w:r w:rsidRPr="00693E70">
        <w:rPr>
          <w:sz w:val="22"/>
          <w:szCs w:val="22"/>
        </w:rPr>
        <w:t xml:space="preserve"> </w:t>
      </w:r>
    </w:p>
    <w:p w:rsidR="00272C75" w:rsidRPr="00693E70" w:rsidRDefault="00272C75" w:rsidP="00DF5574">
      <w:pPr>
        <w:pStyle w:val="Default"/>
        <w:rPr>
          <w:sz w:val="22"/>
          <w:szCs w:val="22"/>
        </w:rPr>
      </w:pPr>
    </w:p>
    <w:p w:rsidR="00272C75" w:rsidRPr="00272C75" w:rsidRDefault="00272C75" w:rsidP="00272C75">
      <w:pPr>
        <w:rPr>
          <w:rFonts w:ascii="Arial" w:hAnsi="Arial" w:cs="Arial"/>
          <w:sz w:val="22"/>
          <w:szCs w:val="22"/>
        </w:rPr>
      </w:pPr>
      <w:r w:rsidRPr="00272C75">
        <w:rPr>
          <w:rFonts w:ascii="Arial" w:hAnsi="Arial" w:cs="Arial"/>
          <w:sz w:val="22"/>
          <w:szCs w:val="22"/>
        </w:rPr>
        <w:t xml:space="preserve">The closest Kindergartens to the North East Growth Corridor are Dolena Young Preschool (Council), Kiddie Care (private), and Balaclava Road Child Care (private). While Dolena Young Preschool and Balaclava Road Child Care are unlikely to have the infrastructure capacity to cater for additional children, Kiddie Care has capacity to accommodate additional four-year-olds (provided that there is adequate workforce capacity). </w:t>
      </w:r>
    </w:p>
    <w:p w:rsidR="00272C75" w:rsidRPr="00272C75" w:rsidRDefault="00272C75" w:rsidP="00272C75">
      <w:pPr>
        <w:rPr>
          <w:rFonts w:ascii="Arial" w:hAnsi="Arial" w:cs="Arial"/>
          <w:sz w:val="22"/>
          <w:szCs w:val="22"/>
        </w:rPr>
      </w:pPr>
    </w:p>
    <w:p w:rsidR="00272C75" w:rsidRDefault="00272C75" w:rsidP="00272C75">
      <w:pPr>
        <w:rPr>
          <w:rFonts w:ascii="Arial" w:hAnsi="Arial" w:cs="Arial"/>
          <w:sz w:val="22"/>
          <w:szCs w:val="22"/>
        </w:rPr>
      </w:pPr>
      <w:r w:rsidRPr="00272C75">
        <w:rPr>
          <w:rFonts w:ascii="Arial" w:hAnsi="Arial" w:cs="Arial"/>
          <w:sz w:val="22"/>
          <w:szCs w:val="22"/>
        </w:rPr>
        <w:t xml:space="preserve">Population growth in this area is likely to require parents in the north east to travel further in the Shepparton region to access Kindergartens with greater infrastructure capacity to cater for additional four-year-olds. </w:t>
      </w:r>
    </w:p>
    <w:p w:rsidR="00272C75" w:rsidRPr="00272C75" w:rsidRDefault="00272C75" w:rsidP="00272C75">
      <w:pPr>
        <w:rPr>
          <w:rFonts w:ascii="Arial" w:hAnsi="Arial" w:cs="Arial"/>
          <w:sz w:val="22"/>
          <w:szCs w:val="22"/>
        </w:rPr>
      </w:pPr>
    </w:p>
    <w:p w:rsidR="00416B44" w:rsidRDefault="00272C75" w:rsidP="00B670A8">
      <w:pPr>
        <w:rPr>
          <w:rFonts w:ascii="Arial" w:hAnsi="Arial" w:cs="Arial"/>
          <w:sz w:val="22"/>
          <w:szCs w:val="22"/>
        </w:rPr>
      </w:pPr>
      <w:r w:rsidRPr="00272C75">
        <w:rPr>
          <w:rFonts w:ascii="Arial" w:hAnsi="Arial" w:cs="Arial"/>
          <w:sz w:val="22"/>
          <w:szCs w:val="22"/>
        </w:rPr>
        <w:t xml:space="preserve">In terms of MHC services, Balaclava Road Maternal and Child Health Centre </w:t>
      </w:r>
      <w:r w:rsidR="00F6274C" w:rsidRPr="00272C75">
        <w:rPr>
          <w:rFonts w:ascii="Arial" w:hAnsi="Arial" w:cs="Arial"/>
          <w:sz w:val="22"/>
          <w:szCs w:val="22"/>
        </w:rPr>
        <w:t>are</w:t>
      </w:r>
      <w:r w:rsidRPr="00272C75">
        <w:rPr>
          <w:rFonts w:ascii="Arial" w:hAnsi="Arial" w:cs="Arial"/>
          <w:sz w:val="22"/>
          <w:szCs w:val="22"/>
        </w:rPr>
        <w:t xml:space="preserve"> located approximately 1.5km from the growth area. This centre operates five days a week. Annually, approximately 132 births are allocated to the centre. The current population of zero year olds in the North East Shepparton region is approximately 50</w:t>
      </w:r>
      <w:r w:rsidRPr="00AD7473">
        <w:rPr>
          <w:rFonts w:ascii="Arial" w:hAnsi="Arial" w:cs="Arial"/>
          <w:sz w:val="22"/>
          <w:szCs w:val="22"/>
        </w:rPr>
        <w:t>.</w:t>
      </w:r>
    </w:p>
    <w:p w:rsidR="00B670A8" w:rsidRDefault="00B670A8" w:rsidP="00B670A8">
      <w:pPr>
        <w:rPr>
          <w:rFonts w:ascii="Arial" w:hAnsi="Arial" w:cs="Arial"/>
          <w:sz w:val="16"/>
          <w:szCs w:val="16"/>
        </w:rPr>
      </w:pPr>
      <w:r>
        <w:rPr>
          <w:rFonts w:ascii="Arial" w:hAnsi="Arial" w:cs="Arial"/>
          <w:sz w:val="16"/>
          <w:szCs w:val="16"/>
        </w:rPr>
        <w:t>(</w:t>
      </w:r>
      <w:r w:rsidRPr="004D1488">
        <w:rPr>
          <w:rFonts w:ascii="Arial" w:hAnsi="Arial" w:cs="Arial"/>
          <w:sz w:val="16"/>
          <w:szCs w:val="16"/>
        </w:rPr>
        <w:t>Early Years Service Review and Future Demand Analysis: Final Report, Urbis November 2011</w:t>
      </w:r>
      <w:r>
        <w:rPr>
          <w:rFonts w:ascii="Arial" w:hAnsi="Arial" w:cs="Arial"/>
          <w:sz w:val="16"/>
          <w:szCs w:val="16"/>
        </w:rPr>
        <w:t>)</w:t>
      </w:r>
    </w:p>
    <w:p w:rsidR="00416B44" w:rsidRPr="00272C75" w:rsidRDefault="00416B44" w:rsidP="00B670A8">
      <w:pPr>
        <w:rPr>
          <w:rFonts w:ascii="Arial" w:hAnsi="Arial" w:cs="Arial"/>
          <w:sz w:val="22"/>
          <w:szCs w:val="22"/>
        </w:rPr>
      </w:pPr>
    </w:p>
    <w:p w:rsidR="00272C75" w:rsidRDefault="00272C75" w:rsidP="00272C75">
      <w:pPr>
        <w:rPr>
          <w:rFonts w:ascii="Arial" w:hAnsi="Arial" w:cs="Arial"/>
          <w:sz w:val="22"/>
          <w:szCs w:val="22"/>
        </w:rPr>
      </w:pPr>
      <w:r w:rsidRPr="00AD7473">
        <w:rPr>
          <w:rFonts w:ascii="Arial" w:hAnsi="Arial" w:cs="Arial"/>
          <w:sz w:val="22"/>
          <w:szCs w:val="22"/>
        </w:rPr>
        <w:t xml:space="preserve"> </w:t>
      </w:r>
      <w:r w:rsidR="00AD7473">
        <w:rPr>
          <w:rFonts w:ascii="Arial" w:hAnsi="Arial" w:cs="Arial"/>
          <w:sz w:val="22"/>
          <w:szCs w:val="22"/>
        </w:rPr>
        <w:t xml:space="preserve">Given the lack of services within suitable walking distance to the north east growth corridor area it is recommended that a facility for maternal child health services is provided as part of the proposed community centre. </w:t>
      </w:r>
    </w:p>
    <w:p w:rsidR="00AD7473" w:rsidRPr="00272C75" w:rsidRDefault="00AD7473" w:rsidP="00272C75">
      <w:pPr>
        <w:rPr>
          <w:rFonts w:ascii="Arial" w:hAnsi="Arial" w:cs="Arial"/>
          <w:sz w:val="22"/>
          <w:szCs w:val="22"/>
        </w:rPr>
      </w:pPr>
    </w:p>
    <w:p w:rsidR="00416B44" w:rsidRDefault="00272C75" w:rsidP="00272C75">
      <w:pPr>
        <w:rPr>
          <w:rFonts w:ascii="Arial" w:hAnsi="Arial" w:cs="Arial"/>
          <w:sz w:val="22"/>
          <w:szCs w:val="22"/>
        </w:rPr>
      </w:pPr>
      <w:r w:rsidRPr="00272C75">
        <w:rPr>
          <w:rFonts w:ascii="Arial" w:hAnsi="Arial" w:cs="Arial"/>
          <w:sz w:val="22"/>
          <w:szCs w:val="22"/>
        </w:rPr>
        <w:t xml:space="preserve">For four-year-old Kindergartens in the City of Greater Shepparton, current and expected future demand are highest in the central, north east and south east of Shepparton, in Mooroopna and in Kialla, which are linked to the identified growth corridors. The population characteristics of these areas (e.g., higher proportions of Aboriginal people, people who are </w:t>
      </w:r>
      <w:r w:rsidRPr="00272C75">
        <w:rPr>
          <w:rFonts w:ascii="Arial" w:hAnsi="Arial" w:cs="Arial"/>
          <w:sz w:val="22"/>
          <w:szCs w:val="22"/>
        </w:rPr>
        <w:lastRenderedPageBreak/>
        <w:t>not fluent in English) also mean that there is a need for Kindergartens to provide culturally appropriate services.</w:t>
      </w:r>
    </w:p>
    <w:p w:rsidR="00272C75" w:rsidRPr="00272C75" w:rsidRDefault="006D24AC" w:rsidP="00272C75">
      <w:pPr>
        <w:rPr>
          <w:rFonts w:ascii="Arial" w:hAnsi="Arial" w:cs="Arial"/>
          <w:sz w:val="22"/>
          <w:szCs w:val="22"/>
        </w:rPr>
      </w:pPr>
      <w:r>
        <w:rPr>
          <w:rFonts w:ascii="Arial" w:hAnsi="Arial" w:cs="Arial"/>
          <w:sz w:val="16"/>
          <w:szCs w:val="16"/>
        </w:rPr>
        <w:t>(</w:t>
      </w:r>
      <w:r w:rsidR="004D1488" w:rsidRPr="004D1488">
        <w:rPr>
          <w:rFonts w:ascii="Arial" w:hAnsi="Arial" w:cs="Arial"/>
          <w:sz w:val="16"/>
          <w:szCs w:val="16"/>
        </w:rPr>
        <w:t>Early Years Service Review and Future Demand Analysis: Final Report, Urbis November 2011</w:t>
      </w:r>
      <w:r>
        <w:rPr>
          <w:rFonts w:ascii="Arial" w:hAnsi="Arial" w:cs="Arial"/>
          <w:sz w:val="16"/>
          <w:szCs w:val="16"/>
        </w:rPr>
        <w:t>)</w:t>
      </w:r>
    </w:p>
    <w:p w:rsidR="00DF5574" w:rsidRPr="00693E70" w:rsidRDefault="00DF5574" w:rsidP="00DF5574">
      <w:pPr>
        <w:pStyle w:val="Default"/>
        <w:rPr>
          <w:sz w:val="22"/>
          <w:szCs w:val="22"/>
        </w:rPr>
      </w:pPr>
    </w:p>
    <w:p w:rsidR="00272C75" w:rsidRPr="00272C75" w:rsidRDefault="00272C75" w:rsidP="00272C75"/>
    <w:p w:rsidR="00DF5574" w:rsidRPr="006B08B1" w:rsidRDefault="00DF5574" w:rsidP="00DF5574">
      <w:pPr>
        <w:pStyle w:val="Default"/>
        <w:rPr>
          <w:rFonts w:eastAsia="Times New Roman"/>
          <w:color w:val="auto"/>
          <w:sz w:val="22"/>
        </w:rPr>
      </w:pPr>
    </w:p>
    <w:p w:rsidR="00DF5574" w:rsidRDefault="00DF5574" w:rsidP="00DF5574">
      <w:pPr>
        <w:rPr>
          <w:sz w:val="20"/>
          <w:szCs w:val="20"/>
        </w:rPr>
      </w:pPr>
    </w:p>
    <w:p w:rsidR="00DF5574" w:rsidRDefault="00DF5574" w:rsidP="00DF5574">
      <w:pPr>
        <w:rPr>
          <w:rFonts w:ascii="Arial" w:hAnsi="Arial" w:cs="Arial"/>
          <w:b/>
          <w:sz w:val="22"/>
        </w:rPr>
      </w:pPr>
    </w:p>
    <w:p w:rsidR="00DF5574" w:rsidRDefault="00DF5574" w:rsidP="00DF5574">
      <w:pPr>
        <w:rPr>
          <w:rFonts w:ascii="Arial" w:hAnsi="Arial" w:cs="Arial"/>
          <w:b/>
          <w:sz w:val="22"/>
        </w:rPr>
      </w:pPr>
    </w:p>
    <w:p w:rsidR="00DF5574" w:rsidRPr="006B08B1" w:rsidRDefault="00DF5574" w:rsidP="00DF5574">
      <w:pPr>
        <w:rPr>
          <w:sz w:val="20"/>
          <w:szCs w:val="20"/>
        </w:rPr>
      </w:pPr>
    </w:p>
    <w:p w:rsidR="00DF5574" w:rsidRDefault="00DF5574" w:rsidP="00192050">
      <w:pPr>
        <w:pStyle w:val="Heading2"/>
      </w:pPr>
    </w:p>
    <w:p w:rsidR="00635594" w:rsidRDefault="00635594" w:rsidP="00A95448">
      <w:pPr>
        <w:spacing w:after="200" w:line="276" w:lineRule="auto"/>
        <w:rPr>
          <w:rFonts w:ascii="Arial" w:hAnsi="Arial" w:cs="Arial"/>
          <w:sz w:val="22"/>
          <w:szCs w:val="22"/>
        </w:rPr>
      </w:pPr>
      <w:r>
        <w:rPr>
          <w:rFonts w:ascii="Arial" w:hAnsi="Arial" w:cs="Arial"/>
          <w:sz w:val="22"/>
          <w:szCs w:val="22"/>
        </w:rPr>
        <w:br w:type="page"/>
      </w:r>
    </w:p>
    <w:p w:rsidR="00635594" w:rsidRDefault="00635594" w:rsidP="00192050">
      <w:pPr>
        <w:pStyle w:val="Heading2"/>
      </w:pPr>
      <w:bookmarkStart w:id="71" w:name="_Toc343006838"/>
      <w:bookmarkStart w:id="72" w:name="_Toc325725933"/>
      <w:bookmarkStart w:id="73" w:name="_Toc335820980"/>
      <w:r w:rsidRPr="00192050">
        <w:lastRenderedPageBreak/>
        <w:t>Universal Housing</w:t>
      </w:r>
      <w:bookmarkEnd w:id="71"/>
      <w:r w:rsidRPr="00192050">
        <w:t xml:space="preserve"> </w:t>
      </w:r>
      <w:bookmarkEnd w:id="72"/>
      <w:bookmarkEnd w:id="73"/>
    </w:p>
    <w:p w:rsidR="00635594" w:rsidRPr="00905164" w:rsidRDefault="004317EA" w:rsidP="00192050">
      <w:pPr>
        <w:rPr>
          <w:rFonts w:ascii="Arial" w:hAnsi="Arial" w:cs="Arial"/>
          <w:sz w:val="22"/>
          <w:szCs w:val="22"/>
        </w:rPr>
      </w:pPr>
      <w:r>
        <w:rPr>
          <w:rFonts w:ascii="Arial" w:hAnsi="Arial" w:cs="Arial"/>
          <w:sz w:val="22"/>
          <w:szCs w:val="22"/>
        </w:rPr>
        <w:t>In accordance with the greater Shepparton Public Health Plan, universal h</w:t>
      </w:r>
      <w:r w:rsidR="00635594" w:rsidRPr="00905164">
        <w:rPr>
          <w:rFonts w:ascii="Arial" w:hAnsi="Arial" w:cs="Arial"/>
          <w:sz w:val="22"/>
          <w:szCs w:val="22"/>
        </w:rPr>
        <w:t>ousing design</w:t>
      </w:r>
      <w:r>
        <w:rPr>
          <w:rFonts w:ascii="Arial" w:hAnsi="Arial" w:cs="Arial"/>
          <w:sz w:val="22"/>
          <w:szCs w:val="22"/>
        </w:rPr>
        <w:t xml:space="preserve"> is desired as part of all private and public dwellings. It</w:t>
      </w:r>
      <w:r w:rsidR="00635594" w:rsidRPr="00905164">
        <w:rPr>
          <w:rFonts w:ascii="Arial" w:hAnsi="Arial" w:cs="Arial"/>
          <w:sz w:val="22"/>
          <w:szCs w:val="22"/>
        </w:rPr>
        <w:t xml:space="preserve"> means designing Australian homes to meet the chaining needs of home occupants across their lifetime. It recommends the inclusion of key easy living features that aim to make homes easier and safer to use for all occupants including: people with disability, ageing Australians, people with temporary injuries, and families with young children.</w:t>
      </w:r>
    </w:p>
    <w:p w:rsidR="00635594" w:rsidRPr="00192050" w:rsidRDefault="00635594" w:rsidP="00192050">
      <w:pPr>
        <w:rPr>
          <w:rFonts w:ascii="Arial" w:hAnsi="Arial" w:cs="Arial"/>
        </w:rPr>
      </w:pPr>
    </w:p>
    <w:p w:rsidR="00635594" w:rsidRPr="00905164" w:rsidRDefault="00635594" w:rsidP="00192050">
      <w:pPr>
        <w:rPr>
          <w:rFonts w:ascii="Arial" w:hAnsi="Arial" w:cs="Arial"/>
          <w:sz w:val="22"/>
          <w:szCs w:val="22"/>
        </w:rPr>
      </w:pPr>
      <w:r w:rsidRPr="00905164">
        <w:rPr>
          <w:rFonts w:ascii="Arial" w:hAnsi="Arial" w:cs="Arial"/>
          <w:sz w:val="22"/>
          <w:szCs w:val="22"/>
        </w:rPr>
        <w:t>A universally designed home should:</w:t>
      </w:r>
    </w:p>
    <w:p w:rsidR="00635594" w:rsidRPr="00905164" w:rsidRDefault="00635594" w:rsidP="00E01793">
      <w:pPr>
        <w:pStyle w:val="ListParagraph"/>
        <w:numPr>
          <w:ilvl w:val="0"/>
          <w:numId w:val="15"/>
        </w:numPr>
        <w:rPr>
          <w:rFonts w:ascii="Arial" w:eastAsiaTheme="minorHAnsi" w:hAnsi="Arial" w:cs="Arial"/>
          <w:sz w:val="22"/>
          <w:szCs w:val="22"/>
        </w:rPr>
      </w:pPr>
      <w:r w:rsidRPr="00905164">
        <w:rPr>
          <w:rFonts w:ascii="Arial" w:hAnsi="Arial" w:cs="Arial"/>
          <w:sz w:val="22"/>
          <w:szCs w:val="22"/>
        </w:rPr>
        <w:t>be easy to enter;</w:t>
      </w:r>
    </w:p>
    <w:p w:rsidR="00635594" w:rsidRPr="00905164" w:rsidRDefault="00635594" w:rsidP="00E01793">
      <w:pPr>
        <w:pStyle w:val="ListParagraph"/>
        <w:numPr>
          <w:ilvl w:val="0"/>
          <w:numId w:val="15"/>
        </w:numPr>
        <w:rPr>
          <w:rFonts w:ascii="Arial" w:eastAsiaTheme="minorHAnsi" w:hAnsi="Arial" w:cs="Arial"/>
          <w:sz w:val="22"/>
          <w:szCs w:val="22"/>
        </w:rPr>
      </w:pPr>
      <w:r w:rsidRPr="00905164">
        <w:rPr>
          <w:rFonts w:ascii="Arial" w:hAnsi="Arial" w:cs="Arial"/>
          <w:sz w:val="22"/>
          <w:szCs w:val="22"/>
        </w:rPr>
        <w:t>be easy to move in and around;</w:t>
      </w:r>
    </w:p>
    <w:p w:rsidR="00635594" w:rsidRPr="00905164" w:rsidRDefault="00635594" w:rsidP="00E01793">
      <w:pPr>
        <w:pStyle w:val="ListParagraph"/>
        <w:numPr>
          <w:ilvl w:val="0"/>
          <w:numId w:val="15"/>
        </w:numPr>
        <w:rPr>
          <w:rFonts w:ascii="Arial" w:eastAsiaTheme="minorHAnsi" w:hAnsi="Arial" w:cs="Arial"/>
          <w:sz w:val="22"/>
          <w:szCs w:val="22"/>
        </w:rPr>
      </w:pPr>
      <w:r w:rsidRPr="00905164">
        <w:rPr>
          <w:rFonts w:ascii="Arial" w:hAnsi="Arial" w:cs="Arial"/>
          <w:sz w:val="22"/>
          <w:szCs w:val="22"/>
        </w:rPr>
        <w:t>be capable of easy and cost-effective adaptation; and</w:t>
      </w:r>
    </w:p>
    <w:p w:rsidR="000D106C" w:rsidRPr="00905164" w:rsidRDefault="00635594" w:rsidP="000D106C">
      <w:pPr>
        <w:pStyle w:val="ListParagraph"/>
        <w:numPr>
          <w:ilvl w:val="0"/>
          <w:numId w:val="15"/>
        </w:numPr>
        <w:rPr>
          <w:rFonts w:ascii="Arial" w:hAnsi="Arial" w:cs="Arial"/>
          <w:sz w:val="22"/>
          <w:szCs w:val="22"/>
        </w:rPr>
      </w:pPr>
      <w:r w:rsidRPr="00905164">
        <w:rPr>
          <w:rFonts w:ascii="Arial" w:hAnsi="Arial" w:cs="Arial"/>
          <w:sz w:val="22"/>
          <w:szCs w:val="22"/>
        </w:rPr>
        <w:t>be designed to anticipate and respond to the changing needs of home occupants.</w:t>
      </w:r>
    </w:p>
    <w:p w:rsidR="00635594" w:rsidRPr="00905164" w:rsidRDefault="00635594" w:rsidP="00192050">
      <w:pPr>
        <w:rPr>
          <w:rFonts w:ascii="Arial" w:eastAsiaTheme="minorHAnsi" w:hAnsi="Arial" w:cs="Arial"/>
          <w:sz w:val="22"/>
          <w:szCs w:val="22"/>
        </w:rPr>
      </w:pPr>
    </w:p>
    <w:p w:rsidR="00D43C7D" w:rsidRPr="00905164" w:rsidRDefault="00635594" w:rsidP="00192050">
      <w:pPr>
        <w:rPr>
          <w:rFonts w:ascii="Arial" w:hAnsi="Arial" w:cs="Arial"/>
          <w:sz w:val="22"/>
          <w:szCs w:val="22"/>
        </w:rPr>
      </w:pPr>
      <w:r w:rsidRPr="00905164">
        <w:rPr>
          <w:rFonts w:ascii="Arial" w:hAnsi="Arial" w:cs="Arial"/>
          <w:i/>
          <w:sz w:val="22"/>
          <w:szCs w:val="22"/>
        </w:rPr>
        <w:t>A universally designed home seeks to enhance the quality of life for all occupants at all stages of their life by including safer and more user friendly design features</w:t>
      </w:r>
      <w:r w:rsidRPr="00905164">
        <w:rPr>
          <w:rFonts w:ascii="Arial" w:hAnsi="Arial" w:cs="Arial"/>
          <w:sz w:val="22"/>
          <w:szCs w:val="22"/>
        </w:rPr>
        <w:t>.</w:t>
      </w:r>
      <w:r w:rsidR="00D43C7D" w:rsidRPr="00905164">
        <w:rPr>
          <w:rFonts w:ascii="Arial" w:hAnsi="Arial" w:cs="Arial"/>
          <w:sz w:val="22"/>
          <w:szCs w:val="22"/>
        </w:rPr>
        <w:t xml:space="preserve"> </w:t>
      </w:r>
    </w:p>
    <w:p w:rsidR="00635594" w:rsidRPr="00192050" w:rsidRDefault="006D24AC" w:rsidP="00192050">
      <w:pPr>
        <w:rPr>
          <w:rFonts w:ascii="Arial" w:hAnsi="Arial" w:cs="Arial"/>
        </w:rPr>
      </w:pPr>
      <w:r>
        <w:rPr>
          <w:rFonts w:ascii="Arial" w:hAnsi="Arial" w:cs="Arial"/>
          <w:sz w:val="16"/>
          <w:szCs w:val="16"/>
        </w:rPr>
        <w:t>(</w:t>
      </w:r>
      <w:r w:rsidR="00635594" w:rsidRPr="00192050">
        <w:rPr>
          <w:rFonts w:ascii="Arial" w:hAnsi="Arial" w:cs="Arial"/>
          <w:sz w:val="16"/>
          <w:szCs w:val="16"/>
        </w:rPr>
        <w:t>National Dialogue on Universal Housing Design 2010</w:t>
      </w:r>
      <w:r>
        <w:rPr>
          <w:rFonts w:ascii="Arial" w:hAnsi="Arial" w:cs="Arial"/>
          <w:sz w:val="16"/>
          <w:szCs w:val="16"/>
        </w:rPr>
        <w:t>)</w:t>
      </w:r>
    </w:p>
    <w:p w:rsidR="00DF5574" w:rsidRPr="00757786" w:rsidRDefault="00E7071C" w:rsidP="009125D9">
      <w:pPr>
        <w:pStyle w:val="Heading1"/>
      </w:pPr>
      <w:hyperlink w:anchor="_Toc287950123" w:history="1">
        <w:bookmarkStart w:id="74" w:name="_Toc335820984"/>
        <w:bookmarkStart w:id="75" w:name="_Toc325725946"/>
        <w:bookmarkStart w:id="76" w:name="_Toc343006839"/>
        <w:r w:rsidR="00DF5574" w:rsidRPr="00757786">
          <w:t>North-East Growth Corridor Structure Plan</w:t>
        </w:r>
        <w:bookmarkEnd w:id="74"/>
        <w:bookmarkEnd w:id="75"/>
        <w:bookmarkEnd w:id="76"/>
      </w:hyperlink>
    </w:p>
    <w:p w:rsidR="00DF5574" w:rsidRDefault="00DF5574" w:rsidP="009F11B3">
      <w:pPr>
        <w:pStyle w:val="Heading3"/>
      </w:pPr>
      <w:bookmarkStart w:id="77" w:name="_Toc325725947"/>
      <w:bookmarkStart w:id="78" w:name="_Toc335820985"/>
      <w:bookmarkStart w:id="79" w:name="_Toc343006840"/>
      <w:r w:rsidRPr="001610D9">
        <w:t>Preferred option of Activity Centre and Primary School location</w:t>
      </w:r>
      <w:bookmarkEnd w:id="77"/>
      <w:bookmarkEnd w:id="78"/>
      <w:bookmarkEnd w:id="79"/>
    </w:p>
    <w:p w:rsidR="00DF5574" w:rsidRPr="00905164" w:rsidRDefault="00BF5D8F" w:rsidP="00DF5574">
      <w:pPr>
        <w:rPr>
          <w:rFonts w:ascii="Arial" w:eastAsiaTheme="minorHAnsi" w:hAnsi="Arial" w:cs="Arial"/>
          <w:sz w:val="22"/>
          <w:szCs w:val="22"/>
        </w:rPr>
      </w:pPr>
      <w:r w:rsidRPr="00905164">
        <w:rPr>
          <w:rFonts w:ascii="Arial" w:eastAsiaTheme="minorHAnsi" w:hAnsi="Arial" w:cs="Arial"/>
          <w:sz w:val="22"/>
          <w:szCs w:val="22"/>
        </w:rPr>
        <w:t>In accordance with the draft structure plan for the Shepparton North-East Growth Corridor, t</w:t>
      </w:r>
      <w:r w:rsidR="00DF5574" w:rsidRPr="00905164">
        <w:rPr>
          <w:rFonts w:ascii="Arial" w:eastAsiaTheme="minorHAnsi" w:hAnsi="Arial" w:cs="Arial"/>
          <w:sz w:val="22"/>
          <w:szCs w:val="22"/>
        </w:rPr>
        <w:t>he activity centre, including retail shops and a community centre will be</w:t>
      </w:r>
      <w:r w:rsidR="005E1DCE" w:rsidRPr="00905164">
        <w:rPr>
          <w:rFonts w:ascii="Arial" w:eastAsiaTheme="minorHAnsi" w:hAnsi="Arial" w:cs="Arial"/>
          <w:sz w:val="22"/>
          <w:szCs w:val="22"/>
        </w:rPr>
        <w:t xml:space="preserve"> located with access to Verney Road, </w:t>
      </w:r>
      <w:r w:rsidR="00DF5574" w:rsidRPr="00905164">
        <w:rPr>
          <w:rFonts w:ascii="Arial" w:eastAsiaTheme="minorHAnsi" w:hAnsi="Arial" w:cs="Arial"/>
          <w:sz w:val="22"/>
          <w:szCs w:val="22"/>
        </w:rPr>
        <w:t xml:space="preserve">opposite the Christian Community School. Public open space, e.g. a </w:t>
      </w:r>
      <w:r w:rsidR="005E1DCE" w:rsidRPr="00905164">
        <w:rPr>
          <w:rFonts w:ascii="Arial" w:eastAsiaTheme="minorHAnsi" w:hAnsi="Arial" w:cs="Arial"/>
          <w:sz w:val="22"/>
          <w:szCs w:val="22"/>
        </w:rPr>
        <w:t xml:space="preserve">public </w:t>
      </w:r>
      <w:r w:rsidR="00DF5574" w:rsidRPr="00905164">
        <w:rPr>
          <w:rFonts w:ascii="Arial" w:eastAsiaTheme="minorHAnsi" w:hAnsi="Arial" w:cs="Arial"/>
          <w:sz w:val="22"/>
          <w:szCs w:val="22"/>
        </w:rPr>
        <w:t>park, will be co-located to the east of the activity centre site.</w:t>
      </w:r>
    </w:p>
    <w:p w:rsidR="008176D1" w:rsidRDefault="00B17281" w:rsidP="00E65401">
      <w:pPr>
        <w:spacing w:before="100" w:beforeAutospacing="1" w:after="100" w:afterAutospacing="1"/>
        <w:ind w:right="720"/>
        <w:jc w:val="both"/>
        <w:rPr>
          <w:rFonts w:ascii="Arial" w:eastAsiaTheme="minorHAnsi" w:hAnsi="Arial" w:cs="Arial"/>
          <w:sz w:val="22"/>
          <w:szCs w:val="22"/>
        </w:rPr>
      </w:pPr>
      <w:r w:rsidRPr="00905164">
        <w:rPr>
          <w:rFonts w:ascii="Arial" w:eastAsiaTheme="minorHAnsi" w:hAnsi="Arial" w:cs="Arial"/>
          <w:sz w:val="22"/>
          <w:szCs w:val="22"/>
        </w:rPr>
        <w:t xml:space="preserve">From discussion with the Principal of </w:t>
      </w:r>
      <w:r w:rsidR="00B95B35" w:rsidRPr="00905164">
        <w:rPr>
          <w:rFonts w:ascii="Arial" w:eastAsiaTheme="minorHAnsi" w:hAnsi="Arial" w:cs="Arial"/>
          <w:sz w:val="22"/>
          <w:szCs w:val="22"/>
        </w:rPr>
        <w:t xml:space="preserve">Grahamvale Primary School </w:t>
      </w:r>
      <w:r w:rsidRPr="00905164">
        <w:rPr>
          <w:rFonts w:ascii="Arial" w:eastAsiaTheme="minorHAnsi" w:hAnsi="Arial" w:cs="Arial"/>
          <w:sz w:val="22"/>
          <w:szCs w:val="22"/>
        </w:rPr>
        <w:t>it is confirmed that</w:t>
      </w:r>
      <w:r w:rsidR="00B95B35" w:rsidRPr="00905164">
        <w:rPr>
          <w:rFonts w:ascii="Arial" w:eastAsiaTheme="minorHAnsi" w:hAnsi="Arial" w:cs="Arial"/>
          <w:sz w:val="22"/>
          <w:szCs w:val="22"/>
        </w:rPr>
        <w:t xml:space="preserve"> the school</w:t>
      </w:r>
      <w:r w:rsidRPr="00905164">
        <w:rPr>
          <w:rFonts w:ascii="Arial" w:eastAsiaTheme="minorHAnsi" w:hAnsi="Arial" w:cs="Arial"/>
          <w:sz w:val="22"/>
          <w:szCs w:val="22"/>
        </w:rPr>
        <w:t xml:space="preserve"> </w:t>
      </w:r>
      <w:r w:rsidR="00DF5574" w:rsidRPr="00905164">
        <w:rPr>
          <w:rFonts w:ascii="Arial" w:eastAsiaTheme="minorHAnsi" w:hAnsi="Arial" w:cs="Arial"/>
          <w:sz w:val="22"/>
          <w:szCs w:val="22"/>
        </w:rPr>
        <w:t>will</w:t>
      </w:r>
      <w:r w:rsidR="003806DD" w:rsidRPr="00905164">
        <w:rPr>
          <w:rFonts w:ascii="Arial" w:eastAsiaTheme="minorHAnsi" w:hAnsi="Arial" w:cs="Arial"/>
          <w:sz w:val="22"/>
          <w:szCs w:val="22"/>
        </w:rPr>
        <w:t xml:space="preserve"> remain in its current location. As the school currently lacks sufficient indoor and outdoor space, expansio</w:t>
      </w:r>
      <w:r w:rsidR="00B44793" w:rsidRPr="00905164">
        <w:rPr>
          <w:rFonts w:ascii="Arial" w:eastAsiaTheme="minorHAnsi" w:hAnsi="Arial" w:cs="Arial"/>
          <w:sz w:val="22"/>
          <w:szCs w:val="22"/>
        </w:rPr>
        <w:t>n of the school is being discussed</w:t>
      </w:r>
      <w:r w:rsidR="008176D1" w:rsidRPr="00905164">
        <w:rPr>
          <w:rFonts w:ascii="Arial" w:eastAsiaTheme="minorHAnsi" w:hAnsi="Arial" w:cs="Arial"/>
          <w:sz w:val="22"/>
          <w:szCs w:val="22"/>
        </w:rPr>
        <w:t xml:space="preserve">. </w:t>
      </w:r>
      <w:r w:rsidR="004A3A8A" w:rsidRPr="00905164">
        <w:rPr>
          <w:rFonts w:ascii="Arial" w:eastAsiaTheme="minorHAnsi" w:hAnsi="Arial" w:cs="Arial"/>
          <w:sz w:val="22"/>
          <w:szCs w:val="22"/>
        </w:rPr>
        <w:t xml:space="preserve">The school </w:t>
      </w:r>
      <w:r w:rsidR="00211761">
        <w:rPr>
          <w:rFonts w:ascii="Arial" w:eastAsiaTheme="minorHAnsi" w:hAnsi="Arial" w:cs="Arial"/>
          <w:sz w:val="22"/>
          <w:szCs w:val="22"/>
        </w:rPr>
        <w:t xml:space="preserve">currently </w:t>
      </w:r>
      <w:r w:rsidR="003806DD" w:rsidRPr="00905164">
        <w:rPr>
          <w:rFonts w:ascii="Arial" w:eastAsiaTheme="minorHAnsi" w:hAnsi="Arial" w:cs="Arial"/>
          <w:sz w:val="22"/>
          <w:szCs w:val="22"/>
        </w:rPr>
        <w:t xml:space="preserve">meets the Department of Education and Early Childhood Development (DEECD) </w:t>
      </w:r>
      <w:r w:rsidR="008176D1" w:rsidRPr="00905164">
        <w:rPr>
          <w:rFonts w:ascii="Arial" w:eastAsiaTheme="minorHAnsi" w:hAnsi="Arial" w:cs="Arial"/>
          <w:sz w:val="22"/>
          <w:szCs w:val="22"/>
        </w:rPr>
        <w:t xml:space="preserve">criteria for site extension. </w:t>
      </w:r>
      <w:r w:rsidR="003806DD" w:rsidRPr="00905164">
        <w:rPr>
          <w:rFonts w:ascii="Arial" w:eastAsiaTheme="minorHAnsi" w:hAnsi="Arial" w:cs="Arial"/>
          <w:sz w:val="22"/>
          <w:szCs w:val="22"/>
        </w:rPr>
        <w:t>The school is set on 1.6 hectares and has an enrolment cap of 400 students</w:t>
      </w:r>
      <w:r w:rsidR="00B44793" w:rsidRPr="00905164">
        <w:rPr>
          <w:rFonts w:ascii="Arial" w:eastAsiaTheme="minorHAnsi" w:hAnsi="Arial" w:cs="Arial"/>
          <w:sz w:val="22"/>
          <w:szCs w:val="22"/>
        </w:rPr>
        <w:t>.</w:t>
      </w:r>
    </w:p>
    <w:p w:rsidR="00830F71" w:rsidRDefault="00616D8F" w:rsidP="00616D8F">
      <w:pPr>
        <w:pStyle w:val="Heading3"/>
      </w:pPr>
      <w:bookmarkStart w:id="80" w:name="_Toc325725954"/>
      <w:bookmarkStart w:id="81" w:name="_Toc335820992"/>
      <w:bookmarkStart w:id="82" w:name="_Toc343006841"/>
      <w:r>
        <w:t xml:space="preserve">Community </w:t>
      </w:r>
      <w:r w:rsidRPr="001610D9">
        <w:t>Centre</w:t>
      </w:r>
      <w:bookmarkStart w:id="83" w:name="_Toc325725945"/>
      <w:bookmarkStart w:id="84" w:name="_Toc335820981"/>
      <w:bookmarkEnd w:id="80"/>
      <w:bookmarkEnd w:id="81"/>
      <w:bookmarkEnd w:id="82"/>
    </w:p>
    <w:p w:rsidR="00336E4D" w:rsidRPr="009E70D2" w:rsidRDefault="00336E4D" w:rsidP="00830F71">
      <w:pPr>
        <w:rPr>
          <w:rFonts w:eastAsiaTheme="minorHAnsi"/>
        </w:rPr>
      </w:pPr>
      <w:r w:rsidRPr="00830F71">
        <w:rPr>
          <w:rFonts w:ascii="Arial" w:eastAsiaTheme="minorHAnsi" w:hAnsi="Arial" w:cs="Arial"/>
          <w:sz w:val="22"/>
          <w:szCs w:val="22"/>
        </w:rPr>
        <w:t xml:space="preserve">As previously stated in the original report from 2008, there are a range of community facilities in the northern area of Shepparton. However, none of them are within reasonable walking distance from, the North East Growth Corridor area and therefore not easily accessible by walking or public transport. This creates some gaps in service provision and it is recommended that a community centre including Maternal Child Health facility, meeting rooms and a Kindergarten to be located as part of the proposed activity centre </w:t>
      </w:r>
      <w:r w:rsidR="00A240F5" w:rsidRPr="00830F71">
        <w:rPr>
          <w:rFonts w:ascii="Arial" w:eastAsiaTheme="minorHAnsi" w:hAnsi="Arial" w:cs="Arial"/>
          <w:sz w:val="22"/>
          <w:szCs w:val="22"/>
        </w:rPr>
        <w:t>near the Shepparton Christian Community School on Verney Road, just north of Hawkins Street.</w:t>
      </w:r>
    </w:p>
    <w:p w:rsidR="001C1330" w:rsidRPr="001C1330" w:rsidRDefault="001C1330" w:rsidP="001C1330">
      <w:pPr>
        <w:rPr>
          <w:rFonts w:eastAsiaTheme="minorHAnsi"/>
        </w:rPr>
      </w:pPr>
    </w:p>
    <w:tbl>
      <w:tblPr>
        <w:tblStyle w:val="TableGrid"/>
        <w:tblW w:w="0" w:type="auto"/>
        <w:tblLook w:val="04A0"/>
      </w:tblPr>
      <w:tblGrid>
        <w:gridCol w:w="9242"/>
      </w:tblGrid>
      <w:tr w:rsidR="00616D8F" w:rsidTr="00616D8F">
        <w:tc>
          <w:tcPr>
            <w:tcW w:w="9242" w:type="dxa"/>
          </w:tcPr>
          <w:p w:rsidR="00616D8F" w:rsidRDefault="00616D8F" w:rsidP="005521A2">
            <w:pPr>
              <w:autoSpaceDE w:val="0"/>
              <w:autoSpaceDN w:val="0"/>
              <w:adjustRightInd w:val="0"/>
              <w:rPr>
                <w:rFonts w:ascii="Arial" w:eastAsiaTheme="minorHAnsi" w:hAnsi="Arial" w:cs="Arial"/>
                <w:sz w:val="20"/>
                <w:szCs w:val="20"/>
              </w:rPr>
            </w:pPr>
          </w:p>
          <w:p w:rsidR="00616D8F" w:rsidRDefault="00AB226B" w:rsidP="005521A2">
            <w:pPr>
              <w:autoSpaceDE w:val="0"/>
              <w:autoSpaceDN w:val="0"/>
              <w:adjustRightInd w:val="0"/>
              <w:rPr>
                <w:rFonts w:ascii="Arial" w:eastAsiaTheme="minorHAnsi" w:hAnsi="Arial" w:cs="Arial"/>
              </w:rPr>
            </w:pPr>
            <w:r>
              <w:rPr>
                <w:rFonts w:ascii="Arial" w:eastAsiaTheme="minorHAnsi" w:hAnsi="Arial" w:cs="Arial"/>
              </w:rPr>
              <w:t>A community</w:t>
            </w:r>
            <w:r w:rsidR="00616D8F" w:rsidRPr="0031360A">
              <w:rPr>
                <w:rFonts w:ascii="Arial" w:eastAsiaTheme="minorHAnsi" w:hAnsi="Arial" w:cs="Arial"/>
              </w:rPr>
              <w:t xml:space="preserve"> centre in the Shepparton North-East Growth Area is further supported by </w:t>
            </w:r>
            <w:r w:rsidR="00616D8F" w:rsidRPr="0031360A">
              <w:rPr>
                <w:rFonts w:ascii="Arial" w:eastAsiaTheme="minorHAnsi" w:hAnsi="Arial" w:cs="Arial"/>
                <w:i/>
                <w:iCs/>
              </w:rPr>
              <w:t>Safer</w:t>
            </w:r>
            <w:r w:rsidR="00616D8F">
              <w:rPr>
                <w:rFonts w:ascii="Arial" w:eastAsiaTheme="minorHAnsi" w:hAnsi="Arial" w:cs="Arial"/>
                <w:i/>
                <w:iCs/>
              </w:rPr>
              <w:t xml:space="preserve"> </w:t>
            </w:r>
            <w:r w:rsidR="00616D8F" w:rsidRPr="0031360A">
              <w:rPr>
                <w:rFonts w:ascii="Arial" w:eastAsiaTheme="minorHAnsi" w:hAnsi="Arial" w:cs="Arial"/>
                <w:i/>
                <w:iCs/>
              </w:rPr>
              <w:t xml:space="preserve">Design Guidelines for Victoria </w:t>
            </w:r>
            <w:r w:rsidR="00616D8F" w:rsidRPr="0031360A">
              <w:rPr>
                <w:rFonts w:ascii="Arial" w:eastAsiaTheme="minorHAnsi" w:hAnsi="Arial" w:cs="Arial"/>
              </w:rPr>
              <w:t>which specifies urban areas should have walkable neighbourhoods,</w:t>
            </w:r>
            <w:r w:rsidR="00616D8F">
              <w:rPr>
                <w:rFonts w:ascii="Arial" w:eastAsiaTheme="minorHAnsi" w:hAnsi="Arial" w:cs="Arial"/>
              </w:rPr>
              <w:t xml:space="preserve"> </w:t>
            </w:r>
            <w:r w:rsidR="00616D8F" w:rsidRPr="0031360A">
              <w:rPr>
                <w:rFonts w:ascii="Arial" w:eastAsiaTheme="minorHAnsi" w:hAnsi="Arial" w:cs="Arial"/>
              </w:rPr>
              <w:t>where all parts of the neighbourhood are within five minutes (400 metres) from the neighbourhood</w:t>
            </w:r>
            <w:r w:rsidR="00616D8F">
              <w:rPr>
                <w:rFonts w:ascii="Arial" w:eastAsiaTheme="minorHAnsi" w:hAnsi="Arial" w:cs="Arial"/>
              </w:rPr>
              <w:t xml:space="preserve"> </w:t>
            </w:r>
            <w:r w:rsidR="00616D8F" w:rsidRPr="0031360A">
              <w:rPr>
                <w:rFonts w:ascii="Arial" w:eastAsiaTheme="minorHAnsi" w:hAnsi="Arial" w:cs="Arial"/>
              </w:rPr>
              <w:t>centre. The proposed neighbourhood centres in north Shepparton are therefore not within convenient</w:t>
            </w:r>
            <w:r w:rsidR="00616D8F">
              <w:rPr>
                <w:rFonts w:ascii="Arial" w:eastAsiaTheme="minorHAnsi" w:hAnsi="Arial" w:cs="Arial"/>
              </w:rPr>
              <w:t xml:space="preserve"> </w:t>
            </w:r>
            <w:r w:rsidR="00616D8F" w:rsidRPr="0031360A">
              <w:rPr>
                <w:rFonts w:ascii="Arial" w:eastAsiaTheme="minorHAnsi" w:hAnsi="Arial" w:cs="Arial"/>
              </w:rPr>
              <w:t>walking distance from the development site. The Shepparton North-East Growth Area needs to ensure community facilities are accessible by walking to prevent social exclusion.</w:t>
            </w:r>
          </w:p>
          <w:p w:rsidR="00616D8F" w:rsidRDefault="00616D8F" w:rsidP="005521A2">
            <w:pPr>
              <w:autoSpaceDE w:val="0"/>
              <w:autoSpaceDN w:val="0"/>
              <w:adjustRightInd w:val="0"/>
              <w:rPr>
                <w:rFonts w:ascii="Arial" w:eastAsiaTheme="minorHAnsi" w:hAnsi="Arial" w:cs="Arial"/>
              </w:rPr>
            </w:pPr>
          </w:p>
          <w:p w:rsidR="00616D8F" w:rsidRPr="00A4128F" w:rsidRDefault="00616D8F" w:rsidP="005521A2">
            <w:pPr>
              <w:autoSpaceDE w:val="0"/>
              <w:autoSpaceDN w:val="0"/>
              <w:adjustRightInd w:val="0"/>
              <w:spacing w:after="160" w:line="221" w:lineRule="atLeast"/>
              <w:rPr>
                <w:rFonts w:ascii="Arial" w:eastAsiaTheme="minorHAnsi" w:hAnsi="Arial" w:cs="Arial"/>
                <w:u w:val="single"/>
              </w:rPr>
            </w:pPr>
            <w:r w:rsidRPr="00A4128F">
              <w:rPr>
                <w:rFonts w:ascii="Arial" w:eastAsiaTheme="minorHAnsi" w:hAnsi="Arial" w:cs="Arial"/>
                <w:iCs/>
                <w:u w:val="single"/>
              </w:rPr>
              <w:t>Growth Area Authority Precinct Structure Planning Guidelines</w:t>
            </w:r>
            <w:r w:rsidRPr="00A4128F">
              <w:rPr>
                <w:rFonts w:ascii="Arial" w:eastAsiaTheme="minorHAnsi" w:hAnsi="Arial" w:cs="Arial"/>
                <w:u w:val="single"/>
              </w:rPr>
              <w:t>.</w:t>
            </w:r>
            <w:r w:rsidRPr="00A4128F">
              <w:rPr>
                <w:rFonts w:ascii="Arial" w:eastAsiaTheme="minorHAnsi" w:hAnsi="Arial" w:cs="Arial"/>
                <w:u w:val="single"/>
              </w:rPr>
              <w:br/>
            </w:r>
            <w:r w:rsidRPr="00A4128F">
              <w:rPr>
                <w:rFonts w:ascii="Arial" w:eastAsiaTheme="minorHAnsi" w:hAnsi="Arial" w:cs="Arial"/>
                <w:u w:val="single"/>
              </w:rPr>
              <w:lastRenderedPageBreak/>
              <w:t xml:space="preserve">The precinct structure plan should respond to the following standards: </w:t>
            </w:r>
          </w:p>
          <w:p w:rsidR="00616D8F" w:rsidRPr="000B1396" w:rsidRDefault="00616D8F" w:rsidP="005521A2">
            <w:pPr>
              <w:autoSpaceDE w:val="0"/>
              <w:autoSpaceDN w:val="0"/>
              <w:adjustRightInd w:val="0"/>
              <w:spacing w:after="160" w:line="221" w:lineRule="atLeast"/>
              <w:rPr>
                <w:rFonts w:ascii="Arial" w:eastAsiaTheme="minorHAnsi" w:hAnsi="Arial" w:cs="Arial"/>
              </w:rPr>
            </w:pPr>
            <w:r>
              <w:rPr>
                <w:rFonts w:ascii="Arial" w:eastAsiaTheme="minorHAnsi" w:hAnsi="Arial" w:cs="Arial"/>
              </w:rPr>
              <w:t xml:space="preserve">S1: </w:t>
            </w:r>
            <w:r w:rsidRPr="000B1396">
              <w:rPr>
                <w:rFonts w:ascii="Arial" w:eastAsiaTheme="minorHAnsi" w:hAnsi="Arial" w:cs="Arial"/>
              </w:rPr>
              <w:t xml:space="preserve">Community facilities (e.g. schools, community centres, active open space) are generally co-located with each other, and located either close to a neighbourhood activity centre or with good visual and physical links to a neighbourhood activity centre. </w:t>
            </w:r>
          </w:p>
          <w:p w:rsidR="00616D8F" w:rsidRPr="000B1396" w:rsidRDefault="00616D8F" w:rsidP="005521A2">
            <w:pPr>
              <w:autoSpaceDE w:val="0"/>
              <w:autoSpaceDN w:val="0"/>
              <w:adjustRightInd w:val="0"/>
              <w:spacing w:after="160" w:line="221" w:lineRule="atLeast"/>
              <w:rPr>
                <w:rFonts w:ascii="Arial" w:eastAsiaTheme="minorHAnsi" w:hAnsi="Arial" w:cs="Arial"/>
              </w:rPr>
            </w:pPr>
            <w:r>
              <w:rPr>
                <w:rFonts w:ascii="Arial" w:eastAsiaTheme="minorHAnsi" w:hAnsi="Arial" w:cs="Arial"/>
              </w:rPr>
              <w:t xml:space="preserve">S2: </w:t>
            </w:r>
            <w:r w:rsidRPr="000B1396">
              <w:rPr>
                <w:rFonts w:ascii="Arial" w:eastAsiaTheme="minorHAnsi" w:hAnsi="Arial" w:cs="Arial"/>
              </w:rPr>
              <w:t xml:space="preserve">Lower density community uses (e.g. active open space) should generally be further from the activity centre than higher density community uses (e.g. childcare and community centres). </w:t>
            </w:r>
          </w:p>
          <w:p w:rsidR="00616D8F" w:rsidRDefault="00616D8F" w:rsidP="005521A2">
            <w:pPr>
              <w:autoSpaceDE w:val="0"/>
              <w:autoSpaceDN w:val="0"/>
              <w:adjustRightInd w:val="0"/>
              <w:spacing w:after="160" w:line="221" w:lineRule="atLeast"/>
              <w:rPr>
                <w:rFonts w:ascii="Arial" w:eastAsiaTheme="minorHAnsi" w:hAnsi="Arial" w:cs="Arial"/>
              </w:rPr>
            </w:pPr>
            <w:r w:rsidRPr="000B1396">
              <w:rPr>
                <w:rFonts w:ascii="Arial" w:eastAsiaTheme="minorHAnsi" w:hAnsi="Arial" w:cs="Arial"/>
              </w:rPr>
              <w:t>See Clause 56.03-3.</w:t>
            </w:r>
          </w:p>
          <w:p w:rsidR="00616D8F" w:rsidRDefault="00616D8F" w:rsidP="005521A2">
            <w:pPr>
              <w:autoSpaceDE w:val="0"/>
              <w:autoSpaceDN w:val="0"/>
              <w:adjustRightInd w:val="0"/>
              <w:spacing w:after="160" w:line="221" w:lineRule="atLeast"/>
              <w:rPr>
                <w:rFonts w:ascii="Arial" w:eastAsiaTheme="minorHAnsi" w:hAnsi="Arial" w:cs="Arial"/>
              </w:rPr>
            </w:pPr>
            <w:r>
              <w:rPr>
                <w:rFonts w:ascii="Arial" w:eastAsiaTheme="minorHAnsi" w:hAnsi="Arial" w:cs="Arial"/>
              </w:rPr>
              <w:t xml:space="preserve">S5: </w:t>
            </w:r>
            <w:r w:rsidRPr="000B1396">
              <w:rPr>
                <w:rFonts w:ascii="Arial" w:eastAsiaTheme="minorHAnsi" w:hAnsi="Arial" w:cs="Arial"/>
              </w:rPr>
              <w:t>Community facilities and schools in particular, are linked to the cycling and walking network, and the local and regional public transport network.</w:t>
            </w:r>
          </w:p>
          <w:p w:rsidR="00616D8F" w:rsidRDefault="00616D8F" w:rsidP="00E16EE9">
            <w:pPr>
              <w:autoSpaceDE w:val="0"/>
              <w:autoSpaceDN w:val="0"/>
              <w:adjustRightInd w:val="0"/>
              <w:spacing w:after="160" w:line="221" w:lineRule="atLeast"/>
              <w:rPr>
                <w:rFonts w:ascii="Arial" w:hAnsi="Arial" w:cs="Arial"/>
                <w:b/>
                <w:bCs/>
                <w:sz w:val="20"/>
                <w:szCs w:val="20"/>
              </w:rPr>
            </w:pPr>
            <w:r>
              <w:rPr>
                <w:rFonts w:ascii="Arial" w:eastAsiaTheme="minorHAnsi" w:hAnsi="Arial" w:cs="Arial"/>
              </w:rPr>
              <w:t xml:space="preserve">S6: </w:t>
            </w:r>
            <w:r w:rsidRPr="000B1396">
              <w:rPr>
                <w:rFonts w:ascii="Arial" w:eastAsiaTheme="minorHAnsi" w:hAnsi="Arial" w:cs="Arial"/>
              </w:rPr>
              <w:t>Where health services are needed, they are provided as part of either the community hub or activity centre.</w:t>
            </w:r>
          </w:p>
        </w:tc>
      </w:tr>
    </w:tbl>
    <w:p w:rsidR="00616D8F" w:rsidRPr="00616D8F" w:rsidRDefault="00616D8F" w:rsidP="00616D8F">
      <w:pPr>
        <w:rPr>
          <w:rFonts w:eastAsiaTheme="minorHAnsi"/>
        </w:rPr>
      </w:pPr>
    </w:p>
    <w:p w:rsidR="00616D8F" w:rsidRDefault="00616D8F" w:rsidP="00616D8F">
      <w:pPr>
        <w:pStyle w:val="Heading2"/>
      </w:pPr>
      <w:bookmarkStart w:id="85" w:name="_Toc343006842"/>
      <w:bookmarkEnd w:id="83"/>
      <w:bookmarkEnd w:id="84"/>
      <w:r w:rsidRPr="004500BC">
        <w:t>Recommended floor space and uses for Community Centre</w:t>
      </w:r>
      <w:bookmarkEnd w:id="85"/>
    </w:p>
    <w:p w:rsidR="005A450F" w:rsidRDefault="005A450F" w:rsidP="005A450F"/>
    <w:p w:rsidR="005A450F" w:rsidRPr="005A450F" w:rsidRDefault="005A450F" w:rsidP="005A450F">
      <w:pPr>
        <w:rPr>
          <w:rFonts w:ascii="Arial" w:hAnsi="Arial" w:cs="Arial"/>
          <w:bCs/>
          <w:sz w:val="22"/>
          <w:szCs w:val="22"/>
        </w:rPr>
      </w:pPr>
      <w:r w:rsidRPr="005A450F">
        <w:rPr>
          <w:rFonts w:ascii="Arial" w:hAnsi="Arial" w:cs="Arial"/>
          <w:bCs/>
          <w:sz w:val="22"/>
          <w:szCs w:val="22"/>
        </w:rPr>
        <w:t xml:space="preserve">Children’s Services Regulations state 3.25 square metres per child </w:t>
      </w:r>
      <w:r>
        <w:rPr>
          <w:rFonts w:ascii="Arial" w:hAnsi="Arial" w:cs="Arial"/>
          <w:bCs/>
          <w:sz w:val="22"/>
          <w:szCs w:val="22"/>
        </w:rPr>
        <w:t xml:space="preserve">clear </w:t>
      </w:r>
      <w:r w:rsidRPr="005A450F">
        <w:rPr>
          <w:rFonts w:ascii="Arial" w:hAnsi="Arial" w:cs="Arial"/>
          <w:bCs/>
          <w:sz w:val="22"/>
          <w:szCs w:val="22"/>
        </w:rPr>
        <w:t>indoors</w:t>
      </w:r>
      <w:r>
        <w:rPr>
          <w:rFonts w:ascii="Arial" w:hAnsi="Arial" w:cs="Arial"/>
          <w:bCs/>
          <w:sz w:val="22"/>
          <w:szCs w:val="22"/>
        </w:rPr>
        <w:t xml:space="preserve"> space</w:t>
      </w:r>
      <w:r w:rsidRPr="005A450F">
        <w:rPr>
          <w:rFonts w:ascii="Arial" w:hAnsi="Arial" w:cs="Arial"/>
          <w:bCs/>
          <w:sz w:val="22"/>
          <w:szCs w:val="22"/>
        </w:rPr>
        <w:t xml:space="preserve"> and 7 square metres per child</w:t>
      </w:r>
      <w:r>
        <w:rPr>
          <w:rFonts w:ascii="Arial" w:hAnsi="Arial" w:cs="Arial"/>
          <w:bCs/>
          <w:sz w:val="22"/>
          <w:szCs w:val="22"/>
        </w:rPr>
        <w:t xml:space="preserve"> clear outdoor space.</w:t>
      </w:r>
    </w:p>
    <w:p w:rsidR="005A450F" w:rsidRPr="005A450F" w:rsidRDefault="005A450F" w:rsidP="005A450F">
      <w:pPr>
        <w:rPr>
          <w:rFonts w:ascii="Arial" w:hAnsi="Arial" w:cs="Arial"/>
          <w:bCs/>
          <w:sz w:val="22"/>
          <w:szCs w:val="22"/>
        </w:rPr>
      </w:pPr>
    </w:p>
    <w:p w:rsidR="005A450F" w:rsidRDefault="005A450F" w:rsidP="005A450F">
      <w:pPr>
        <w:rPr>
          <w:rFonts w:ascii="Arial" w:hAnsi="Arial" w:cs="Arial"/>
          <w:bCs/>
          <w:sz w:val="22"/>
          <w:szCs w:val="22"/>
        </w:rPr>
      </w:pPr>
      <w:proofErr w:type="gramStart"/>
      <w:r w:rsidRPr="005A450F">
        <w:rPr>
          <w:rFonts w:ascii="Arial" w:hAnsi="Arial" w:cs="Arial"/>
          <w:bCs/>
          <w:sz w:val="22"/>
          <w:szCs w:val="22"/>
        </w:rPr>
        <w:t>Maternal Child Health consulting room 1</w:t>
      </w:r>
      <w:r>
        <w:rPr>
          <w:rFonts w:ascii="Arial" w:hAnsi="Arial" w:cs="Arial"/>
          <w:bCs/>
          <w:sz w:val="22"/>
          <w:szCs w:val="22"/>
        </w:rPr>
        <w:t>7.5</w:t>
      </w:r>
      <w:r w:rsidRPr="005A450F">
        <w:rPr>
          <w:rFonts w:ascii="Arial" w:hAnsi="Arial" w:cs="Arial"/>
          <w:bCs/>
          <w:sz w:val="22"/>
          <w:szCs w:val="22"/>
        </w:rPr>
        <w:t xml:space="preserve"> square metres</w:t>
      </w:r>
      <w:r>
        <w:rPr>
          <w:rFonts w:ascii="Arial" w:hAnsi="Arial" w:cs="Arial"/>
          <w:bCs/>
          <w:sz w:val="22"/>
          <w:szCs w:val="22"/>
        </w:rPr>
        <w:t>.</w:t>
      </w:r>
      <w:proofErr w:type="gramEnd"/>
    </w:p>
    <w:p w:rsidR="00EE0A7C" w:rsidRDefault="00EE0A7C" w:rsidP="00EE0A7C">
      <w:pPr>
        <w:rPr>
          <w:color w:val="1F497D"/>
        </w:rPr>
      </w:pPr>
    </w:p>
    <w:p w:rsidR="00EE0A7C" w:rsidRPr="00EE0A7C" w:rsidRDefault="00EE0A7C" w:rsidP="00EE0A7C">
      <w:pPr>
        <w:rPr>
          <w:rFonts w:ascii="Arial" w:hAnsi="Arial" w:cs="Arial"/>
          <w:bCs/>
          <w:sz w:val="22"/>
          <w:szCs w:val="22"/>
        </w:rPr>
      </w:pPr>
      <w:r w:rsidRPr="00EE0A7C">
        <w:rPr>
          <w:rFonts w:ascii="Arial" w:hAnsi="Arial" w:cs="Arial"/>
          <w:bCs/>
          <w:sz w:val="22"/>
          <w:szCs w:val="22"/>
        </w:rPr>
        <w:t>All space</w:t>
      </w:r>
      <w:r w:rsidR="00E45641">
        <w:rPr>
          <w:rFonts w:ascii="Arial" w:hAnsi="Arial" w:cs="Arial"/>
          <w:bCs/>
          <w:sz w:val="22"/>
          <w:szCs w:val="22"/>
        </w:rPr>
        <w:t xml:space="preserve"> allocations are for</w:t>
      </w:r>
      <w:r>
        <w:rPr>
          <w:rFonts w:ascii="Arial" w:hAnsi="Arial" w:cs="Arial"/>
          <w:bCs/>
          <w:sz w:val="22"/>
          <w:szCs w:val="22"/>
        </w:rPr>
        <w:t xml:space="preserve"> cleared space, e</w:t>
      </w:r>
      <w:r w:rsidR="00D026EB">
        <w:rPr>
          <w:rFonts w:ascii="Arial" w:hAnsi="Arial" w:cs="Arial"/>
          <w:bCs/>
          <w:sz w:val="22"/>
          <w:szCs w:val="22"/>
        </w:rPr>
        <w:t>.</w:t>
      </w:r>
      <w:r>
        <w:rPr>
          <w:rFonts w:ascii="Arial" w:hAnsi="Arial" w:cs="Arial"/>
          <w:bCs/>
          <w:sz w:val="22"/>
          <w:szCs w:val="22"/>
        </w:rPr>
        <w:t>g.</w:t>
      </w:r>
      <w:r w:rsidR="00D026EB">
        <w:rPr>
          <w:rFonts w:ascii="Arial" w:hAnsi="Arial" w:cs="Arial"/>
          <w:bCs/>
          <w:sz w:val="22"/>
          <w:szCs w:val="22"/>
        </w:rPr>
        <w:t xml:space="preserve"> not to include</w:t>
      </w:r>
      <w:r w:rsidRPr="00EE0A7C">
        <w:rPr>
          <w:rFonts w:ascii="Arial" w:hAnsi="Arial" w:cs="Arial"/>
          <w:bCs/>
          <w:sz w:val="22"/>
          <w:szCs w:val="22"/>
        </w:rPr>
        <w:t xml:space="preserve"> door swinging space or any non-mobile (wheeled) storage space.</w:t>
      </w:r>
    </w:p>
    <w:p w:rsidR="00EE0A7C" w:rsidRPr="005A450F" w:rsidRDefault="00EE0A7C" w:rsidP="005A450F">
      <w:pPr>
        <w:rPr>
          <w:rFonts w:ascii="Arial" w:hAnsi="Arial" w:cs="Arial"/>
          <w:bCs/>
          <w:sz w:val="22"/>
          <w:szCs w:val="22"/>
        </w:rPr>
      </w:pPr>
    </w:p>
    <w:p w:rsidR="00EB478A" w:rsidRDefault="00EB478A" w:rsidP="00EB478A">
      <w:pPr>
        <w:autoSpaceDE w:val="0"/>
        <w:autoSpaceDN w:val="0"/>
        <w:adjustRightInd w:val="0"/>
        <w:rPr>
          <w:rFonts w:ascii="Arial" w:hAnsi="Arial" w:cs="Arial"/>
          <w:b/>
          <w:bCs/>
          <w:sz w:val="20"/>
          <w:szCs w:val="20"/>
        </w:rPr>
      </w:pPr>
    </w:p>
    <w:p w:rsidR="00757786" w:rsidRDefault="00757786" w:rsidP="00757786">
      <w:pPr>
        <w:rPr>
          <w:rFonts w:asciiTheme="majorHAnsi" w:eastAsiaTheme="majorEastAsia" w:hAnsiTheme="majorHAnsi" w:cstheme="majorBidi"/>
          <w:color w:val="365F91" w:themeColor="accent1" w:themeShade="BF"/>
          <w:sz w:val="28"/>
          <w:szCs w:val="28"/>
        </w:rPr>
      </w:pPr>
      <w:r>
        <w:br w:type="page"/>
      </w:r>
    </w:p>
    <w:p w:rsidR="00DF5574" w:rsidRPr="00A3148C" w:rsidRDefault="00DF5574" w:rsidP="00A13884">
      <w:pPr>
        <w:pStyle w:val="Heading3"/>
      </w:pPr>
      <w:bookmarkStart w:id="86" w:name="_Toc325725950"/>
      <w:bookmarkStart w:id="87" w:name="_Toc335820988"/>
      <w:bookmarkStart w:id="88" w:name="_Toc343006843"/>
      <w:r w:rsidRPr="00A3148C">
        <w:lastRenderedPageBreak/>
        <w:t>Schools and education</w:t>
      </w:r>
      <w:bookmarkEnd w:id="86"/>
      <w:bookmarkEnd w:id="87"/>
      <w:bookmarkEnd w:id="88"/>
    </w:p>
    <w:tbl>
      <w:tblPr>
        <w:tblStyle w:val="TableGrid"/>
        <w:tblW w:w="0" w:type="auto"/>
        <w:tblLook w:val="04A0"/>
      </w:tblPr>
      <w:tblGrid>
        <w:gridCol w:w="9242"/>
      </w:tblGrid>
      <w:tr w:rsidR="00DF5574" w:rsidTr="00240F3A">
        <w:tc>
          <w:tcPr>
            <w:tcW w:w="13149" w:type="dxa"/>
          </w:tcPr>
          <w:p w:rsidR="00DF5574" w:rsidRDefault="00DF5574" w:rsidP="003B577C">
            <w:pPr>
              <w:autoSpaceDE w:val="0"/>
              <w:autoSpaceDN w:val="0"/>
              <w:adjustRightInd w:val="0"/>
              <w:rPr>
                <w:rFonts w:ascii="Arial" w:eastAsiaTheme="minorHAnsi" w:hAnsi="Arial" w:cs="Arial"/>
                <w:sz w:val="20"/>
                <w:szCs w:val="20"/>
              </w:rPr>
            </w:pPr>
          </w:p>
          <w:p w:rsidR="00B6659B" w:rsidRDefault="00DF5574" w:rsidP="003B577C">
            <w:pPr>
              <w:autoSpaceDE w:val="0"/>
              <w:autoSpaceDN w:val="0"/>
              <w:adjustRightInd w:val="0"/>
              <w:rPr>
                <w:rFonts w:ascii="Arial" w:eastAsiaTheme="minorHAnsi" w:hAnsi="Arial" w:cs="Arial"/>
              </w:rPr>
            </w:pPr>
            <w:r w:rsidRPr="00A278F1">
              <w:rPr>
                <w:rFonts w:ascii="Arial" w:eastAsiaTheme="minorHAnsi" w:hAnsi="Arial" w:cs="Arial"/>
              </w:rPr>
              <w:t>Grahamvale Primary School and the Shepparton Christian Community School are within boundaries</w:t>
            </w:r>
            <w:r>
              <w:rPr>
                <w:rFonts w:ascii="Arial" w:eastAsiaTheme="minorHAnsi" w:hAnsi="Arial" w:cs="Arial"/>
              </w:rPr>
              <w:t xml:space="preserve"> </w:t>
            </w:r>
            <w:r w:rsidRPr="00A278F1">
              <w:rPr>
                <w:rFonts w:ascii="Arial" w:eastAsiaTheme="minorHAnsi" w:hAnsi="Arial" w:cs="Arial"/>
              </w:rPr>
              <w:t>of the subject site and would be most convenient and accessible for new residents in Shepparton</w:t>
            </w:r>
            <w:r>
              <w:rPr>
                <w:rFonts w:ascii="Arial" w:eastAsiaTheme="minorHAnsi" w:hAnsi="Arial" w:cs="Arial"/>
              </w:rPr>
              <w:t xml:space="preserve"> </w:t>
            </w:r>
            <w:r w:rsidRPr="00A278F1">
              <w:rPr>
                <w:rFonts w:ascii="Arial" w:eastAsiaTheme="minorHAnsi" w:hAnsi="Arial" w:cs="Arial"/>
              </w:rPr>
              <w:t xml:space="preserve">North East. These schools </w:t>
            </w:r>
            <w:r w:rsidRPr="008D299B">
              <w:rPr>
                <w:rFonts w:ascii="Arial" w:eastAsiaTheme="minorHAnsi" w:hAnsi="Arial" w:cs="Arial"/>
              </w:rPr>
              <w:t xml:space="preserve">may have </w:t>
            </w:r>
            <w:r w:rsidR="00B44793">
              <w:rPr>
                <w:rFonts w:ascii="Arial" w:eastAsiaTheme="minorHAnsi" w:hAnsi="Arial" w:cs="Arial"/>
              </w:rPr>
              <w:t xml:space="preserve">future </w:t>
            </w:r>
            <w:r w:rsidRPr="008D299B">
              <w:rPr>
                <w:rFonts w:ascii="Arial" w:eastAsiaTheme="minorHAnsi" w:hAnsi="Arial" w:cs="Arial"/>
              </w:rPr>
              <w:t>capacity to</w:t>
            </w:r>
            <w:r w:rsidRPr="00A278F1">
              <w:rPr>
                <w:rFonts w:ascii="Arial" w:eastAsiaTheme="minorHAnsi" w:hAnsi="Arial" w:cs="Arial"/>
              </w:rPr>
              <w:t xml:space="preserve"> cater for residents </w:t>
            </w:r>
            <w:r w:rsidRPr="00B52E8E">
              <w:rPr>
                <w:rFonts w:ascii="Arial" w:eastAsiaTheme="minorHAnsi" w:hAnsi="Arial" w:cs="Arial"/>
              </w:rPr>
              <w:t>in the growth area.</w:t>
            </w:r>
            <w:r w:rsidR="00B6659B">
              <w:rPr>
                <w:rFonts w:ascii="Arial" w:eastAsiaTheme="minorHAnsi" w:hAnsi="Arial" w:cs="Arial"/>
              </w:rPr>
              <w:t xml:space="preserve"> Grahamvale</w:t>
            </w:r>
            <w:r w:rsidR="00B6659B" w:rsidRPr="00A278F1">
              <w:rPr>
                <w:rFonts w:ascii="Arial" w:eastAsiaTheme="minorHAnsi" w:hAnsi="Arial" w:cs="Arial"/>
              </w:rPr>
              <w:t xml:space="preserve"> Primary School</w:t>
            </w:r>
            <w:r w:rsidR="00B6659B">
              <w:rPr>
                <w:rFonts w:ascii="Arial" w:eastAsiaTheme="minorHAnsi" w:hAnsi="Arial" w:cs="Arial"/>
              </w:rPr>
              <w:t xml:space="preserve"> is </w:t>
            </w:r>
            <w:r w:rsidR="00B44793">
              <w:rPr>
                <w:rFonts w:ascii="Arial" w:eastAsiaTheme="minorHAnsi" w:hAnsi="Arial" w:cs="Arial"/>
              </w:rPr>
              <w:t xml:space="preserve">currently </w:t>
            </w:r>
            <w:r w:rsidR="00B6659B">
              <w:rPr>
                <w:rFonts w:ascii="Arial" w:eastAsiaTheme="minorHAnsi" w:hAnsi="Arial" w:cs="Arial"/>
              </w:rPr>
              <w:t>looking to expand</w:t>
            </w:r>
            <w:r w:rsidR="00B44793">
              <w:rPr>
                <w:rFonts w:ascii="Arial" w:eastAsiaTheme="minorHAnsi" w:hAnsi="Arial" w:cs="Arial"/>
              </w:rPr>
              <w:t>.</w:t>
            </w:r>
          </w:p>
          <w:p w:rsidR="00B44793" w:rsidRPr="00B52E8E" w:rsidRDefault="00B44793" w:rsidP="003B577C">
            <w:pPr>
              <w:autoSpaceDE w:val="0"/>
              <w:autoSpaceDN w:val="0"/>
              <w:adjustRightInd w:val="0"/>
              <w:rPr>
                <w:rFonts w:ascii="Arial" w:eastAsiaTheme="minorHAnsi" w:hAnsi="Arial" w:cs="Arial"/>
              </w:rPr>
            </w:pPr>
          </w:p>
          <w:p w:rsidR="00DF5574" w:rsidRDefault="00DF5574" w:rsidP="003B577C">
            <w:pPr>
              <w:autoSpaceDE w:val="0"/>
              <w:autoSpaceDN w:val="0"/>
              <w:adjustRightInd w:val="0"/>
              <w:rPr>
                <w:rFonts w:ascii="Arial" w:eastAsiaTheme="minorHAnsi" w:hAnsi="Arial" w:cs="Arial"/>
              </w:rPr>
            </w:pPr>
            <w:r w:rsidRPr="00B52E8E">
              <w:rPr>
                <w:rFonts w:ascii="Arial" w:eastAsiaTheme="minorHAnsi" w:hAnsi="Arial" w:cs="Arial"/>
              </w:rPr>
              <w:t>There are</w:t>
            </w:r>
            <w:r>
              <w:rPr>
                <w:rFonts w:ascii="Arial" w:eastAsiaTheme="minorHAnsi" w:hAnsi="Arial" w:cs="Arial"/>
              </w:rPr>
              <w:t xml:space="preserve"> also</w:t>
            </w:r>
            <w:r w:rsidRPr="00B52E8E">
              <w:rPr>
                <w:rFonts w:ascii="Arial" w:eastAsiaTheme="minorHAnsi" w:hAnsi="Arial" w:cs="Arial"/>
              </w:rPr>
              <w:t xml:space="preserve"> many </w:t>
            </w:r>
            <w:r>
              <w:rPr>
                <w:rFonts w:ascii="Arial" w:eastAsiaTheme="minorHAnsi" w:hAnsi="Arial" w:cs="Arial"/>
              </w:rPr>
              <w:t xml:space="preserve">other </w:t>
            </w:r>
            <w:r w:rsidRPr="00B52E8E">
              <w:rPr>
                <w:rFonts w:ascii="Arial" w:eastAsiaTheme="minorHAnsi" w:hAnsi="Arial" w:cs="Arial"/>
              </w:rPr>
              <w:t>schools available within close proximity to the site</w:t>
            </w:r>
            <w:r w:rsidR="00B6659B">
              <w:rPr>
                <w:rFonts w:ascii="Arial" w:eastAsiaTheme="minorHAnsi" w:hAnsi="Arial" w:cs="Arial"/>
              </w:rPr>
              <w:t xml:space="preserve"> that can cater for the growth</w:t>
            </w:r>
            <w:r>
              <w:rPr>
                <w:rFonts w:ascii="Arial" w:eastAsiaTheme="minorHAnsi" w:hAnsi="Arial" w:cs="Arial"/>
              </w:rPr>
              <w:t>, these are:</w:t>
            </w:r>
            <w:r w:rsidR="00EC22F8">
              <w:rPr>
                <w:rFonts w:ascii="Arial" w:eastAsiaTheme="minorHAnsi" w:hAnsi="Arial" w:cs="Arial"/>
              </w:rPr>
              <w:t xml:space="preserve"> Verney Road School, B</w:t>
            </w:r>
            <w:r w:rsidR="00EC22F8" w:rsidRPr="00EC22F8">
              <w:rPr>
                <w:rFonts w:ascii="Arial" w:eastAsiaTheme="minorHAnsi" w:hAnsi="Arial" w:cs="Arial"/>
              </w:rPr>
              <w:t xml:space="preserve">ourchier </w:t>
            </w:r>
            <w:r w:rsidRPr="00B52E8E">
              <w:rPr>
                <w:rFonts w:ascii="Arial" w:eastAsiaTheme="minorHAnsi" w:hAnsi="Arial" w:cs="Arial"/>
              </w:rPr>
              <w:t>Street Primary School, Shepparton High School, St Luke’s Primary School, Wanganui Secondary College and Goulburn Valley Grammar School.</w:t>
            </w:r>
          </w:p>
          <w:p w:rsidR="00DF5574" w:rsidRDefault="00DF5574" w:rsidP="003B577C">
            <w:pPr>
              <w:autoSpaceDE w:val="0"/>
              <w:autoSpaceDN w:val="0"/>
              <w:adjustRightInd w:val="0"/>
              <w:rPr>
                <w:rFonts w:ascii="Arial" w:eastAsiaTheme="minorHAnsi" w:hAnsi="Arial" w:cs="Arial"/>
              </w:rPr>
            </w:pPr>
          </w:p>
          <w:p w:rsidR="00DF5574" w:rsidRPr="000F707F" w:rsidRDefault="00DF5574" w:rsidP="00307F40">
            <w:pPr>
              <w:autoSpaceDE w:val="0"/>
              <w:autoSpaceDN w:val="0"/>
              <w:adjustRightInd w:val="0"/>
              <w:spacing w:after="160" w:line="221" w:lineRule="atLeast"/>
              <w:rPr>
                <w:rFonts w:ascii="Arial" w:eastAsiaTheme="minorHAnsi" w:hAnsi="Arial" w:cs="Arial"/>
                <w:u w:val="single"/>
              </w:rPr>
            </w:pPr>
            <w:r w:rsidRPr="005062A7">
              <w:rPr>
                <w:rFonts w:ascii="Arial" w:eastAsiaTheme="minorHAnsi" w:hAnsi="Arial" w:cs="Arial"/>
                <w:iCs/>
                <w:u w:val="single"/>
              </w:rPr>
              <w:t>Growth Area Authority Precinct Structure Planning Guidelines</w:t>
            </w:r>
            <w:r w:rsidRPr="00451534">
              <w:rPr>
                <w:rFonts w:ascii="Myriad Pro" w:eastAsiaTheme="minorHAnsi" w:hAnsi="Myriad Pro" w:cstheme="minorBidi"/>
                <w:u w:val="single"/>
              </w:rPr>
              <w:t>.</w:t>
            </w:r>
            <w:r w:rsidR="00307F40">
              <w:rPr>
                <w:rFonts w:ascii="Myriad Pro" w:eastAsiaTheme="minorHAnsi" w:hAnsi="Myriad Pro" w:cstheme="minorBidi"/>
                <w:u w:val="single"/>
              </w:rPr>
              <w:br/>
            </w:r>
            <w:r w:rsidRPr="000F707F">
              <w:rPr>
                <w:rFonts w:ascii="Arial" w:eastAsiaTheme="minorHAnsi" w:hAnsi="Arial" w:cs="Arial"/>
                <w:u w:val="single"/>
              </w:rPr>
              <w:t>The precinct structure plan should respond to the following standards:</w:t>
            </w:r>
          </w:p>
          <w:p w:rsidR="00DF5574" w:rsidRDefault="00DF5574" w:rsidP="003B577C">
            <w:pPr>
              <w:autoSpaceDE w:val="0"/>
              <w:autoSpaceDN w:val="0"/>
              <w:adjustRightInd w:val="0"/>
              <w:spacing w:after="160" w:line="221" w:lineRule="atLeast"/>
              <w:rPr>
                <w:rFonts w:ascii="Arial" w:eastAsiaTheme="minorHAnsi" w:hAnsi="Arial" w:cs="Arial"/>
              </w:rPr>
            </w:pPr>
            <w:r>
              <w:rPr>
                <w:rFonts w:ascii="Arial" w:eastAsiaTheme="minorHAnsi" w:hAnsi="Arial" w:cs="Arial"/>
              </w:rPr>
              <w:t xml:space="preserve">S3: </w:t>
            </w:r>
            <w:r w:rsidRPr="000B1396">
              <w:rPr>
                <w:rFonts w:ascii="Arial" w:eastAsiaTheme="minorHAnsi" w:hAnsi="Arial" w:cs="Arial"/>
              </w:rPr>
              <w:t>Primary schools (both government and non-government) are located on connector streets carrying a local bus service, with a bus stop at the school boundary. See Clause 56.03-3.</w:t>
            </w:r>
          </w:p>
          <w:p w:rsidR="00DF5574" w:rsidRDefault="00DF5574" w:rsidP="003B577C">
            <w:pPr>
              <w:autoSpaceDE w:val="0"/>
              <w:autoSpaceDN w:val="0"/>
              <w:adjustRightInd w:val="0"/>
              <w:spacing w:after="160" w:line="221" w:lineRule="atLeast"/>
              <w:rPr>
                <w:rFonts w:ascii="Arial" w:eastAsiaTheme="minorHAnsi" w:hAnsi="Arial" w:cs="Arial"/>
              </w:rPr>
            </w:pPr>
            <w:r>
              <w:rPr>
                <w:rFonts w:ascii="Arial" w:eastAsiaTheme="minorHAnsi" w:hAnsi="Arial" w:cs="Arial"/>
              </w:rPr>
              <w:t xml:space="preserve">S4: </w:t>
            </w:r>
            <w:r w:rsidRPr="000B1396">
              <w:rPr>
                <w:rFonts w:ascii="Arial" w:eastAsiaTheme="minorHAnsi" w:hAnsi="Arial" w:cs="Arial"/>
              </w:rPr>
              <w:t xml:space="preserve">Secondary schools (both government and non-government) are located on connector streets with direct access </w:t>
            </w:r>
            <w:r>
              <w:rPr>
                <w:rFonts w:ascii="Arial" w:eastAsiaTheme="minorHAnsi" w:hAnsi="Arial" w:cs="Arial"/>
              </w:rPr>
              <w:t>to public transport,</w:t>
            </w:r>
            <w:r w:rsidRPr="000B1396">
              <w:rPr>
                <w:rFonts w:ascii="Arial" w:eastAsiaTheme="minorHAnsi" w:hAnsi="Arial" w:cs="Arial"/>
              </w:rPr>
              <w:t xml:space="preserve"> where possible. See Clause 56.03-3.</w:t>
            </w:r>
          </w:p>
          <w:p w:rsidR="00DF5574" w:rsidRDefault="00DF5574" w:rsidP="003B577C">
            <w:pPr>
              <w:autoSpaceDE w:val="0"/>
              <w:autoSpaceDN w:val="0"/>
              <w:adjustRightInd w:val="0"/>
              <w:rPr>
                <w:rFonts w:ascii="Arial" w:hAnsi="Arial" w:cs="Arial"/>
                <w:b/>
                <w:bCs/>
                <w:sz w:val="20"/>
                <w:szCs w:val="20"/>
              </w:rPr>
            </w:pPr>
          </w:p>
        </w:tc>
      </w:tr>
    </w:tbl>
    <w:p w:rsidR="00DF5574" w:rsidRDefault="00DF5574" w:rsidP="00DF5574">
      <w:pPr>
        <w:autoSpaceDE w:val="0"/>
        <w:autoSpaceDN w:val="0"/>
        <w:adjustRightInd w:val="0"/>
        <w:rPr>
          <w:rFonts w:ascii="Arial" w:hAnsi="Arial" w:cs="Arial"/>
          <w:b/>
          <w:bCs/>
          <w:sz w:val="20"/>
          <w:szCs w:val="20"/>
        </w:rPr>
      </w:pPr>
    </w:p>
    <w:p w:rsidR="00DF5574" w:rsidRPr="00A3148C" w:rsidRDefault="00DF5574" w:rsidP="00A13884">
      <w:pPr>
        <w:pStyle w:val="Heading3"/>
      </w:pPr>
      <w:bookmarkStart w:id="89" w:name="_Toc325725951"/>
      <w:bookmarkStart w:id="90" w:name="_Toc335820989"/>
      <w:bookmarkStart w:id="91" w:name="_Toc343006844"/>
      <w:r w:rsidRPr="00A3148C">
        <w:t>Childcare and Preschools</w:t>
      </w:r>
      <w:bookmarkEnd w:id="89"/>
      <w:bookmarkEnd w:id="90"/>
      <w:bookmarkEnd w:id="91"/>
    </w:p>
    <w:tbl>
      <w:tblPr>
        <w:tblStyle w:val="TableGrid"/>
        <w:tblW w:w="0" w:type="auto"/>
        <w:tblLook w:val="04A0"/>
      </w:tblPr>
      <w:tblGrid>
        <w:gridCol w:w="9242"/>
      </w:tblGrid>
      <w:tr w:rsidR="00DF5574" w:rsidTr="00240F3A">
        <w:tc>
          <w:tcPr>
            <w:tcW w:w="13149" w:type="dxa"/>
          </w:tcPr>
          <w:p w:rsidR="00DF5574" w:rsidRDefault="00DF5574" w:rsidP="003B577C">
            <w:pPr>
              <w:autoSpaceDE w:val="0"/>
              <w:autoSpaceDN w:val="0"/>
              <w:adjustRightInd w:val="0"/>
              <w:rPr>
                <w:rFonts w:ascii="Arial" w:hAnsi="Arial" w:cs="Arial"/>
                <w:sz w:val="20"/>
                <w:szCs w:val="20"/>
              </w:rPr>
            </w:pPr>
          </w:p>
          <w:p w:rsidR="00DF5574" w:rsidRDefault="00DF5574" w:rsidP="003B577C">
            <w:pPr>
              <w:autoSpaceDE w:val="0"/>
              <w:autoSpaceDN w:val="0"/>
              <w:adjustRightInd w:val="0"/>
              <w:rPr>
                <w:rFonts w:ascii="Arial" w:hAnsi="Arial" w:cs="Arial"/>
              </w:rPr>
            </w:pPr>
            <w:r w:rsidRPr="00A278F1">
              <w:rPr>
                <w:rFonts w:ascii="Arial" w:hAnsi="Arial" w:cs="Arial"/>
              </w:rPr>
              <w:t>There are limited childcare facilities within close proximity to the subject site, the closest not being wit</w:t>
            </w:r>
            <w:r>
              <w:rPr>
                <w:rFonts w:ascii="Arial" w:hAnsi="Arial" w:cs="Arial"/>
              </w:rPr>
              <w:t>hin reasonable walking distance</w:t>
            </w:r>
            <w:r w:rsidRPr="00A278F1">
              <w:rPr>
                <w:rFonts w:ascii="Arial" w:hAnsi="Arial" w:cs="Arial"/>
              </w:rPr>
              <w:t>, therefore an occasional child care service should be provided.</w:t>
            </w:r>
          </w:p>
          <w:p w:rsidR="00B6659B" w:rsidRPr="00A278F1" w:rsidRDefault="00B6659B" w:rsidP="003B577C">
            <w:pPr>
              <w:autoSpaceDE w:val="0"/>
              <w:autoSpaceDN w:val="0"/>
              <w:adjustRightInd w:val="0"/>
              <w:rPr>
                <w:rFonts w:ascii="Arial" w:hAnsi="Arial" w:cs="Arial"/>
              </w:rPr>
            </w:pPr>
          </w:p>
          <w:p w:rsidR="00DF5574" w:rsidRDefault="00E276A9" w:rsidP="003B577C">
            <w:pPr>
              <w:autoSpaceDE w:val="0"/>
              <w:autoSpaceDN w:val="0"/>
              <w:adjustRightInd w:val="0"/>
              <w:rPr>
                <w:rFonts w:ascii="Arial" w:hAnsi="Arial" w:cs="Arial"/>
              </w:rPr>
            </w:pPr>
            <w:r>
              <w:rPr>
                <w:rFonts w:ascii="Arial" w:hAnsi="Arial" w:cs="Arial"/>
              </w:rPr>
              <w:t>S</w:t>
            </w:r>
            <w:r w:rsidR="00DF5574" w:rsidRPr="00A278F1">
              <w:rPr>
                <w:rFonts w:ascii="Arial" w:hAnsi="Arial" w:cs="Arial"/>
              </w:rPr>
              <w:t>trong evidence supports the importance of early childhood development. A preschool</w:t>
            </w:r>
            <w:r w:rsidR="00DF5574">
              <w:rPr>
                <w:rFonts w:ascii="Arial" w:hAnsi="Arial" w:cs="Arial"/>
              </w:rPr>
              <w:t xml:space="preserve"> </w:t>
            </w:r>
            <w:r w:rsidR="00DF5574" w:rsidRPr="00A278F1">
              <w:rPr>
                <w:rFonts w:ascii="Arial" w:hAnsi="Arial" w:cs="Arial"/>
              </w:rPr>
              <w:t>may also prevent social isolation and encourage social engagement for mothers who may be isolated</w:t>
            </w:r>
            <w:r w:rsidR="00DF5574">
              <w:rPr>
                <w:rFonts w:ascii="Arial" w:hAnsi="Arial" w:cs="Arial"/>
              </w:rPr>
              <w:t xml:space="preserve"> </w:t>
            </w:r>
            <w:r w:rsidR="00DF5574" w:rsidRPr="00A278F1">
              <w:rPr>
                <w:rFonts w:ascii="Arial" w:hAnsi="Arial" w:cs="Arial"/>
              </w:rPr>
              <w:t xml:space="preserve">due to no public transport. </w:t>
            </w:r>
          </w:p>
          <w:p w:rsidR="00DF5574" w:rsidRDefault="00DF5574" w:rsidP="003B577C">
            <w:pPr>
              <w:autoSpaceDE w:val="0"/>
              <w:autoSpaceDN w:val="0"/>
              <w:adjustRightInd w:val="0"/>
              <w:rPr>
                <w:rFonts w:ascii="Arial" w:hAnsi="Arial" w:cs="Arial"/>
              </w:rPr>
            </w:pPr>
          </w:p>
          <w:p w:rsidR="00DF5574" w:rsidRDefault="00DF5574" w:rsidP="00DB124F">
            <w:pPr>
              <w:autoSpaceDE w:val="0"/>
              <w:autoSpaceDN w:val="0"/>
              <w:adjustRightInd w:val="0"/>
              <w:rPr>
                <w:rFonts w:ascii="Arial" w:hAnsi="Arial" w:cs="Arial"/>
              </w:rPr>
            </w:pPr>
            <w:r>
              <w:rPr>
                <w:rFonts w:ascii="Arial" w:hAnsi="Arial" w:cs="Arial"/>
              </w:rPr>
              <w:t xml:space="preserve">The </w:t>
            </w:r>
            <w:r w:rsidR="00B44793">
              <w:rPr>
                <w:rFonts w:ascii="Arial" w:hAnsi="Arial" w:cs="Arial"/>
              </w:rPr>
              <w:t>Greater Shepparton Early Years Report identified that existing K</w:t>
            </w:r>
            <w:r>
              <w:rPr>
                <w:rFonts w:ascii="Arial" w:hAnsi="Arial" w:cs="Arial"/>
              </w:rPr>
              <w:t>indergartens in the area will not have the infrastructure capacity to accommodate additional four year olds; therefor</w:t>
            </w:r>
            <w:r w:rsidR="00B6659B">
              <w:rPr>
                <w:rFonts w:ascii="Arial" w:hAnsi="Arial" w:cs="Arial"/>
              </w:rPr>
              <w:t>e</w:t>
            </w:r>
            <w:r>
              <w:rPr>
                <w:rFonts w:ascii="Arial" w:hAnsi="Arial" w:cs="Arial"/>
              </w:rPr>
              <w:t xml:space="preserve"> it is highly recommended to cater for additional services to be provided in this growth area. </w:t>
            </w:r>
            <w:r w:rsidR="00B44793">
              <w:rPr>
                <w:rFonts w:ascii="Arial" w:hAnsi="Arial" w:cs="Arial"/>
              </w:rPr>
              <w:t>It is recommended that</w:t>
            </w:r>
            <w:r w:rsidRPr="00A278F1">
              <w:rPr>
                <w:rFonts w:ascii="Arial" w:hAnsi="Arial" w:cs="Arial"/>
              </w:rPr>
              <w:t xml:space="preserve"> occasional care service and preschool</w:t>
            </w:r>
            <w:r w:rsidR="00B44793">
              <w:rPr>
                <w:rFonts w:ascii="Arial" w:hAnsi="Arial" w:cs="Arial"/>
              </w:rPr>
              <w:t>s</w:t>
            </w:r>
            <w:r w:rsidRPr="00A278F1">
              <w:rPr>
                <w:rFonts w:ascii="Arial" w:hAnsi="Arial" w:cs="Arial"/>
              </w:rPr>
              <w:t xml:space="preserve"> are accessible, particularly by walking, in the Shepparton North-East Growth Area to reflect the needs of residents.</w:t>
            </w:r>
            <w:r w:rsidR="00EA70FE">
              <w:rPr>
                <w:rFonts w:ascii="Arial" w:hAnsi="Arial" w:cs="Arial"/>
              </w:rPr>
              <w:t xml:space="preserve"> </w:t>
            </w:r>
          </w:p>
          <w:p w:rsidR="002E070D" w:rsidRDefault="002E070D" w:rsidP="00DB124F">
            <w:pPr>
              <w:autoSpaceDE w:val="0"/>
              <w:autoSpaceDN w:val="0"/>
              <w:adjustRightInd w:val="0"/>
              <w:rPr>
                <w:rFonts w:ascii="Arial" w:hAnsi="Arial" w:cs="Arial"/>
                <w:b/>
                <w:bCs/>
                <w:sz w:val="20"/>
                <w:szCs w:val="20"/>
              </w:rPr>
            </w:pPr>
          </w:p>
        </w:tc>
      </w:tr>
    </w:tbl>
    <w:p w:rsidR="00DF5574" w:rsidRPr="00A13884" w:rsidRDefault="00DF5574" w:rsidP="00A13884">
      <w:pPr>
        <w:pStyle w:val="Heading3"/>
      </w:pPr>
      <w:bookmarkStart w:id="92" w:name="_Toc325725952"/>
      <w:bookmarkStart w:id="93" w:name="_Toc335820990"/>
      <w:bookmarkStart w:id="94" w:name="_Toc343006845"/>
      <w:r w:rsidRPr="001610D9">
        <w:t>H</w:t>
      </w:r>
      <w:r w:rsidRPr="00A13884">
        <w:t>ealth Care Facilities</w:t>
      </w:r>
      <w:bookmarkEnd w:id="92"/>
      <w:bookmarkEnd w:id="93"/>
      <w:bookmarkEnd w:id="94"/>
    </w:p>
    <w:tbl>
      <w:tblPr>
        <w:tblStyle w:val="TableGrid"/>
        <w:tblW w:w="0" w:type="auto"/>
        <w:tblLook w:val="04A0"/>
      </w:tblPr>
      <w:tblGrid>
        <w:gridCol w:w="9242"/>
      </w:tblGrid>
      <w:tr w:rsidR="00DF5574" w:rsidTr="00240F3A">
        <w:tc>
          <w:tcPr>
            <w:tcW w:w="13149" w:type="dxa"/>
          </w:tcPr>
          <w:p w:rsidR="00DF5574" w:rsidRDefault="00DF5574" w:rsidP="003B577C">
            <w:pPr>
              <w:autoSpaceDE w:val="0"/>
              <w:autoSpaceDN w:val="0"/>
              <w:adjustRightInd w:val="0"/>
              <w:rPr>
                <w:rFonts w:ascii="Arial" w:eastAsiaTheme="minorHAnsi" w:hAnsi="Arial" w:cs="Arial"/>
              </w:rPr>
            </w:pPr>
          </w:p>
          <w:p w:rsidR="00DF5574" w:rsidRPr="00A278F1" w:rsidRDefault="00DF5574" w:rsidP="003B577C">
            <w:pPr>
              <w:autoSpaceDE w:val="0"/>
              <w:autoSpaceDN w:val="0"/>
              <w:adjustRightInd w:val="0"/>
              <w:rPr>
                <w:rFonts w:ascii="Arial" w:eastAsiaTheme="minorHAnsi" w:hAnsi="Arial" w:cs="Arial"/>
              </w:rPr>
            </w:pPr>
            <w:r w:rsidRPr="00A278F1">
              <w:rPr>
                <w:rFonts w:ascii="Arial" w:eastAsiaTheme="minorHAnsi" w:hAnsi="Arial" w:cs="Arial"/>
              </w:rPr>
              <w:t>Even though there are existing Maternal and Child Health centres in Shepparton, additional services</w:t>
            </w:r>
            <w:r>
              <w:rPr>
                <w:rFonts w:ascii="Arial" w:eastAsiaTheme="minorHAnsi" w:hAnsi="Arial" w:cs="Arial"/>
              </w:rPr>
              <w:t xml:space="preserve"> </w:t>
            </w:r>
            <w:r w:rsidRPr="00A278F1">
              <w:rPr>
                <w:rFonts w:ascii="Arial" w:eastAsiaTheme="minorHAnsi" w:hAnsi="Arial" w:cs="Arial"/>
              </w:rPr>
              <w:t>would be required to cater for residents at the Shepparton North-East Growth Area</w:t>
            </w:r>
            <w:r>
              <w:rPr>
                <w:rFonts w:ascii="Arial" w:eastAsiaTheme="minorHAnsi" w:hAnsi="Arial" w:cs="Arial"/>
              </w:rPr>
              <w:t xml:space="preserve"> in the long term</w:t>
            </w:r>
            <w:r w:rsidRPr="00A278F1">
              <w:rPr>
                <w:rFonts w:ascii="Arial" w:eastAsiaTheme="minorHAnsi" w:hAnsi="Arial" w:cs="Arial"/>
              </w:rPr>
              <w:t>.</w:t>
            </w:r>
          </w:p>
          <w:p w:rsidR="00DF5574" w:rsidRPr="00A278F1" w:rsidRDefault="00DF5574" w:rsidP="003B577C">
            <w:pPr>
              <w:autoSpaceDE w:val="0"/>
              <w:autoSpaceDN w:val="0"/>
              <w:adjustRightInd w:val="0"/>
              <w:rPr>
                <w:rFonts w:ascii="Arial" w:eastAsiaTheme="minorHAnsi" w:hAnsi="Arial" w:cs="Arial"/>
              </w:rPr>
            </w:pPr>
          </w:p>
          <w:p w:rsidR="00DF5574" w:rsidRDefault="00DF5574" w:rsidP="003B577C">
            <w:pPr>
              <w:autoSpaceDE w:val="0"/>
              <w:autoSpaceDN w:val="0"/>
              <w:adjustRightInd w:val="0"/>
              <w:rPr>
                <w:rFonts w:ascii="Arial" w:eastAsiaTheme="minorHAnsi" w:hAnsi="Arial" w:cs="Arial"/>
                <w:sz w:val="20"/>
                <w:szCs w:val="20"/>
              </w:rPr>
            </w:pPr>
            <w:r w:rsidRPr="00A278F1">
              <w:rPr>
                <w:rFonts w:ascii="Arial" w:eastAsiaTheme="minorHAnsi" w:hAnsi="Arial" w:cs="Arial"/>
              </w:rPr>
              <w:t>Visiting/consultation room should be considered as part of the community facilities at the Shepparton North-East site. This could cater for Maternal and Health Child sessions required for the Shepparton North-East Growth Area, making Maternal and Child Health services more accessible for local residents, particularly by walking.</w:t>
            </w:r>
          </w:p>
          <w:p w:rsidR="00DF5574" w:rsidRDefault="00DF5574" w:rsidP="003B577C">
            <w:pPr>
              <w:autoSpaceDE w:val="0"/>
              <w:autoSpaceDN w:val="0"/>
              <w:adjustRightInd w:val="0"/>
              <w:rPr>
                <w:rFonts w:ascii="Arial" w:hAnsi="Arial" w:cs="Arial"/>
                <w:b/>
                <w:bCs/>
                <w:sz w:val="20"/>
                <w:szCs w:val="20"/>
              </w:rPr>
            </w:pPr>
          </w:p>
        </w:tc>
      </w:tr>
    </w:tbl>
    <w:p w:rsidR="00DF5574" w:rsidRDefault="00DF5574" w:rsidP="00DF5574">
      <w:pPr>
        <w:autoSpaceDE w:val="0"/>
        <w:autoSpaceDN w:val="0"/>
        <w:adjustRightInd w:val="0"/>
        <w:rPr>
          <w:rFonts w:ascii="Arial" w:hAnsi="Arial" w:cs="Arial"/>
          <w:b/>
          <w:bCs/>
          <w:sz w:val="20"/>
          <w:szCs w:val="20"/>
        </w:rPr>
      </w:pPr>
    </w:p>
    <w:p w:rsidR="00DF5574" w:rsidRPr="001610D9" w:rsidRDefault="00DF5574" w:rsidP="00A13884">
      <w:pPr>
        <w:pStyle w:val="Heading3"/>
      </w:pPr>
      <w:bookmarkStart w:id="95" w:name="_Toc325725953"/>
      <w:bookmarkStart w:id="96" w:name="_Toc335820991"/>
      <w:bookmarkStart w:id="97" w:name="_Toc343006846"/>
      <w:r w:rsidRPr="001610D9">
        <w:lastRenderedPageBreak/>
        <w:t>Aged Care</w:t>
      </w:r>
      <w:bookmarkEnd w:id="95"/>
      <w:bookmarkEnd w:id="96"/>
      <w:bookmarkEnd w:id="97"/>
    </w:p>
    <w:tbl>
      <w:tblPr>
        <w:tblStyle w:val="TableGrid"/>
        <w:tblW w:w="0" w:type="auto"/>
        <w:tblLook w:val="04A0"/>
      </w:tblPr>
      <w:tblGrid>
        <w:gridCol w:w="9242"/>
      </w:tblGrid>
      <w:tr w:rsidR="00DF5574" w:rsidTr="00240F3A">
        <w:tc>
          <w:tcPr>
            <w:tcW w:w="13149" w:type="dxa"/>
          </w:tcPr>
          <w:p w:rsidR="00DF5574" w:rsidRDefault="00DF5574" w:rsidP="003B577C">
            <w:pPr>
              <w:autoSpaceDE w:val="0"/>
              <w:autoSpaceDN w:val="0"/>
              <w:adjustRightInd w:val="0"/>
              <w:rPr>
                <w:rFonts w:ascii="Arial" w:eastAsiaTheme="minorHAnsi" w:hAnsi="Arial" w:cs="Arial"/>
                <w:sz w:val="20"/>
                <w:szCs w:val="20"/>
              </w:rPr>
            </w:pPr>
          </w:p>
          <w:p w:rsidR="00FD37A7" w:rsidRDefault="00DF5574" w:rsidP="00FD3C00">
            <w:pPr>
              <w:autoSpaceDE w:val="0"/>
              <w:autoSpaceDN w:val="0"/>
              <w:adjustRightInd w:val="0"/>
              <w:rPr>
                <w:rFonts w:ascii="Arial" w:eastAsiaTheme="minorHAnsi" w:hAnsi="Arial" w:cs="Arial"/>
              </w:rPr>
            </w:pPr>
            <w:r w:rsidRPr="00A278F1">
              <w:rPr>
                <w:rFonts w:ascii="Arial" w:eastAsiaTheme="minorHAnsi" w:hAnsi="Arial" w:cs="Arial"/>
              </w:rPr>
              <w:t>There are currently sufficient aged care facilities in Shepparton.</w:t>
            </w:r>
            <w:r w:rsidR="00D723BE">
              <w:rPr>
                <w:rFonts w:ascii="Arial" w:eastAsiaTheme="minorHAnsi" w:hAnsi="Arial" w:cs="Arial"/>
              </w:rPr>
              <w:t xml:space="preserve"> Discussion</w:t>
            </w:r>
            <w:r w:rsidR="00670146">
              <w:rPr>
                <w:rFonts w:ascii="Arial" w:eastAsiaTheme="minorHAnsi" w:hAnsi="Arial" w:cs="Arial"/>
              </w:rPr>
              <w:t>s</w:t>
            </w:r>
            <w:r w:rsidR="00D723BE">
              <w:rPr>
                <w:rFonts w:ascii="Arial" w:eastAsiaTheme="minorHAnsi" w:hAnsi="Arial" w:cs="Arial"/>
              </w:rPr>
              <w:t xml:space="preserve"> with the Manager for Community Development confirmed that it is</w:t>
            </w:r>
            <w:r w:rsidRPr="00A278F1">
              <w:rPr>
                <w:rFonts w:ascii="Arial" w:eastAsiaTheme="minorHAnsi" w:hAnsi="Arial" w:cs="Arial"/>
              </w:rPr>
              <w:t xml:space="preserve"> not essential for the Shepparton</w:t>
            </w:r>
            <w:r>
              <w:rPr>
                <w:rFonts w:ascii="Arial" w:eastAsiaTheme="minorHAnsi" w:hAnsi="Arial" w:cs="Arial"/>
              </w:rPr>
              <w:t xml:space="preserve"> </w:t>
            </w:r>
            <w:r w:rsidRPr="00A278F1">
              <w:rPr>
                <w:rFonts w:ascii="Arial" w:eastAsiaTheme="minorHAnsi" w:hAnsi="Arial" w:cs="Arial"/>
              </w:rPr>
              <w:t xml:space="preserve">North-East Growth Area to provide </w:t>
            </w:r>
            <w:r w:rsidR="00B6659B">
              <w:rPr>
                <w:rFonts w:ascii="Arial" w:eastAsiaTheme="minorHAnsi" w:hAnsi="Arial" w:cs="Arial"/>
              </w:rPr>
              <w:t>land for a new aged care facility as such, however medium density lots should be provided in appropriate locations, near public transport</w:t>
            </w:r>
            <w:r w:rsidR="00CA0809">
              <w:rPr>
                <w:rFonts w:ascii="Arial" w:eastAsiaTheme="minorHAnsi" w:hAnsi="Arial" w:cs="Arial"/>
              </w:rPr>
              <w:t>, shops</w:t>
            </w:r>
            <w:r w:rsidR="00B6659B">
              <w:rPr>
                <w:rFonts w:ascii="Arial" w:eastAsiaTheme="minorHAnsi" w:hAnsi="Arial" w:cs="Arial"/>
              </w:rPr>
              <w:t xml:space="preserve"> etc. to cater for independent </w:t>
            </w:r>
            <w:r w:rsidRPr="00A278F1">
              <w:rPr>
                <w:rFonts w:ascii="Arial" w:eastAsiaTheme="minorHAnsi" w:hAnsi="Arial" w:cs="Arial"/>
              </w:rPr>
              <w:t>accommodation for aged people</w:t>
            </w:r>
            <w:r w:rsidR="00B6659B">
              <w:rPr>
                <w:rFonts w:ascii="Arial" w:eastAsiaTheme="minorHAnsi" w:hAnsi="Arial" w:cs="Arial"/>
              </w:rPr>
              <w:t>.</w:t>
            </w:r>
            <w:r w:rsidR="00FD37A7">
              <w:rPr>
                <w:rFonts w:ascii="Arial" w:eastAsiaTheme="minorHAnsi" w:hAnsi="Arial" w:cs="Arial"/>
              </w:rPr>
              <w:t xml:space="preserve"> Supported aged care could be appropriate in small scale.</w:t>
            </w:r>
          </w:p>
          <w:p w:rsidR="00FD37A7" w:rsidRDefault="00FD37A7" w:rsidP="00FD3C00">
            <w:pPr>
              <w:autoSpaceDE w:val="0"/>
              <w:autoSpaceDN w:val="0"/>
              <w:adjustRightInd w:val="0"/>
              <w:rPr>
                <w:rFonts w:ascii="Arial" w:eastAsiaTheme="minorHAnsi" w:hAnsi="Arial" w:cs="Arial"/>
              </w:rPr>
            </w:pPr>
          </w:p>
          <w:p w:rsidR="00DF5574" w:rsidRDefault="00FD3C00" w:rsidP="00FD3C00">
            <w:pPr>
              <w:autoSpaceDE w:val="0"/>
              <w:autoSpaceDN w:val="0"/>
              <w:adjustRightInd w:val="0"/>
              <w:rPr>
                <w:rFonts w:ascii="Arial" w:eastAsiaTheme="minorHAnsi" w:hAnsi="Arial" w:cs="Arial"/>
              </w:rPr>
            </w:pPr>
            <w:r>
              <w:rPr>
                <w:rFonts w:ascii="Arial" w:eastAsiaTheme="minorHAnsi" w:hAnsi="Arial" w:cs="Arial"/>
              </w:rPr>
              <w:t xml:space="preserve">Providing housing for the elderly is particularly significant in this area as it is in close proximity of the hospital. </w:t>
            </w:r>
            <w:r w:rsidR="00B6659B">
              <w:rPr>
                <w:rFonts w:ascii="Arial" w:eastAsiaTheme="minorHAnsi" w:hAnsi="Arial" w:cs="Arial"/>
              </w:rPr>
              <w:t xml:space="preserve">Universal housing access will be a crucial part of </w:t>
            </w:r>
            <w:r w:rsidR="00B6659B" w:rsidRPr="00B6659B">
              <w:rPr>
                <w:rFonts w:ascii="Arial" w:eastAsiaTheme="minorHAnsi" w:hAnsi="Arial" w:cs="Arial"/>
              </w:rPr>
              <w:t>providing for elderly to “age in place”.</w:t>
            </w:r>
          </w:p>
          <w:p w:rsidR="00D56FA2" w:rsidRDefault="00D56FA2" w:rsidP="00FD3C00">
            <w:pPr>
              <w:autoSpaceDE w:val="0"/>
              <w:autoSpaceDN w:val="0"/>
              <w:adjustRightInd w:val="0"/>
              <w:rPr>
                <w:rFonts w:ascii="Arial" w:hAnsi="Arial" w:cs="Arial"/>
                <w:b/>
                <w:bCs/>
                <w:sz w:val="20"/>
                <w:szCs w:val="20"/>
              </w:rPr>
            </w:pPr>
          </w:p>
        </w:tc>
      </w:tr>
    </w:tbl>
    <w:p w:rsidR="00DF5574" w:rsidRDefault="00DF5574" w:rsidP="00DF5574">
      <w:pPr>
        <w:autoSpaceDE w:val="0"/>
        <w:autoSpaceDN w:val="0"/>
        <w:adjustRightInd w:val="0"/>
        <w:rPr>
          <w:rFonts w:ascii="Arial" w:hAnsi="Arial" w:cs="Arial"/>
          <w:b/>
          <w:bCs/>
          <w:sz w:val="20"/>
          <w:szCs w:val="20"/>
        </w:rPr>
      </w:pPr>
    </w:p>
    <w:p w:rsidR="00DF5574" w:rsidRPr="001610D9" w:rsidRDefault="00DF5574" w:rsidP="00A13884">
      <w:pPr>
        <w:pStyle w:val="Heading3"/>
      </w:pPr>
      <w:bookmarkStart w:id="98" w:name="_Toc325725956"/>
      <w:bookmarkStart w:id="99" w:name="_Toc335820994"/>
      <w:bookmarkStart w:id="100" w:name="_Toc343006847"/>
      <w:r w:rsidRPr="001610D9">
        <w:t>Open Space</w:t>
      </w:r>
      <w:bookmarkEnd w:id="98"/>
      <w:bookmarkEnd w:id="99"/>
      <w:bookmarkEnd w:id="100"/>
    </w:p>
    <w:tbl>
      <w:tblPr>
        <w:tblStyle w:val="TableGrid"/>
        <w:tblW w:w="0" w:type="auto"/>
        <w:tblLook w:val="04A0"/>
      </w:tblPr>
      <w:tblGrid>
        <w:gridCol w:w="9242"/>
      </w:tblGrid>
      <w:tr w:rsidR="00DF5574" w:rsidTr="00240F3A">
        <w:tc>
          <w:tcPr>
            <w:tcW w:w="13149" w:type="dxa"/>
          </w:tcPr>
          <w:p w:rsidR="00DF5574" w:rsidRPr="00CC10C8" w:rsidRDefault="00DF5574" w:rsidP="003B577C">
            <w:pPr>
              <w:autoSpaceDE w:val="0"/>
              <w:autoSpaceDN w:val="0"/>
              <w:adjustRightInd w:val="0"/>
              <w:rPr>
                <w:rFonts w:ascii="Arial" w:hAnsi="Arial" w:cs="Arial"/>
                <w:bCs/>
              </w:rPr>
            </w:pPr>
            <w:r w:rsidRPr="00CC10C8">
              <w:rPr>
                <w:rFonts w:ascii="Arial" w:hAnsi="Arial" w:cs="Arial"/>
                <w:bCs/>
              </w:rPr>
              <w:t>Open space study provided by @Leisure.</w:t>
            </w:r>
          </w:p>
        </w:tc>
      </w:tr>
    </w:tbl>
    <w:p w:rsidR="00DF5574" w:rsidRPr="001610D9" w:rsidRDefault="00DF5574" w:rsidP="00A13884">
      <w:pPr>
        <w:pStyle w:val="Heading3"/>
      </w:pPr>
      <w:bookmarkStart w:id="101" w:name="_Toc325725957"/>
      <w:bookmarkStart w:id="102" w:name="_Toc335820995"/>
      <w:bookmarkStart w:id="103" w:name="_Toc343006848"/>
      <w:r w:rsidRPr="001610D9">
        <w:t>Housing</w:t>
      </w:r>
      <w:bookmarkEnd w:id="101"/>
      <w:bookmarkEnd w:id="102"/>
      <w:bookmarkEnd w:id="103"/>
    </w:p>
    <w:tbl>
      <w:tblPr>
        <w:tblStyle w:val="TableGrid"/>
        <w:tblW w:w="0" w:type="auto"/>
        <w:tblLook w:val="04A0"/>
      </w:tblPr>
      <w:tblGrid>
        <w:gridCol w:w="9242"/>
      </w:tblGrid>
      <w:tr w:rsidR="00DF5574" w:rsidTr="00240F3A">
        <w:trPr>
          <w:trHeight w:val="699"/>
        </w:trPr>
        <w:tc>
          <w:tcPr>
            <w:tcW w:w="13149" w:type="dxa"/>
          </w:tcPr>
          <w:p w:rsidR="00AD4090" w:rsidRDefault="00AD4090" w:rsidP="0031402B">
            <w:pPr>
              <w:rPr>
                <w:rFonts w:ascii="Arial" w:eastAsiaTheme="minorHAnsi" w:hAnsi="Arial" w:cs="Arial"/>
              </w:rPr>
            </w:pPr>
          </w:p>
          <w:p w:rsidR="00DF5574" w:rsidRPr="00A278F1" w:rsidRDefault="00DF5574" w:rsidP="0031402B">
            <w:pPr>
              <w:rPr>
                <w:rFonts w:ascii="Arial" w:eastAsiaTheme="minorHAnsi" w:hAnsi="Arial" w:cs="Arial"/>
              </w:rPr>
            </w:pPr>
            <w:r w:rsidRPr="00A278F1">
              <w:rPr>
                <w:rFonts w:ascii="Arial" w:eastAsiaTheme="minorHAnsi" w:hAnsi="Arial" w:cs="Arial"/>
              </w:rPr>
              <w:t xml:space="preserve">Based on the </w:t>
            </w:r>
            <w:r>
              <w:rPr>
                <w:rFonts w:ascii="Arial" w:eastAsiaTheme="minorHAnsi" w:hAnsi="Arial" w:cs="Arial"/>
              </w:rPr>
              <w:t>Greater Shepparton Housing Strategy</w:t>
            </w:r>
            <w:r w:rsidRPr="00A278F1">
              <w:rPr>
                <w:rFonts w:ascii="Arial" w:eastAsiaTheme="minorHAnsi" w:hAnsi="Arial" w:cs="Arial"/>
              </w:rPr>
              <w:t xml:space="preserve"> it is recommended that the Shepparton North-East Growth Area caters for a range of housing</w:t>
            </w:r>
            <w:r>
              <w:rPr>
                <w:rFonts w:ascii="Arial" w:eastAsiaTheme="minorHAnsi" w:hAnsi="Arial" w:cs="Arial"/>
              </w:rPr>
              <w:t xml:space="preserve"> </w:t>
            </w:r>
            <w:r w:rsidRPr="00A278F1">
              <w:rPr>
                <w:rFonts w:ascii="Arial" w:eastAsiaTheme="minorHAnsi" w:hAnsi="Arial" w:cs="Arial"/>
              </w:rPr>
              <w:t>types, including higher density dwellings to help improve housing affordability and equity within the</w:t>
            </w:r>
            <w:r>
              <w:rPr>
                <w:rFonts w:ascii="Arial" w:eastAsiaTheme="minorHAnsi" w:hAnsi="Arial" w:cs="Arial"/>
              </w:rPr>
              <w:t xml:space="preserve"> </w:t>
            </w:r>
            <w:r w:rsidRPr="00A278F1">
              <w:rPr>
                <w:rFonts w:ascii="Arial" w:eastAsiaTheme="minorHAnsi" w:hAnsi="Arial" w:cs="Arial"/>
              </w:rPr>
              <w:t>community.</w:t>
            </w:r>
          </w:p>
          <w:p w:rsidR="00DF5574" w:rsidRPr="00A278F1" w:rsidRDefault="00DF5574" w:rsidP="0031402B">
            <w:pPr>
              <w:rPr>
                <w:rFonts w:ascii="Arial" w:eastAsiaTheme="minorHAnsi" w:hAnsi="Arial" w:cs="Arial"/>
              </w:rPr>
            </w:pPr>
          </w:p>
          <w:p w:rsidR="00DF5574" w:rsidRDefault="00DF5574" w:rsidP="0031402B">
            <w:pPr>
              <w:rPr>
                <w:rFonts w:ascii="Arial" w:eastAsiaTheme="minorHAnsi" w:hAnsi="Arial" w:cs="Arial"/>
              </w:rPr>
            </w:pPr>
            <w:r w:rsidRPr="00A278F1">
              <w:rPr>
                <w:rFonts w:ascii="Arial" w:eastAsiaTheme="minorHAnsi" w:hAnsi="Arial" w:cs="Arial"/>
              </w:rPr>
              <w:t>It is recommended that community facilities at the Shepparton North-East Growth Area are central to</w:t>
            </w:r>
            <w:r>
              <w:rPr>
                <w:rFonts w:ascii="Arial" w:eastAsiaTheme="minorHAnsi" w:hAnsi="Arial" w:cs="Arial"/>
              </w:rPr>
              <w:t xml:space="preserve"> </w:t>
            </w:r>
            <w:r w:rsidRPr="00A278F1">
              <w:rPr>
                <w:rFonts w:ascii="Arial" w:eastAsiaTheme="minorHAnsi" w:hAnsi="Arial" w:cs="Arial"/>
              </w:rPr>
              <w:t xml:space="preserve">the neighbourhood and accessible to all residents, particularly via walking and cycling. </w:t>
            </w:r>
            <w:r w:rsidR="00AD4090">
              <w:rPr>
                <w:rFonts w:ascii="Arial" w:eastAsiaTheme="minorHAnsi" w:hAnsi="Arial" w:cs="Arial"/>
              </w:rPr>
              <w:t>Universal housing</w:t>
            </w:r>
            <w:r w:rsidR="00003BBD">
              <w:rPr>
                <w:rFonts w:ascii="Arial" w:eastAsiaTheme="minorHAnsi" w:hAnsi="Arial" w:cs="Arial"/>
              </w:rPr>
              <w:t xml:space="preserve"> design</w:t>
            </w:r>
            <w:r w:rsidR="00AD4090">
              <w:rPr>
                <w:rFonts w:ascii="Arial" w:eastAsiaTheme="minorHAnsi" w:hAnsi="Arial" w:cs="Arial"/>
              </w:rPr>
              <w:t xml:space="preserve"> will provide accessible housing for all age groups and capacities and can easily be retrofitted to suit individual needs. Given that the site is in close proximity of the GV Base Hospital and the Verney Road Special School </w:t>
            </w:r>
            <w:r w:rsidR="00003BBD">
              <w:rPr>
                <w:rFonts w:ascii="Arial" w:eastAsiaTheme="minorHAnsi" w:hAnsi="Arial" w:cs="Arial"/>
              </w:rPr>
              <w:t xml:space="preserve">it might </w:t>
            </w:r>
            <w:r w:rsidR="00AD4090">
              <w:rPr>
                <w:rFonts w:ascii="Arial" w:eastAsiaTheme="minorHAnsi" w:hAnsi="Arial" w:cs="Arial"/>
              </w:rPr>
              <w:t>be a particular demand for universal access housing in this area.</w:t>
            </w:r>
          </w:p>
          <w:p w:rsidR="00C52927" w:rsidRDefault="00C52927" w:rsidP="0031402B">
            <w:pPr>
              <w:rPr>
                <w:rFonts w:ascii="Arial" w:eastAsiaTheme="minorHAnsi" w:hAnsi="Arial" w:cs="Arial"/>
              </w:rPr>
            </w:pPr>
          </w:p>
          <w:p w:rsidR="00DF5574" w:rsidRPr="005062A7" w:rsidRDefault="00DF5574" w:rsidP="0031402B">
            <w:pPr>
              <w:rPr>
                <w:rFonts w:ascii="Arial" w:eastAsiaTheme="minorHAnsi" w:hAnsi="Arial" w:cs="Arial"/>
                <w:u w:val="single"/>
              </w:rPr>
            </w:pPr>
            <w:r w:rsidRPr="005062A7">
              <w:rPr>
                <w:rFonts w:ascii="Arial" w:eastAsiaTheme="minorHAnsi" w:hAnsi="Arial" w:cs="Arial"/>
                <w:u w:val="single"/>
              </w:rPr>
              <w:t xml:space="preserve">The following aspects, based on </w:t>
            </w:r>
            <w:r w:rsidRPr="005062A7">
              <w:rPr>
                <w:rFonts w:ascii="Arial" w:eastAsiaTheme="minorHAnsi" w:hAnsi="Arial" w:cs="Arial"/>
                <w:iCs/>
                <w:u w:val="single"/>
              </w:rPr>
              <w:t xml:space="preserve">Safer Design Guidelines for Victoria and the Growth Area Authority Precinct Structure Planning Guidelines, </w:t>
            </w:r>
            <w:r w:rsidRPr="005062A7">
              <w:rPr>
                <w:rFonts w:ascii="Arial" w:eastAsiaTheme="minorHAnsi" w:hAnsi="Arial" w:cs="Arial"/>
                <w:u w:val="single"/>
              </w:rPr>
              <w:t>needs to be considered when planning for the Shepparton North-East Growth Area:</w:t>
            </w:r>
          </w:p>
          <w:p w:rsidR="00DF5574" w:rsidRDefault="00DF5574" w:rsidP="0031402B">
            <w:pPr>
              <w:rPr>
                <w:rFonts w:ascii="Arial" w:eastAsiaTheme="minorHAnsi" w:hAnsi="Arial" w:cs="Arial"/>
              </w:rPr>
            </w:pPr>
          </w:p>
          <w:p w:rsidR="00DF5574" w:rsidRPr="00A278F1" w:rsidRDefault="00DF5574" w:rsidP="0031402B">
            <w:pPr>
              <w:rPr>
                <w:rFonts w:ascii="Arial" w:eastAsiaTheme="minorHAnsi" w:hAnsi="Arial" w:cs="Arial"/>
              </w:rPr>
            </w:pPr>
            <w:r w:rsidRPr="00A278F1">
              <w:rPr>
                <w:rFonts w:ascii="Arial" w:eastAsiaTheme="minorHAnsi" w:hAnsi="Arial" w:cs="Arial"/>
                <w:i/>
                <w:iCs/>
              </w:rPr>
              <w:t>Safer Design Guidelines for Victoria</w:t>
            </w:r>
          </w:p>
          <w:p w:rsidR="00DF5574" w:rsidRPr="00A278F1" w:rsidRDefault="00DF5574" w:rsidP="0031402B">
            <w:pPr>
              <w:rPr>
                <w:rFonts w:ascii="Arial" w:eastAsiaTheme="minorHAnsi" w:hAnsi="Arial" w:cs="Arial"/>
              </w:rPr>
            </w:pPr>
            <w:r w:rsidRPr="00A278F1">
              <w:rPr>
                <w:rFonts w:ascii="SymbolMT" w:eastAsiaTheme="minorHAnsi" w:hAnsi="SymbolMT" w:cs="SymbolMT"/>
              </w:rPr>
              <w:t xml:space="preserve">• </w:t>
            </w:r>
            <w:r w:rsidRPr="00A278F1">
              <w:rPr>
                <w:rFonts w:ascii="Arial" w:eastAsiaTheme="minorHAnsi" w:hAnsi="Arial" w:cs="Arial"/>
              </w:rPr>
              <w:t>Direct street links between neighbourhoods and activity centres</w:t>
            </w:r>
          </w:p>
          <w:p w:rsidR="00DF5574" w:rsidRPr="00A278F1" w:rsidRDefault="00DF5574" w:rsidP="0031402B">
            <w:pPr>
              <w:rPr>
                <w:rFonts w:ascii="Arial" w:eastAsiaTheme="minorHAnsi" w:hAnsi="Arial" w:cs="Arial"/>
              </w:rPr>
            </w:pPr>
            <w:r w:rsidRPr="00A278F1">
              <w:rPr>
                <w:rFonts w:ascii="SymbolMT" w:eastAsiaTheme="minorHAnsi" w:hAnsi="SymbolMT" w:cs="SymbolMT"/>
              </w:rPr>
              <w:t xml:space="preserve">• </w:t>
            </w:r>
            <w:r w:rsidRPr="00A278F1">
              <w:rPr>
                <w:rFonts w:ascii="Arial" w:eastAsiaTheme="minorHAnsi" w:hAnsi="Arial" w:cs="Arial"/>
              </w:rPr>
              <w:t>Design street patterns using a network of direct and straight streets</w:t>
            </w:r>
          </w:p>
          <w:p w:rsidR="00DF5574" w:rsidRPr="00A278F1" w:rsidRDefault="00DF5574" w:rsidP="0031402B">
            <w:pPr>
              <w:rPr>
                <w:rFonts w:ascii="Arial" w:eastAsiaTheme="minorHAnsi" w:hAnsi="Arial" w:cs="Arial"/>
              </w:rPr>
            </w:pPr>
            <w:r w:rsidRPr="00A278F1">
              <w:rPr>
                <w:rFonts w:ascii="SymbolMT" w:eastAsiaTheme="minorHAnsi" w:hAnsi="SymbolMT" w:cs="SymbolMT"/>
              </w:rPr>
              <w:t xml:space="preserve">• </w:t>
            </w:r>
            <w:r w:rsidRPr="00A278F1">
              <w:rPr>
                <w:rFonts w:ascii="Arial" w:eastAsiaTheme="minorHAnsi" w:hAnsi="Arial" w:cs="Arial"/>
              </w:rPr>
              <w:t>Integrate new development with existing neighbourhoods</w:t>
            </w:r>
          </w:p>
          <w:p w:rsidR="00DF5574" w:rsidRDefault="00DF5574" w:rsidP="0031402B">
            <w:pPr>
              <w:rPr>
                <w:rFonts w:ascii="Arial" w:eastAsiaTheme="minorHAnsi" w:hAnsi="Arial" w:cs="Arial"/>
              </w:rPr>
            </w:pPr>
            <w:r w:rsidRPr="00A278F1">
              <w:rPr>
                <w:rFonts w:ascii="SymbolMT" w:eastAsiaTheme="minorHAnsi" w:hAnsi="SymbolMT" w:cs="SymbolMT"/>
              </w:rPr>
              <w:t xml:space="preserve">• </w:t>
            </w:r>
            <w:r w:rsidRPr="00A278F1">
              <w:rPr>
                <w:rFonts w:ascii="Arial" w:eastAsiaTheme="minorHAnsi" w:hAnsi="Arial" w:cs="Arial"/>
              </w:rPr>
              <w:t>Maximise opportunities for natural surveillance.</w:t>
            </w:r>
          </w:p>
          <w:p w:rsidR="00DF5574" w:rsidRDefault="00DF5574" w:rsidP="0031402B">
            <w:pPr>
              <w:rPr>
                <w:rFonts w:ascii="Arial" w:eastAsiaTheme="minorHAnsi" w:hAnsi="Arial" w:cs="Arial"/>
              </w:rPr>
            </w:pPr>
          </w:p>
          <w:p w:rsidR="00DF5574" w:rsidRPr="005062A7" w:rsidRDefault="00DF5574" w:rsidP="0031402B">
            <w:pPr>
              <w:rPr>
                <w:rFonts w:ascii="Myriad Pro" w:eastAsiaTheme="minorHAnsi" w:hAnsi="Myriad Pro" w:cstheme="minorBidi"/>
                <w:u w:val="single"/>
              </w:rPr>
            </w:pPr>
            <w:r w:rsidRPr="005062A7">
              <w:rPr>
                <w:rFonts w:ascii="Arial" w:eastAsiaTheme="minorHAnsi" w:hAnsi="Arial" w:cs="Arial"/>
                <w:iCs/>
                <w:u w:val="single"/>
              </w:rPr>
              <w:t>Growth Area Authority Precinct Structure Planning Guidelines</w:t>
            </w:r>
            <w:r w:rsidRPr="005062A7">
              <w:rPr>
                <w:rFonts w:ascii="Myriad Pro" w:eastAsiaTheme="minorHAnsi" w:hAnsi="Myriad Pro" w:cstheme="minorBidi"/>
                <w:u w:val="single"/>
              </w:rPr>
              <w:t>.</w:t>
            </w:r>
          </w:p>
          <w:p w:rsidR="00DF5574" w:rsidRPr="008C5EFD" w:rsidRDefault="00DF5574" w:rsidP="0031402B">
            <w:pPr>
              <w:rPr>
                <w:rFonts w:ascii="Myriad Pro" w:eastAsiaTheme="minorHAnsi" w:hAnsi="Myriad Pro" w:cstheme="minorBidi"/>
              </w:rPr>
            </w:pPr>
            <w:r w:rsidRPr="008C5EFD">
              <w:rPr>
                <w:rFonts w:ascii="Arial" w:eastAsiaTheme="minorHAnsi" w:hAnsi="Arial" w:cs="Arial"/>
                <w:iCs/>
                <w:u w:val="single"/>
              </w:rPr>
              <w:t>The precinct structure plan should respond to the following standards</w:t>
            </w:r>
            <w:r w:rsidRPr="008C5EFD">
              <w:rPr>
                <w:rFonts w:ascii="Arial" w:eastAsiaTheme="minorHAnsi" w:hAnsi="Arial" w:cs="Arial"/>
                <w:iCs/>
              </w:rPr>
              <w:t>:</w:t>
            </w:r>
            <w:r w:rsidRPr="008C5EFD">
              <w:rPr>
                <w:rFonts w:ascii="Myriad Pro" w:eastAsiaTheme="minorHAnsi" w:hAnsi="Myriad Pro" w:cstheme="minorBidi"/>
              </w:rPr>
              <w:t xml:space="preserve"> </w:t>
            </w:r>
          </w:p>
          <w:p w:rsidR="00DF5574" w:rsidRDefault="00DF5574" w:rsidP="0031402B">
            <w:pPr>
              <w:rPr>
                <w:rFonts w:ascii="Arial" w:eastAsiaTheme="minorHAnsi" w:hAnsi="Arial" w:cs="Arial"/>
                <w:sz w:val="20"/>
                <w:szCs w:val="20"/>
              </w:rPr>
            </w:pPr>
            <w:r>
              <w:rPr>
                <w:rFonts w:ascii="Arial" w:eastAsiaTheme="minorHAnsi" w:hAnsi="Arial" w:cs="Arial"/>
                <w:sz w:val="20"/>
                <w:szCs w:val="20"/>
              </w:rPr>
              <w:t>S1</w:t>
            </w:r>
            <w:r w:rsidRPr="00B602C0">
              <w:rPr>
                <w:rFonts w:ascii="Arial" w:eastAsiaTheme="minorHAnsi" w:hAnsi="Arial" w:cs="Arial"/>
              </w:rPr>
              <w:t>: Housing across a precinct structure plan should achieve an average density of at least 15 dwellings per net residential hectare, which will be achieved by providing a range of lot sizes. Higher densities should be focused in and around activity centres and public transport based on the following guidelines:</w:t>
            </w:r>
          </w:p>
          <w:p w:rsidR="00DF5574" w:rsidRDefault="00DF5574" w:rsidP="0031402B">
            <w:pPr>
              <w:rPr>
                <w:rFonts w:ascii="Arial" w:eastAsiaTheme="minorHAnsi" w:hAnsi="Arial" w:cs="Arial"/>
                <w:sz w:val="20"/>
                <w:szCs w:val="20"/>
              </w:rPr>
            </w:pPr>
          </w:p>
          <w:p w:rsidR="00DF5574" w:rsidRPr="00B602C0" w:rsidRDefault="00DF5574" w:rsidP="0031402B">
            <w:pPr>
              <w:rPr>
                <w:rFonts w:ascii="Arial" w:eastAsiaTheme="minorHAnsi" w:hAnsi="Arial" w:cs="Arial"/>
              </w:rPr>
            </w:pPr>
            <w:r w:rsidRPr="00B602C0">
              <w:rPr>
                <w:rFonts w:ascii="Arial" w:eastAsiaTheme="minorHAnsi" w:hAnsi="Arial" w:cs="Arial"/>
              </w:rPr>
              <w:t>S2: Within an activity centre, homes should be high density.</w:t>
            </w:r>
          </w:p>
          <w:p w:rsidR="00DF5574" w:rsidRPr="00B602C0" w:rsidRDefault="00DF5574" w:rsidP="0031402B">
            <w:pPr>
              <w:rPr>
                <w:rFonts w:ascii="Arial" w:eastAsiaTheme="minorHAnsi" w:hAnsi="Arial" w:cs="Arial"/>
              </w:rPr>
            </w:pPr>
            <w:r w:rsidRPr="00B602C0">
              <w:rPr>
                <w:rFonts w:ascii="Arial" w:eastAsiaTheme="minorHAnsi" w:hAnsi="Arial" w:cs="Arial"/>
              </w:rPr>
              <w:t>Within the walkable catchment of an activity centre, homes should be medium to high density.</w:t>
            </w:r>
          </w:p>
          <w:p w:rsidR="00DF5574" w:rsidRPr="00B602C0" w:rsidRDefault="00DF5574" w:rsidP="0031402B">
            <w:pPr>
              <w:rPr>
                <w:rFonts w:ascii="Arial" w:eastAsiaTheme="minorHAnsi" w:hAnsi="Arial" w:cs="Arial"/>
              </w:rPr>
            </w:pPr>
            <w:r w:rsidRPr="00B602C0">
              <w:rPr>
                <w:rFonts w:ascii="Arial" w:eastAsiaTheme="minorHAnsi" w:hAnsi="Arial" w:cs="Arial"/>
              </w:rPr>
              <w:t>The precinct structure plan should identify opportunities for medium to high density housing close proximity to a local bus stop, community facilities or open space.</w:t>
            </w:r>
          </w:p>
          <w:p w:rsidR="00DF5574" w:rsidRDefault="00DF5574" w:rsidP="0031402B">
            <w:pPr>
              <w:rPr>
                <w:rFonts w:ascii="Arial" w:eastAsiaTheme="minorHAnsi" w:hAnsi="Arial" w:cs="Arial"/>
                <w:sz w:val="20"/>
                <w:szCs w:val="20"/>
              </w:rPr>
            </w:pPr>
          </w:p>
          <w:p w:rsidR="00DF5574" w:rsidRPr="00B602C0" w:rsidRDefault="00DF5574" w:rsidP="0031402B">
            <w:pPr>
              <w:rPr>
                <w:rFonts w:ascii="Arial" w:eastAsiaTheme="minorHAnsi" w:hAnsi="Arial" w:cs="Arial"/>
              </w:rPr>
            </w:pPr>
            <w:r w:rsidRPr="00B602C0">
              <w:rPr>
                <w:rFonts w:ascii="Arial" w:eastAsiaTheme="minorHAnsi" w:hAnsi="Arial" w:cs="Arial"/>
              </w:rPr>
              <w:lastRenderedPageBreak/>
              <w:t>Clause 56.04-1</w:t>
            </w:r>
          </w:p>
          <w:p w:rsidR="00DF5574" w:rsidRPr="00B602C0" w:rsidRDefault="00DF5574" w:rsidP="0031402B">
            <w:pPr>
              <w:rPr>
                <w:rFonts w:ascii="Arial" w:eastAsiaTheme="minorHAnsi" w:hAnsi="Arial" w:cs="Arial"/>
              </w:rPr>
            </w:pPr>
            <w:r w:rsidRPr="00B602C0">
              <w:rPr>
                <w:rFonts w:ascii="Arial" w:eastAsiaTheme="minorHAnsi" w:hAnsi="Arial" w:cs="Arial"/>
              </w:rPr>
              <w:t>S3: A range of densities that enable a mix of housing types and sizes and provided across the precinct.</w:t>
            </w:r>
          </w:p>
          <w:p w:rsidR="00DF5574" w:rsidRPr="00B602C0" w:rsidRDefault="00DF5574" w:rsidP="0031402B">
            <w:pPr>
              <w:rPr>
                <w:rFonts w:ascii="Arial" w:eastAsiaTheme="minorHAnsi" w:hAnsi="Arial" w:cs="Arial"/>
              </w:rPr>
            </w:pPr>
          </w:p>
          <w:p w:rsidR="00DF5574" w:rsidRPr="00B602C0" w:rsidRDefault="00DF5574" w:rsidP="0031402B">
            <w:pPr>
              <w:rPr>
                <w:rFonts w:ascii="Arial" w:eastAsiaTheme="minorHAnsi" w:hAnsi="Arial" w:cs="Arial"/>
              </w:rPr>
            </w:pPr>
            <w:r w:rsidRPr="00B602C0">
              <w:rPr>
                <w:rFonts w:ascii="Arial" w:eastAsiaTheme="minorHAnsi" w:hAnsi="Arial" w:cs="Arial"/>
              </w:rPr>
              <w:t>Clause 16.05</w:t>
            </w:r>
          </w:p>
          <w:p w:rsidR="00DF5574" w:rsidRPr="00B602C0" w:rsidRDefault="00DF5574" w:rsidP="0031402B">
            <w:pPr>
              <w:rPr>
                <w:rFonts w:ascii="Arial" w:eastAsiaTheme="minorHAnsi" w:hAnsi="Arial" w:cs="Arial"/>
              </w:rPr>
            </w:pPr>
            <w:r w:rsidRPr="00B602C0">
              <w:rPr>
                <w:rFonts w:ascii="Arial" w:eastAsiaTheme="minorHAnsi" w:hAnsi="Arial" w:cs="Arial"/>
              </w:rPr>
              <w:t>S4: The precinct structure plan can identify opportunities for affordable and social housing in and around activity centres.</w:t>
            </w:r>
          </w:p>
          <w:p w:rsidR="00DF5574" w:rsidRPr="00B602C0" w:rsidRDefault="00DF5574" w:rsidP="0031402B">
            <w:pPr>
              <w:rPr>
                <w:rFonts w:ascii="Arial" w:eastAsiaTheme="minorHAnsi" w:hAnsi="Arial" w:cs="Arial"/>
              </w:rPr>
            </w:pPr>
          </w:p>
          <w:p w:rsidR="00DF5574" w:rsidRPr="00B602C0" w:rsidRDefault="00DF5574" w:rsidP="0031402B">
            <w:pPr>
              <w:rPr>
                <w:rFonts w:ascii="Arial" w:eastAsiaTheme="minorHAnsi" w:hAnsi="Arial" w:cs="Arial"/>
              </w:rPr>
            </w:pPr>
            <w:r w:rsidRPr="00B602C0">
              <w:rPr>
                <w:rFonts w:ascii="Arial" w:eastAsiaTheme="minorHAnsi" w:hAnsi="Arial" w:cs="Arial"/>
              </w:rPr>
              <w:t>Clause 56.03 and 56.04-1</w:t>
            </w:r>
          </w:p>
          <w:p w:rsidR="00DF5574" w:rsidRDefault="00DF5574" w:rsidP="0031402B">
            <w:pPr>
              <w:rPr>
                <w:rFonts w:ascii="Arial" w:eastAsiaTheme="minorHAnsi" w:hAnsi="Arial" w:cs="Arial"/>
              </w:rPr>
            </w:pPr>
            <w:r w:rsidRPr="00B602C0">
              <w:rPr>
                <w:rFonts w:ascii="Arial" w:eastAsiaTheme="minorHAnsi" w:hAnsi="Arial" w:cs="Arial"/>
              </w:rPr>
              <w:t xml:space="preserve">S5: Any retirement villages or residential aged care facilities should be located within an activity centre or within 400 metres of an activity centre and public transport stop. Permeability and accessibility through these areas is encouraged. </w:t>
            </w:r>
          </w:p>
          <w:p w:rsidR="00335AF8" w:rsidRDefault="00335AF8" w:rsidP="0031402B">
            <w:pPr>
              <w:rPr>
                <w:rFonts w:ascii="Arial" w:eastAsiaTheme="minorHAnsi" w:hAnsi="Arial" w:cs="Arial"/>
                <w:u w:val="single"/>
              </w:rPr>
            </w:pPr>
          </w:p>
          <w:p w:rsidR="00D56FA2" w:rsidRDefault="00D56FA2" w:rsidP="00166AC6">
            <w:pPr>
              <w:rPr>
                <w:rFonts w:ascii="Arial" w:hAnsi="Arial" w:cs="Arial"/>
                <w:b/>
                <w:bCs/>
                <w:sz w:val="20"/>
                <w:szCs w:val="20"/>
              </w:rPr>
            </w:pPr>
          </w:p>
        </w:tc>
      </w:tr>
    </w:tbl>
    <w:p w:rsidR="00DF5574" w:rsidRDefault="00DF5574" w:rsidP="00DF5574">
      <w:pPr>
        <w:autoSpaceDE w:val="0"/>
        <w:autoSpaceDN w:val="0"/>
        <w:adjustRightInd w:val="0"/>
        <w:rPr>
          <w:rFonts w:ascii="Arial" w:hAnsi="Arial" w:cs="Arial"/>
          <w:b/>
          <w:bCs/>
          <w:sz w:val="20"/>
          <w:szCs w:val="20"/>
        </w:rPr>
      </w:pPr>
    </w:p>
    <w:p w:rsidR="00CF7EF9" w:rsidRDefault="00CF7EF9">
      <w:pPr>
        <w:spacing w:after="200" w:line="276" w:lineRule="auto"/>
        <w:rPr>
          <w:rFonts w:asciiTheme="majorHAnsi" w:eastAsiaTheme="majorEastAsia" w:hAnsiTheme="majorHAnsi" w:cstheme="majorBidi"/>
          <w:b/>
          <w:bCs/>
          <w:color w:val="365F91" w:themeColor="accent1" w:themeShade="BF"/>
          <w:sz w:val="28"/>
          <w:szCs w:val="28"/>
        </w:rPr>
      </w:pPr>
      <w:r>
        <w:br w:type="page"/>
      </w:r>
    </w:p>
    <w:p w:rsidR="00215842" w:rsidRPr="009125D9" w:rsidRDefault="00215842" w:rsidP="00215842">
      <w:pPr>
        <w:pStyle w:val="Heading1"/>
      </w:pPr>
      <w:bookmarkStart w:id="104" w:name="_Toc325725949"/>
      <w:bookmarkStart w:id="105" w:name="_Toc335820987"/>
      <w:bookmarkStart w:id="106" w:name="_Toc343006849"/>
      <w:r w:rsidRPr="009125D9">
        <w:lastRenderedPageBreak/>
        <w:t>Part C: Final Recommendations</w:t>
      </w:r>
      <w:bookmarkEnd w:id="104"/>
      <w:bookmarkEnd w:id="105"/>
      <w:bookmarkEnd w:id="106"/>
    </w:p>
    <w:p w:rsidR="0045111D" w:rsidRDefault="0045111D" w:rsidP="00306A66">
      <w:pPr>
        <w:rPr>
          <w:rFonts w:ascii="Arial" w:eastAsiaTheme="minorHAnsi" w:hAnsi="Arial" w:cs="Arial"/>
          <w:sz w:val="22"/>
          <w:szCs w:val="22"/>
        </w:rPr>
      </w:pPr>
    </w:p>
    <w:p w:rsidR="00306A66" w:rsidRDefault="0045111D" w:rsidP="00306A66">
      <w:pPr>
        <w:rPr>
          <w:rFonts w:ascii="Arial" w:eastAsiaTheme="minorHAnsi" w:hAnsi="Arial" w:cs="Arial"/>
          <w:sz w:val="22"/>
          <w:szCs w:val="22"/>
        </w:rPr>
      </w:pPr>
      <w:r w:rsidRPr="0045111D">
        <w:rPr>
          <w:rFonts w:ascii="Arial" w:eastAsiaTheme="minorHAnsi" w:hAnsi="Arial" w:cs="Arial"/>
          <w:sz w:val="22"/>
          <w:szCs w:val="22"/>
        </w:rPr>
        <w:t>It is recommended that:</w:t>
      </w:r>
    </w:p>
    <w:p w:rsidR="0045111D" w:rsidRPr="0045111D" w:rsidRDefault="0045111D" w:rsidP="00306A66">
      <w:pPr>
        <w:rPr>
          <w:rFonts w:ascii="Arial" w:eastAsiaTheme="minorHAnsi" w:hAnsi="Arial" w:cs="Arial"/>
          <w:sz w:val="22"/>
          <w:szCs w:val="22"/>
        </w:rPr>
      </w:pPr>
    </w:p>
    <w:p w:rsidR="009840AE" w:rsidRPr="004C0175" w:rsidRDefault="004C0175" w:rsidP="004C0175">
      <w:pPr>
        <w:pStyle w:val="ListParagraph"/>
        <w:numPr>
          <w:ilvl w:val="0"/>
          <w:numId w:val="20"/>
        </w:numPr>
        <w:autoSpaceDE w:val="0"/>
        <w:autoSpaceDN w:val="0"/>
        <w:adjustRightInd w:val="0"/>
        <w:spacing w:after="360"/>
        <w:rPr>
          <w:rFonts w:ascii="Arial" w:eastAsiaTheme="minorHAnsi" w:hAnsi="Arial" w:cs="Arial"/>
          <w:sz w:val="22"/>
          <w:szCs w:val="22"/>
        </w:rPr>
      </w:pPr>
      <w:r w:rsidRPr="004C0175">
        <w:rPr>
          <w:rFonts w:ascii="Arial" w:eastAsiaTheme="minorHAnsi" w:hAnsi="Arial" w:cs="Arial"/>
          <w:sz w:val="22"/>
          <w:szCs w:val="22"/>
        </w:rPr>
        <w:t>An</w:t>
      </w:r>
      <w:r w:rsidR="00DF5574" w:rsidRPr="004C0175">
        <w:rPr>
          <w:rFonts w:ascii="Arial" w:eastAsiaTheme="minorHAnsi" w:hAnsi="Arial" w:cs="Arial"/>
          <w:sz w:val="22"/>
          <w:szCs w:val="22"/>
        </w:rPr>
        <w:t xml:space="preserve"> activity centre is located near </w:t>
      </w:r>
      <w:r w:rsidR="00166003">
        <w:rPr>
          <w:rFonts w:ascii="Arial" w:eastAsiaTheme="minorHAnsi" w:hAnsi="Arial" w:cs="Arial"/>
          <w:sz w:val="22"/>
          <w:szCs w:val="22"/>
        </w:rPr>
        <w:t xml:space="preserve">the </w:t>
      </w:r>
      <w:r w:rsidR="00DF5574" w:rsidRPr="004C0175">
        <w:rPr>
          <w:rFonts w:ascii="Arial" w:eastAsiaTheme="minorHAnsi" w:hAnsi="Arial" w:cs="Arial"/>
          <w:sz w:val="22"/>
          <w:szCs w:val="22"/>
        </w:rPr>
        <w:t>Shepparton Christian Commun</w:t>
      </w:r>
      <w:r w:rsidR="00683625" w:rsidRPr="004C0175">
        <w:rPr>
          <w:rFonts w:ascii="Arial" w:eastAsiaTheme="minorHAnsi" w:hAnsi="Arial" w:cs="Arial"/>
          <w:sz w:val="22"/>
          <w:szCs w:val="22"/>
        </w:rPr>
        <w:t>ity School on Verney Road</w:t>
      </w:r>
      <w:r w:rsidR="0045111D" w:rsidRPr="004C0175">
        <w:rPr>
          <w:rFonts w:ascii="Arial" w:eastAsiaTheme="minorHAnsi" w:hAnsi="Arial" w:cs="Arial"/>
          <w:sz w:val="22"/>
          <w:szCs w:val="22"/>
        </w:rPr>
        <w:t>, just north of Hawkins Street,</w:t>
      </w:r>
      <w:r w:rsidR="00683625" w:rsidRPr="004C0175">
        <w:rPr>
          <w:rFonts w:ascii="Arial" w:eastAsiaTheme="minorHAnsi" w:hAnsi="Arial" w:cs="Arial"/>
          <w:sz w:val="22"/>
          <w:szCs w:val="22"/>
        </w:rPr>
        <w:t xml:space="preserve"> in the</w:t>
      </w:r>
      <w:r w:rsidR="00DF5574" w:rsidRPr="004C0175">
        <w:rPr>
          <w:rFonts w:ascii="Arial" w:eastAsiaTheme="minorHAnsi" w:hAnsi="Arial" w:cs="Arial"/>
          <w:sz w:val="22"/>
          <w:szCs w:val="22"/>
        </w:rPr>
        <w:t xml:space="preserve"> Shepparton North-East Growth Area. T</w:t>
      </w:r>
      <w:r w:rsidR="009840AE" w:rsidRPr="004C0175">
        <w:rPr>
          <w:rFonts w:ascii="Arial" w:eastAsiaTheme="minorHAnsi" w:hAnsi="Arial" w:cs="Arial"/>
          <w:sz w:val="22"/>
          <w:szCs w:val="22"/>
        </w:rPr>
        <w:t xml:space="preserve">he activity centre will include </w:t>
      </w:r>
      <w:r w:rsidR="00E561A4">
        <w:rPr>
          <w:rFonts w:ascii="Arial" w:eastAsiaTheme="minorHAnsi" w:hAnsi="Arial" w:cs="Arial"/>
          <w:sz w:val="22"/>
          <w:szCs w:val="22"/>
        </w:rPr>
        <w:t>a</w:t>
      </w:r>
      <w:r w:rsidR="0045111D" w:rsidRPr="004C0175">
        <w:rPr>
          <w:rFonts w:ascii="Arial" w:eastAsiaTheme="minorHAnsi" w:hAnsi="Arial" w:cs="Arial"/>
          <w:sz w:val="22"/>
          <w:szCs w:val="22"/>
        </w:rPr>
        <w:t xml:space="preserve"> </w:t>
      </w:r>
      <w:r w:rsidR="00E561A4">
        <w:rPr>
          <w:rFonts w:ascii="Arial" w:eastAsiaTheme="minorHAnsi" w:hAnsi="Arial" w:cs="Arial"/>
          <w:sz w:val="22"/>
          <w:szCs w:val="22"/>
        </w:rPr>
        <w:t>c</w:t>
      </w:r>
      <w:r w:rsidR="00DF5574" w:rsidRPr="004C0175">
        <w:rPr>
          <w:rFonts w:ascii="Arial" w:eastAsiaTheme="minorHAnsi" w:hAnsi="Arial" w:cs="Arial"/>
          <w:sz w:val="22"/>
          <w:szCs w:val="22"/>
        </w:rPr>
        <w:t>omm</w:t>
      </w:r>
      <w:r w:rsidR="006B2074" w:rsidRPr="004C0175">
        <w:rPr>
          <w:rFonts w:ascii="Arial" w:eastAsiaTheme="minorHAnsi" w:hAnsi="Arial" w:cs="Arial"/>
          <w:sz w:val="22"/>
          <w:szCs w:val="22"/>
        </w:rPr>
        <w:t xml:space="preserve">unity </w:t>
      </w:r>
      <w:r w:rsidR="007E72DE" w:rsidRPr="004C0175">
        <w:rPr>
          <w:rFonts w:ascii="Arial" w:eastAsiaTheme="minorHAnsi" w:hAnsi="Arial" w:cs="Arial"/>
          <w:sz w:val="22"/>
          <w:szCs w:val="22"/>
        </w:rPr>
        <w:t>centre</w:t>
      </w:r>
      <w:r w:rsidR="0045111D" w:rsidRPr="004C0175">
        <w:rPr>
          <w:rFonts w:ascii="Arial" w:eastAsiaTheme="minorHAnsi" w:hAnsi="Arial" w:cs="Arial"/>
          <w:sz w:val="22"/>
          <w:szCs w:val="22"/>
        </w:rPr>
        <w:t>,</w:t>
      </w:r>
      <w:r w:rsidR="007E72DE" w:rsidRPr="004C0175">
        <w:rPr>
          <w:rFonts w:ascii="Arial" w:eastAsiaTheme="minorHAnsi" w:hAnsi="Arial" w:cs="Arial"/>
          <w:sz w:val="22"/>
          <w:szCs w:val="22"/>
        </w:rPr>
        <w:t xml:space="preserve"> </w:t>
      </w:r>
      <w:r w:rsidR="00AD4090" w:rsidRPr="004C0175">
        <w:rPr>
          <w:rFonts w:ascii="Arial" w:eastAsiaTheme="minorHAnsi" w:hAnsi="Arial" w:cs="Arial"/>
          <w:sz w:val="22"/>
          <w:szCs w:val="22"/>
        </w:rPr>
        <w:t xml:space="preserve">which will </w:t>
      </w:r>
      <w:r w:rsidR="007E72DE" w:rsidRPr="004C0175">
        <w:rPr>
          <w:rFonts w:ascii="Arial" w:eastAsiaTheme="minorHAnsi" w:hAnsi="Arial" w:cs="Arial"/>
          <w:sz w:val="22"/>
          <w:szCs w:val="22"/>
        </w:rPr>
        <w:t xml:space="preserve">provide </w:t>
      </w:r>
      <w:r w:rsidR="0045111D" w:rsidRPr="004C0175">
        <w:rPr>
          <w:rFonts w:ascii="Arial" w:eastAsiaTheme="minorHAnsi" w:hAnsi="Arial" w:cs="Arial"/>
          <w:sz w:val="22"/>
          <w:szCs w:val="22"/>
        </w:rPr>
        <w:t>for</w:t>
      </w:r>
      <w:r w:rsidR="009840AE" w:rsidRPr="004C0175">
        <w:rPr>
          <w:rFonts w:ascii="Arial" w:eastAsiaTheme="minorHAnsi" w:hAnsi="Arial" w:cs="Arial"/>
          <w:sz w:val="22"/>
          <w:szCs w:val="22"/>
        </w:rPr>
        <w:t>:</w:t>
      </w:r>
    </w:p>
    <w:p w:rsidR="009840AE" w:rsidRDefault="009840AE" w:rsidP="009840AE">
      <w:pPr>
        <w:pStyle w:val="ListParagraph"/>
        <w:autoSpaceDE w:val="0"/>
        <w:autoSpaceDN w:val="0"/>
        <w:adjustRightInd w:val="0"/>
        <w:spacing w:after="360"/>
        <w:ind w:left="1080"/>
        <w:rPr>
          <w:rFonts w:ascii="Arial" w:eastAsiaTheme="minorHAnsi" w:hAnsi="Arial" w:cs="Arial"/>
          <w:sz w:val="22"/>
          <w:szCs w:val="22"/>
        </w:rPr>
      </w:pPr>
    </w:p>
    <w:p w:rsidR="009840AE" w:rsidRDefault="0045111D" w:rsidP="005175F1">
      <w:pPr>
        <w:pStyle w:val="ListParagraph"/>
        <w:numPr>
          <w:ilvl w:val="0"/>
          <w:numId w:val="9"/>
        </w:numPr>
        <w:autoSpaceDE w:val="0"/>
        <w:autoSpaceDN w:val="0"/>
        <w:adjustRightInd w:val="0"/>
        <w:spacing w:after="360"/>
        <w:rPr>
          <w:rFonts w:ascii="Arial" w:eastAsiaTheme="minorHAnsi" w:hAnsi="Arial" w:cs="Arial"/>
          <w:sz w:val="22"/>
          <w:szCs w:val="22"/>
        </w:rPr>
      </w:pPr>
      <w:r w:rsidRPr="009840AE">
        <w:rPr>
          <w:rFonts w:ascii="Arial" w:eastAsiaTheme="minorHAnsi" w:hAnsi="Arial" w:cs="Arial"/>
          <w:sz w:val="22"/>
          <w:szCs w:val="22"/>
        </w:rPr>
        <w:t xml:space="preserve"> </w:t>
      </w:r>
      <w:r w:rsidR="00DF5574" w:rsidRPr="009840AE">
        <w:rPr>
          <w:rFonts w:ascii="Arial" w:eastAsiaTheme="minorHAnsi" w:hAnsi="Arial" w:cs="Arial"/>
          <w:sz w:val="22"/>
          <w:szCs w:val="22"/>
        </w:rPr>
        <w:t xml:space="preserve">Maternal and Child Health sessions, to be shared with other community groups/community services as required, </w:t>
      </w:r>
      <w:r w:rsidR="003F4A04">
        <w:rPr>
          <w:rFonts w:ascii="Arial" w:eastAsiaTheme="minorHAnsi" w:hAnsi="Arial" w:cs="Arial"/>
          <w:sz w:val="22"/>
          <w:szCs w:val="22"/>
        </w:rPr>
        <w:t>and;</w:t>
      </w:r>
    </w:p>
    <w:p w:rsidR="009840AE" w:rsidRDefault="009840AE" w:rsidP="009840AE">
      <w:pPr>
        <w:pStyle w:val="ListParagraph"/>
        <w:autoSpaceDE w:val="0"/>
        <w:autoSpaceDN w:val="0"/>
        <w:adjustRightInd w:val="0"/>
        <w:spacing w:after="360"/>
        <w:ind w:left="1080"/>
        <w:rPr>
          <w:rFonts w:ascii="Arial" w:eastAsiaTheme="minorHAnsi" w:hAnsi="Arial" w:cs="Arial"/>
          <w:sz w:val="22"/>
          <w:szCs w:val="22"/>
        </w:rPr>
      </w:pPr>
    </w:p>
    <w:p w:rsidR="00DF5574" w:rsidRPr="009840AE" w:rsidRDefault="00DF5574" w:rsidP="005175F1">
      <w:pPr>
        <w:pStyle w:val="ListParagraph"/>
        <w:numPr>
          <w:ilvl w:val="0"/>
          <w:numId w:val="9"/>
        </w:numPr>
        <w:autoSpaceDE w:val="0"/>
        <w:autoSpaceDN w:val="0"/>
        <w:adjustRightInd w:val="0"/>
        <w:spacing w:after="360"/>
        <w:rPr>
          <w:rFonts w:ascii="Arial" w:eastAsiaTheme="minorHAnsi" w:hAnsi="Arial" w:cs="Arial"/>
          <w:sz w:val="22"/>
          <w:szCs w:val="22"/>
        </w:rPr>
      </w:pPr>
      <w:r w:rsidRPr="009840AE">
        <w:rPr>
          <w:rFonts w:ascii="Arial" w:eastAsiaTheme="minorHAnsi" w:hAnsi="Arial" w:cs="Arial"/>
          <w:sz w:val="22"/>
          <w:szCs w:val="22"/>
        </w:rPr>
        <w:t xml:space="preserve">a preschool/kindergarten </w:t>
      </w:r>
      <w:r w:rsidR="007E72DE" w:rsidRPr="009840AE">
        <w:rPr>
          <w:rFonts w:ascii="Arial" w:eastAsiaTheme="minorHAnsi" w:hAnsi="Arial" w:cs="Arial"/>
          <w:sz w:val="22"/>
          <w:szCs w:val="22"/>
        </w:rPr>
        <w:t xml:space="preserve">potentially </w:t>
      </w:r>
      <w:r w:rsidRPr="009840AE">
        <w:rPr>
          <w:rFonts w:ascii="Arial" w:eastAsiaTheme="minorHAnsi" w:hAnsi="Arial" w:cs="Arial"/>
          <w:sz w:val="22"/>
          <w:szCs w:val="22"/>
        </w:rPr>
        <w:t>including occasional day care service.</w:t>
      </w:r>
    </w:p>
    <w:p w:rsidR="005175F1" w:rsidRDefault="005175F1" w:rsidP="005175F1">
      <w:pPr>
        <w:pStyle w:val="ListParagraph"/>
        <w:autoSpaceDE w:val="0"/>
        <w:autoSpaceDN w:val="0"/>
        <w:adjustRightInd w:val="0"/>
        <w:spacing w:after="360"/>
        <w:ind w:left="1080"/>
        <w:rPr>
          <w:rFonts w:ascii="Arial" w:eastAsiaTheme="minorHAnsi" w:hAnsi="Arial" w:cs="Arial"/>
          <w:sz w:val="22"/>
          <w:szCs w:val="22"/>
        </w:rPr>
      </w:pPr>
    </w:p>
    <w:p w:rsidR="00DF5574" w:rsidRDefault="00DF5574" w:rsidP="00DF5574">
      <w:pPr>
        <w:pStyle w:val="ListParagraph"/>
        <w:numPr>
          <w:ilvl w:val="0"/>
          <w:numId w:val="11"/>
        </w:numPr>
        <w:autoSpaceDE w:val="0"/>
        <w:autoSpaceDN w:val="0"/>
        <w:adjustRightInd w:val="0"/>
        <w:spacing w:after="120"/>
        <w:rPr>
          <w:rFonts w:ascii="Arial" w:eastAsiaTheme="minorHAnsi" w:hAnsi="Arial" w:cs="Arial"/>
          <w:sz w:val="22"/>
          <w:szCs w:val="22"/>
        </w:rPr>
      </w:pPr>
      <w:r w:rsidRPr="00D04D5E">
        <w:rPr>
          <w:rFonts w:ascii="Arial" w:eastAsiaTheme="minorHAnsi" w:hAnsi="Arial" w:cs="Arial"/>
          <w:sz w:val="22"/>
          <w:szCs w:val="22"/>
        </w:rPr>
        <w:t>Grahamvale Primary School will</w:t>
      </w:r>
      <w:r>
        <w:rPr>
          <w:rFonts w:ascii="Arial" w:eastAsiaTheme="minorHAnsi" w:hAnsi="Arial" w:cs="Arial"/>
          <w:sz w:val="22"/>
          <w:szCs w:val="22"/>
        </w:rPr>
        <w:t xml:space="preserve"> remain in its current location </w:t>
      </w:r>
      <w:r w:rsidR="00AD4090">
        <w:rPr>
          <w:rFonts w:ascii="Arial" w:eastAsiaTheme="minorHAnsi" w:hAnsi="Arial" w:cs="Arial"/>
          <w:sz w:val="22"/>
          <w:szCs w:val="22"/>
        </w:rPr>
        <w:t>and is looking</w:t>
      </w:r>
      <w:r>
        <w:rPr>
          <w:rFonts w:ascii="Arial" w:eastAsiaTheme="minorHAnsi" w:hAnsi="Arial" w:cs="Arial"/>
          <w:sz w:val="22"/>
          <w:szCs w:val="22"/>
        </w:rPr>
        <w:t xml:space="preserve"> to expand</w:t>
      </w:r>
      <w:r w:rsidR="0045111D" w:rsidRPr="0045111D">
        <w:rPr>
          <w:rFonts w:ascii="Arial" w:eastAsiaTheme="minorHAnsi" w:hAnsi="Arial" w:cs="Arial"/>
          <w:sz w:val="22"/>
          <w:szCs w:val="22"/>
        </w:rPr>
        <w:t xml:space="preserve"> to accommodate the population growth of school aged children</w:t>
      </w:r>
      <w:r w:rsidR="006B2074">
        <w:rPr>
          <w:rFonts w:ascii="Arial" w:eastAsiaTheme="minorHAnsi" w:hAnsi="Arial" w:cs="Arial"/>
          <w:sz w:val="22"/>
          <w:szCs w:val="22"/>
        </w:rPr>
        <w:t>.</w:t>
      </w:r>
    </w:p>
    <w:p w:rsidR="00306A66" w:rsidRDefault="00306A66" w:rsidP="00306A66">
      <w:pPr>
        <w:pStyle w:val="ListParagraph"/>
        <w:autoSpaceDE w:val="0"/>
        <w:autoSpaceDN w:val="0"/>
        <w:adjustRightInd w:val="0"/>
        <w:spacing w:after="120"/>
        <w:ind w:left="785"/>
        <w:rPr>
          <w:rFonts w:ascii="Arial" w:eastAsiaTheme="minorHAnsi" w:hAnsi="Arial" w:cs="Arial"/>
          <w:sz w:val="22"/>
          <w:szCs w:val="22"/>
        </w:rPr>
      </w:pPr>
    </w:p>
    <w:p w:rsidR="00DF5574" w:rsidRDefault="00DF5574" w:rsidP="00DF5574">
      <w:pPr>
        <w:pStyle w:val="ListParagraph"/>
        <w:numPr>
          <w:ilvl w:val="0"/>
          <w:numId w:val="11"/>
        </w:numPr>
        <w:autoSpaceDE w:val="0"/>
        <w:autoSpaceDN w:val="0"/>
        <w:adjustRightInd w:val="0"/>
        <w:spacing w:after="120"/>
        <w:rPr>
          <w:rFonts w:ascii="Arial" w:eastAsiaTheme="minorHAnsi" w:hAnsi="Arial" w:cs="Arial"/>
          <w:sz w:val="22"/>
          <w:szCs w:val="22"/>
        </w:rPr>
      </w:pPr>
      <w:r>
        <w:rPr>
          <w:rFonts w:ascii="Arial" w:eastAsiaTheme="minorHAnsi" w:hAnsi="Arial" w:cs="Arial"/>
          <w:sz w:val="22"/>
          <w:szCs w:val="22"/>
        </w:rPr>
        <w:t xml:space="preserve">The </w:t>
      </w:r>
      <w:r w:rsidRPr="00D04D5E">
        <w:rPr>
          <w:rFonts w:ascii="Arial" w:eastAsiaTheme="minorHAnsi" w:hAnsi="Arial" w:cs="Arial"/>
          <w:sz w:val="22"/>
          <w:szCs w:val="22"/>
        </w:rPr>
        <w:t>Greater Shepparton</w:t>
      </w:r>
      <w:r>
        <w:rPr>
          <w:rFonts w:ascii="Arial" w:eastAsiaTheme="minorHAnsi" w:hAnsi="Arial" w:cs="Arial"/>
          <w:sz w:val="22"/>
          <w:szCs w:val="22"/>
        </w:rPr>
        <w:t xml:space="preserve"> City Council</w:t>
      </w:r>
      <w:r w:rsidRPr="00D04D5E">
        <w:rPr>
          <w:rFonts w:ascii="Arial" w:eastAsiaTheme="minorHAnsi" w:hAnsi="Arial" w:cs="Arial"/>
          <w:sz w:val="22"/>
          <w:szCs w:val="22"/>
        </w:rPr>
        <w:t xml:space="preserve"> and the Department of Education and Early Child</w:t>
      </w:r>
      <w:r w:rsidR="00166003">
        <w:rPr>
          <w:rFonts w:ascii="Arial" w:eastAsiaTheme="minorHAnsi" w:hAnsi="Arial" w:cs="Arial"/>
          <w:sz w:val="22"/>
          <w:szCs w:val="22"/>
        </w:rPr>
        <w:t>hood</w:t>
      </w:r>
      <w:r w:rsidRPr="00D04D5E">
        <w:rPr>
          <w:rFonts w:ascii="Arial" w:eastAsiaTheme="minorHAnsi" w:hAnsi="Arial" w:cs="Arial"/>
          <w:sz w:val="22"/>
          <w:szCs w:val="22"/>
        </w:rPr>
        <w:t xml:space="preserve"> Development</w:t>
      </w:r>
      <w:r w:rsidR="00166003">
        <w:rPr>
          <w:rFonts w:ascii="Arial" w:eastAsiaTheme="minorHAnsi" w:hAnsi="Arial" w:cs="Arial"/>
          <w:sz w:val="22"/>
          <w:szCs w:val="22"/>
        </w:rPr>
        <w:t xml:space="preserve"> (DEECD)</w:t>
      </w:r>
      <w:r w:rsidRPr="00D04D5E">
        <w:rPr>
          <w:rFonts w:ascii="Arial" w:eastAsiaTheme="minorHAnsi" w:hAnsi="Arial" w:cs="Arial"/>
          <w:sz w:val="22"/>
          <w:szCs w:val="22"/>
        </w:rPr>
        <w:t xml:space="preserve"> to support existing schools in Shepparton to attract local children. This would encourage more sustainable neighbourhoods as well as preventing social exclusion of these schools.</w:t>
      </w:r>
    </w:p>
    <w:p w:rsidR="00AD4090" w:rsidRPr="00AD4090" w:rsidRDefault="00AD4090" w:rsidP="00AD4090">
      <w:pPr>
        <w:pStyle w:val="ListParagraph"/>
        <w:rPr>
          <w:rFonts w:ascii="Arial" w:eastAsiaTheme="minorHAnsi" w:hAnsi="Arial" w:cs="Arial"/>
          <w:sz w:val="22"/>
          <w:szCs w:val="22"/>
        </w:rPr>
      </w:pPr>
    </w:p>
    <w:p w:rsidR="00DF5574" w:rsidRDefault="00276BF5" w:rsidP="00DF5574">
      <w:pPr>
        <w:pStyle w:val="ListParagraph"/>
        <w:numPr>
          <w:ilvl w:val="0"/>
          <w:numId w:val="11"/>
        </w:numPr>
        <w:autoSpaceDE w:val="0"/>
        <w:autoSpaceDN w:val="0"/>
        <w:adjustRightInd w:val="0"/>
        <w:rPr>
          <w:rFonts w:ascii="Arial" w:eastAsiaTheme="minorHAnsi" w:hAnsi="Arial" w:cs="Arial"/>
          <w:sz w:val="22"/>
          <w:szCs w:val="22"/>
        </w:rPr>
      </w:pPr>
      <w:r>
        <w:rPr>
          <w:rFonts w:ascii="Arial" w:eastAsiaTheme="minorHAnsi" w:hAnsi="Arial" w:cs="Arial"/>
          <w:sz w:val="22"/>
          <w:szCs w:val="22"/>
        </w:rPr>
        <w:t>M</w:t>
      </w:r>
      <w:r w:rsidR="00DF5574" w:rsidRPr="00D04D5E">
        <w:rPr>
          <w:rFonts w:ascii="Arial" w:eastAsiaTheme="minorHAnsi" w:hAnsi="Arial" w:cs="Arial"/>
          <w:sz w:val="22"/>
          <w:szCs w:val="22"/>
        </w:rPr>
        <w:t>edium density housin</w:t>
      </w:r>
      <w:r w:rsidR="00D356CC">
        <w:rPr>
          <w:rFonts w:ascii="Arial" w:eastAsiaTheme="minorHAnsi" w:hAnsi="Arial" w:cs="Arial"/>
          <w:sz w:val="22"/>
          <w:szCs w:val="22"/>
        </w:rPr>
        <w:t>g</w:t>
      </w:r>
      <w:r w:rsidR="000824EF">
        <w:rPr>
          <w:rFonts w:ascii="Arial" w:eastAsiaTheme="minorHAnsi" w:hAnsi="Arial" w:cs="Arial"/>
          <w:sz w:val="22"/>
          <w:szCs w:val="22"/>
        </w:rPr>
        <w:t>,</w:t>
      </w:r>
      <w:r w:rsidR="00D356CC">
        <w:rPr>
          <w:rFonts w:ascii="Arial" w:eastAsiaTheme="minorHAnsi" w:hAnsi="Arial" w:cs="Arial"/>
          <w:sz w:val="22"/>
          <w:szCs w:val="22"/>
        </w:rPr>
        <w:t xml:space="preserve"> using quality urban d</w:t>
      </w:r>
      <w:r w:rsidR="00DF5574" w:rsidRPr="00D04D5E">
        <w:rPr>
          <w:rFonts w:ascii="Arial" w:eastAsiaTheme="minorHAnsi" w:hAnsi="Arial" w:cs="Arial"/>
          <w:sz w:val="22"/>
          <w:szCs w:val="22"/>
        </w:rPr>
        <w:t>esign principles</w:t>
      </w:r>
      <w:r w:rsidR="000824EF">
        <w:rPr>
          <w:rFonts w:ascii="Arial" w:eastAsiaTheme="minorHAnsi" w:hAnsi="Arial" w:cs="Arial"/>
          <w:sz w:val="22"/>
          <w:szCs w:val="22"/>
        </w:rPr>
        <w:t>,</w:t>
      </w:r>
      <w:r w:rsidR="00DF5574" w:rsidRPr="00D04D5E">
        <w:rPr>
          <w:rFonts w:ascii="Arial" w:eastAsiaTheme="minorHAnsi" w:hAnsi="Arial" w:cs="Arial"/>
          <w:sz w:val="22"/>
          <w:szCs w:val="22"/>
        </w:rPr>
        <w:t xml:space="preserve"> is located on the site in </w:t>
      </w:r>
      <w:r w:rsidR="0045111D">
        <w:rPr>
          <w:rFonts w:ascii="Arial" w:eastAsiaTheme="minorHAnsi" w:hAnsi="Arial" w:cs="Arial"/>
          <w:sz w:val="22"/>
          <w:szCs w:val="22"/>
        </w:rPr>
        <w:t xml:space="preserve">close </w:t>
      </w:r>
      <w:r w:rsidR="00DF5574" w:rsidRPr="00D04D5E">
        <w:rPr>
          <w:rFonts w:ascii="Arial" w:eastAsiaTheme="minorHAnsi" w:hAnsi="Arial" w:cs="Arial"/>
          <w:sz w:val="22"/>
          <w:szCs w:val="22"/>
        </w:rPr>
        <w:t>proximity to the community hub and retail area in order to maximise the community benefits.</w:t>
      </w:r>
    </w:p>
    <w:p w:rsidR="00306A66" w:rsidRDefault="00306A66" w:rsidP="00306A66">
      <w:pPr>
        <w:pStyle w:val="ListParagraph"/>
        <w:autoSpaceDE w:val="0"/>
        <w:autoSpaceDN w:val="0"/>
        <w:adjustRightInd w:val="0"/>
        <w:ind w:left="785"/>
        <w:rPr>
          <w:rFonts w:ascii="Arial" w:eastAsiaTheme="minorHAnsi" w:hAnsi="Arial" w:cs="Arial"/>
          <w:sz w:val="22"/>
          <w:szCs w:val="22"/>
        </w:rPr>
      </w:pPr>
    </w:p>
    <w:p w:rsidR="00014CDE" w:rsidRPr="00306A66" w:rsidRDefault="00531AED" w:rsidP="00DF5574">
      <w:pPr>
        <w:pStyle w:val="ListParagraph"/>
        <w:numPr>
          <w:ilvl w:val="0"/>
          <w:numId w:val="11"/>
        </w:numPr>
        <w:autoSpaceDE w:val="0"/>
        <w:autoSpaceDN w:val="0"/>
        <w:adjustRightInd w:val="0"/>
        <w:rPr>
          <w:rFonts w:ascii="Arial" w:eastAsiaTheme="minorHAnsi" w:hAnsi="Arial" w:cs="Arial"/>
          <w:sz w:val="22"/>
          <w:szCs w:val="22"/>
        </w:rPr>
      </w:pPr>
      <w:r>
        <w:rPr>
          <w:rFonts w:ascii="Arial" w:hAnsi="Arial" w:cs="Arial"/>
          <w:sz w:val="22"/>
          <w:szCs w:val="22"/>
        </w:rPr>
        <w:t>U</w:t>
      </w:r>
      <w:r w:rsidR="00AD4090">
        <w:rPr>
          <w:rFonts w:ascii="Arial" w:hAnsi="Arial" w:cs="Arial"/>
          <w:sz w:val="22"/>
          <w:szCs w:val="22"/>
        </w:rPr>
        <w:t>niversal housing</w:t>
      </w:r>
      <w:r w:rsidR="00014CDE">
        <w:rPr>
          <w:rFonts w:ascii="Arial" w:hAnsi="Arial" w:cs="Arial"/>
          <w:sz w:val="22"/>
          <w:szCs w:val="22"/>
        </w:rPr>
        <w:t xml:space="preserve"> design</w:t>
      </w:r>
      <w:r>
        <w:rPr>
          <w:rFonts w:ascii="Arial" w:hAnsi="Arial" w:cs="Arial"/>
          <w:sz w:val="22"/>
          <w:szCs w:val="22"/>
        </w:rPr>
        <w:t xml:space="preserve"> will be utilised in</w:t>
      </w:r>
      <w:r w:rsidR="006643D1">
        <w:rPr>
          <w:rFonts w:ascii="Arial" w:hAnsi="Arial" w:cs="Arial"/>
          <w:sz w:val="22"/>
          <w:szCs w:val="22"/>
        </w:rPr>
        <w:t xml:space="preserve"> private and public buildings</w:t>
      </w:r>
      <w:r w:rsidR="00637076">
        <w:rPr>
          <w:rFonts w:ascii="Arial" w:hAnsi="Arial" w:cs="Arial"/>
          <w:sz w:val="22"/>
          <w:szCs w:val="22"/>
        </w:rPr>
        <w:t>,</w:t>
      </w:r>
      <w:r w:rsidR="001568C9">
        <w:rPr>
          <w:rFonts w:ascii="Arial" w:hAnsi="Arial" w:cs="Arial"/>
          <w:sz w:val="22"/>
          <w:szCs w:val="22"/>
        </w:rPr>
        <w:t xml:space="preserve"> </w:t>
      </w:r>
      <w:r w:rsidR="0045111D">
        <w:rPr>
          <w:rFonts w:ascii="Arial" w:hAnsi="Arial" w:cs="Arial"/>
          <w:sz w:val="22"/>
          <w:szCs w:val="22"/>
        </w:rPr>
        <w:t>particularly to cater for the elderly</w:t>
      </w:r>
      <w:r w:rsidR="00861099">
        <w:rPr>
          <w:rFonts w:ascii="Arial" w:hAnsi="Arial" w:cs="Arial"/>
          <w:sz w:val="22"/>
          <w:szCs w:val="22"/>
        </w:rPr>
        <w:t xml:space="preserve"> and people with disability</w:t>
      </w:r>
      <w:r w:rsidR="00014CDE">
        <w:rPr>
          <w:rFonts w:ascii="Arial" w:hAnsi="Arial" w:cs="Arial"/>
          <w:sz w:val="22"/>
          <w:szCs w:val="22"/>
        </w:rPr>
        <w:t>.</w:t>
      </w:r>
    </w:p>
    <w:p w:rsidR="00306A66" w:rsidRDefault="00306A66" w:rsidP="00306A66">
      <w:pPr>
        <w:pStyle w:val="ListParagraph"/>
        <w:autoSpaceDE w:val="0"/>
        <w:autoSpaceDN w:val="0"/>
        <w:adjustRightInd w:val="0"/>
        <w:ind w:left="785"/>
        <w:rPr>
          <w:rFonts w:ascii="Arial" w:eastAsiaTheme="minorHAnsi" w:hAnsi="Arial" w:cs="Arial"/>
          <w:sz w:val="22"/>
          <w:szCs w:val="22"/>
        </w:rPr>
      </w:pPr>
    </w:p>
    <w:p w:rsidR="00CC53C0" w:rsidRDefault="00CC53C0">
      <w:pPr>
        <w:spacing w:after="200" w:line="276" w:lineRule="auto"/>
        <w:rPr>
          <w:rFonts w:ascii="Arial" w:eastAsiaTheme="minorHAnsi" w:hAnsi="Arial" w:cs="Arial"/>
          <w:sz w:val="22"/>
          <w:szCs w:val="22"/>
        </w:rPr>
      </w:pPr>
      <w:r>
        <w:rPr>
          <w:rFonts w:ascii="Arial" w:eastAsiaTheme="minorHAnsi" w:hAnsi="Arial" w:cs="Arial"/>
          <w:sz w:val="22"/>
          <w:szCs w:val="22"/>
        </w:rPr>
        <w:br w:type="page"/>
      </w:r>
    </w:p>
    <w:p w:rsidR="00530E66" w:rsidRDefault="00530E66" w:rsidP="00730335">
      <w:pPr>
        <w:pStyle w:val="ListParagraph"/>
        <w:autoSpaceDE w:val="0"/>
        <w:autoSpaceDN w:val="0"/>
        <w:adjustRightInd w:val="0"/>
        <w:spacing w:after="120"/>
        <w:ind w:left="785"/>
        <w:rPr>
          <w:rFonts w:ascii="Arial" w:eastAsiaTheme="minorHAnsi" w:hAnsi="Arial" w:cs="Arial"/>
          <w:b/>
        </w:rPr>
      </w:pPr>
    </w:p>
    <w:p w:rsidR="00D356CC" w:rsidRPr="00DE5A21" w:rsidRDefault="00CC53C0" w:rsidP="005E20A2">
      <w:pPr>
        <w:pStyle w:val="Heading1"/>
        <w:rPr>
          <w:rFonts w:eastAsiaTheme="minorHAnsi"/>
        </w:rPr>
      </w:pPr>
      <w:bookmarkStart w:id="107" w:name="_Toc343006850"/>
      <w:r w:rsidRPr="00DE5A21">
        <w:rPr>
          <w:rFonts w:eastAsiaTheme="minorHAnsi"/>
        </w:rPr>
        <w:t>Bibliography</w:t>
      </w:r>
      <w:bookmarkEnd w:id="107"/>
    </w:p>
    <w:p w:rsidR="002B6954" w:rsidRDefault="002B6954" w:rsidP="00730335">
      <w:pPr>
        <w:pStyle w:val="ListParagraph"/>
        <w:autoSpaceDE w:val="0"/>
        <w:autoSpaceDN w:val="0"/>
        <w:adjustRightInd w:val="0"/>
        <w:spacing w:after="120"/>
        <w:ind w:left="785"/>
        <w:rPr>
          <w:rFonts w:ascii="Arial" w:eastAsiaTheme="minorHAnsi" w:hAnsi="Arial" w:cs="Arial"/>
          <w:sz w:val="22"/>
          <w:szCs w:val="22"/>
        </w:rPr>
      </w:pPr>
    </w:p>
    <w:p w:rsidR="00CC53C0"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 xml:space="preserve">Australian Bureau of Statistics, </w:t>
      </w:r>
      <w:hyperlink r:id="rId12" w:tgtFrame="_blank" w:tooltip="ABS Census link" w:history="1">
        <w:r w:rsidRPr="00CF2412">
          <w:rPr>
            <w:rFonts w:ascii="Arial" w:eastAsiaTheme="minorHAnsi" w:hAnsi="Arial" w:cs="Arial"/>
            <w:sz w:val="22"/>
            <w:szCs w:val="22"/>
          </w:rPr>
          <w:t>Census of Population and Housing</w:t>
        </w:r>
      </w:hyperlink>
      <w:r w:rsidRPr="00CF2412">
        <w:rPr>
          <w:rFonts w:ascii="Arial" w:eastAsiaTheme="minorHAnsi" w:hAnsi="Arial" w:cs="Arial"/>
          <w:sz w:val="22"/>
          <w:szCs w:val="22"/>
        </w:rPr>
        <w:t xml:space="preserve"> 2006 and 2011</w:t>
      </w:r>
    </w:p>
    <w:p w:rsidR="00132C07" w:rsidRPr="00132C07" w:rsidRDefault="00132C07" w:rsidP="000332B9">
      <w:pPr>
        <w:pStyle w:val="ListParagraph"/>
        <w:autoSpaceDE w:val="0"/>
        <w:autoSpaceDN w:val="0"/>
        <w:adjustRightInd w:val="0"/>
        <w:spacing w:after="120"/>
        <w:ind w:left="785"/>
        <w:jc w:val="both"/>
        <w:rPr>
          <w:rFonts w:ascii="Arial" w:eastAsiaTheme="minorHAnsi" w:hAnsi="Arial" w:cs="Arial"/>
          <w:sz w:val="22"/>
          <w:szCs w:val="22"/>
        </w:rPr>
      </w:pPr>
    </w:p>
    <w:p w:rsidR="00A951F2"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Australian Social &amp; Recreation Research Pty Ltd, Planning for Community Infrastructure in Growth Areas, April 2008</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David Lock and Associates, Greater Shepparton Housing Strategy, May 2011</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Department of Planning and Community Development &amp; Growth Areas Authority, A Guide to Delivering Community Precincts, 2010</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Department of Planning and Community Development, Victoria in Future Population and Household Projections 2011-2031</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Department of Sustainability and Environment, Safer Design Guidelines for Victoria, 2005</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Greater Shepparton City Council, Council Plan and Strategic Resource Plan 2009-2013</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Greater Shepparton Public Health Plan 2009-2013</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bCs/>
          <w:sz w:val="22"/>
          <w:szCs w:val="22"/>
        </w:rPr>
        <w:t>i</w:t>
      </w:r>
      <w:r>
        <w:rPr>
          <w:rFonts w:ascii="Arial" w:eastAsiaTheme="minorHAnsi" w:hAnsi="Arial" w:cs="Arial"/>
          <w:bCs/>
          <w:sz w:val="22"/>
          <w:szCs w:val="22"/>
        </w:rPr>
        <w:t>.</w:t>
      </w:r>
      <w:r w:rsidRPr="00CF2412">
        <w:rPr>
          <w:rFonts w:ascii="Arial" w:eastAsiaTheme="minorHAnsi" w:hAnsi="Arial" w:cs="Arial"/>
          <w:bCs/>
          <w:sz w:val="22"/>
          <w:szCs w:val="22"/>
        </w:rPr>
        <w:t>d</w:t>
      </w:r>
      <w:r w:rsidRPr="00CF2412">
        <w:rPr>
          <w:rFonts w:ascii="Arial" w:eastAsiaTheme="minorHAnsi" w:hAnsi="Arial" w:cs="Arial"/>
          <w:sz w:val="22"/>
          <w:szCs w:val="22"/>
        </w:rPr>
        <w:t>, specialists in demographic and economic profiling and forecasting</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National People with Disabilities and Carer Council, National Dialogue on Universal Housing Design 2010</w:t>
      </w: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p>
    <w:p w:rsidR="002B6954" w:rsidRDefault="002B6954" w:rsidP="000332B9">
      <w:pPr>
        <w:pStyle w:val="ListParagraph"/>
        <w:autoSpaceDE w:val="0"/>
        <w:autoSpaceDN w:val="0"/>
        <w:adjustRightInd w:val="0"/>
        <w:spacing w:after="120"/>
        <w:ind w:left="785"/>
        <w:jc w:val="both"/>
        <w:rPr>
          <w:rFonts w:ascii="Arial" w:eastAsiaTheme="minorHAnsi" w:hAnsi="Arial" w:cs="Arial"/>
          <w:sz w:val="22"/>
          <w:szCs w:val="22"/>
        </w:rPr>
      </w:pPr>
      <w:r w:rsidRPr="00CF2412">
        <w:rPr>
          <w:rFonts w:ascii="Arial" w:eastAsiaTheme="minorHAnsi" w:hAnsi="Arial" w:cs="Arial"/>
          <w:sz w:val="22"/>
          <w:szCs w:val="22"/>
        </w:rPr>
        <w:t>Urbis, Early Years Service Review and Future Demand Analysis: Final Report, November 2011</w:t>
      </w:r>
    </w:p>
    <w:p w:rsidR="00FB2B66" w:rsidRDefault="00FB2B66" w:rsidP="000332B9">
      <w:pPr>
        <w:pStyle w:val="ListParagraph"/>
        <w:autoSpaceDE w:val="0"/>
        <w:autoSpaceDN w:val="0"/>
        <w:adjustRightInd w:val="0"/>
        <w:spacing w:after="120"/>
        <w:ind w:left="785"/>
        <w:jc w:val="both"/>
        <w:rPr>
          <w:rFonts w:ascii="Arial" w:eastAsiaTheme="minorHAnsi" w:hAnsi="Arial" w:cs="Arial"/>
          <w:sz w:val="22"/>
          <w:szCs w:val="22"/>
        </w:rPr>
      </w:pPr>
    </w:p>
    <w:p w:rsidR="00FB2B66" w:rsidRPr="00D048C6" w:rsidRDefault="00FB2B66" w:rsidP="000332B9">
      <w:pPr>
        <w:pStyle w:val="ListParagraph"/>
        <w:autoSpaceDE w:val="0"/>
        <w:autoSpaceDN w:val="0"/>
        <w:adjustRightInd w:val="0"/>
        <w:spacing w:after="120"/>
        <w:ind w:left="785"/>
        <w:jc w:val="both"/>
        <w:rPr>
          <w:rFonts w:ascii="Arial" w:eastAsiaTheme="minorHAnsi" w:hAnsi="Arial" w:cs="Arial"/>
          <w:sz w:val="22"/>
          <w:szCs w:val="22"/>
        </w:rPr>
      </w:pPr>
    </w:p>
    <w:sectPr w:rsidR="00FB2B66" w:rsidRPr="00D048C6" w:rsidSect="00560AE8">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236" w:rsidRDefault="00057236" w:rsidP="00BC0FAA">
      <w:r>
        <w:separator/>
      </w:r>
    </w:p>
  </w:endnote>
  <w:endnote w:type="continuationSeparator" w:id="0">
    <w:p w:rsidR="00057236" w:rsidRDefault="00057236" w:rsidP="00BC0FA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DINOT-Light">
    <w:altName w:val="DINOT-Light"/>
    <w:panose1 w:val="00000000000000000000"/>
    <w:charset w:val="00"/>
    <w:family w:val="swiss"/>
    <w:notTrueType/>
    <w:pitch w:val="default"/>
    <w:sig w:usb0="00000003" w:usb1="00000000" w:usb2="00000000" w:usb3="00000000" w:csb0="00000001" w:csb1="00000000"/>
  </w:font>
  <w:font w:name="DINOT-Medium">
    <w:altName w:val="DINOT-Medi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5539"/>
      <w:docPartObj>
        <w:docPartGallery w:val="Page Numbers (Bottom of Page)"/>
        <w:docPartUnique/>
      </w:docPartObj>
    </w:sdtPr>
    <w:sdtContent>
      <w:p w:rsidR="00057236" w:rsidRDefault="00E7071C">
        <w:pPr>
          <w:pStyle w:val="Footer"/>
          <w:jc w:val="right"/>
        </w:pPr>
        <w:r w:rsidRPr="009C588F">
          <w:rPr>
            <w:rFonts w:ascii="Arial" w:hAnsi="Arial" w:cs="Arial"/>
          </w:rPr>
          <w:fldChar w:fldCharType="begin"/>
        </w:r>
        <w:r w:rsidR="00057236" w:rsidRPr="009C588F">
          <w:rPr>
            <w:rFonts w:ascii="Arial" w:hAnsi="Arial" w:cs="Arial"/>
          </w:rPr>
          <w:instrText xml:space="preserve"> PAGE   \* MERGEFORMAT </w:instrText>
        </w:r>
        <w:r w:rsidRPr="009C588F">
          <w:rPr>
            <w:rFonts w:ascii="Arial" w:hAnsi="Arial" w:cs="Arial"/>
          </w:rPr>
          <w:fldChar w:fldCharType="separate"/>
        </w:r>
        <w:r w:rsidR="00A976DD">
          <w:rPr>
            <w:rFonts w:ascii="Arial" w:hAnsi="Arial" w:cs="Arial"/>
            <w:noProof/>
          </w:rPr>
          <w:t>21</w:t>
        </w:r>
        <w:r w:rsidRPr="009C588F">
          <w:rPr>
            <w:rFonts w:ascii="Arial" w:hAnsi="Arial" w:cs="Arial"/>
          </w:rPr>
          <w:fldChar w:fldCharType="end"/>
        </w:r>
      </w:p>
    </w:sdtContent>
  </w:sdt>
  <w:p w:rsidR="00057236" w:rsidRDefault="000572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236" w:rsidRPr="008D079A" w:rsidRDefault="00057236" w:rsidP="00427D6B">
    <w:pPr>
      <w:spacing w:after="200" w:line="276" w:lineRule="auto"/>
      <w:rPr>
        <w:rFonts w:ascii="Arial" w:hAnsi="Arial" w:cs="Arial"/>
        <w:sz w:val="16"/>
        <w:szCs w:val="16"/>
      </w:rPr>
    </w:pPr>
    <w:r w:rsidRPr="008D079A">
      <w:rPr>
        <w:rFonts w:ascii="Arial" w:hAnsi="Arial" w:cs="Arial"/>
        <w:sz w:val="16"/>
        <w:szCs w:val="16"/>
      </w:rPr>
      <w:t>TRIM Ref</w:t>
    </w:r>
    <w:r>
      <w:rPr>
        <w:rFonts w:ascii="Arial" w:hAnsi="Arial" w:cs="Arial"/>
        <w:sz w:val="16"/>
        <w:szCs w:val="16"/>
      </w:rPr>
      <w:t>: M2012/</w:t>
    </w:r>
    <w:r w:rsidRPr="008D079A">
      <w:rPr>
        <w:rFonts w:ascii="Arial" w:hAnsi="Arial" w:cs="Arial"/>
        <w:sz w:val="16"/>
        <w:szCs w:val="16"/>
      </w:rPr>
      <w:t>26760</w:t>
    </w:r>
  </w:p>
  <w:p w:rsidR="00057236" w:rsidRDefault="000572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236" w:rsidRDefault="00057236" w:rsidP="00BC0FAA">
      <w:r>
        <w:separator/>
      </w:r>
    </w:p>
  </w:footnote>
  <w:footnote w:type="continuationSeparator" w:id="0">
    <w:p w:rsidR="00057236" w:rsidRDefault="00057236" w:rsidP="00BC0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9048"/>
      <w:docPartObj>
        <w:docPartGallery w:val="Watermarks"/>
        <w:docPartUnique/>
      </w:docPartObj>
    </w:sdtPr>
    <w:sdtContent>
      <w:p w:rsidR="00057236" w:rsidRDefault="00E7071C">
        <w:pPr>
          <w:pStyle w:val="Header"/>
        </w:pPr>
        <w:r w:rsidRPr="00E7071C">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80C5"/>
    <w:multiLevelType w:val="hybridMultilevel"/>
    <w:tmpl w:val="D33C2B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F8004F"/>
    <w:multiLevelType w:val="hybridMultilevel"/>
    <w:tmpl w:val="1CC4DF04"/>
    <w:lvl w:ilvl="0" w:tplc="191497E2">
      <w:start w:val="26"/>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155DF3"/>
    <w:multiLevelType w:val="hybridMultilevel"/>
    <w:tmpl w:val="258E24FE"/>
    <w:lvl w:ilvl="0" w:tplc="5AE2F246">
      <w:start w:val="1"/>
      <w:numFmt w:val="bullet"/>
      <w:lvlText w:val=""/>
      <w:lvlJc w:val="left"/>
      <w:pPr>
        <w:ind w:left="720" w:hanging="360"/>
      </w:pPr>
      <w:rPr>
        <w:rFonts w:ascii="Symbol" w:hAnsi="Symbol" w:hint="default"/>
      </w:rPr>
    </w:lvl>
    <w:lvl w:ilvl="1" w:tplc="1C9C1286">
      <w:start w:val="1"/>
      <w:numFmt w:val="bullet"/>
      <w:lvlText w:val="o"/>
      <w:lvlJc w:val="left"/>
      <w:pPr>
        <w:ind w:left="1440" w:hanging="360"/>
      </w:pPr>
      <w:rPr>
        <w:rFonts w:ascii="Courier New" w:hAnsi="Courier New" w:cs="Courier New" w:hint="default"/>
      </w:rPr>
    </w:lvl>
    <w:lvl w:ilvl="2" w:tplc="FD601A98">
      <w:start w:val="1"/>
      <w:numFmt w:val="bullet"/>
      <w:lvlText w:val=""/>
      <w:lvlJc w:val="left"/>
      <w:pPr>
        <w:tabs>
          <w:tab w:val="num" w:pos="2160"/>
        </w:tabs>
        <w:ind w:left="2160" w:hanging="360"/>
      </w:pPr>
      <w:rPr>
        <w:rFonts w:ascii="Symbol" w:hAnsi="Symbol" w:hint="default"/>
      </w:rPr>
    </w:lvl>
    <w:lvl w:ilvl="3" w:tplc="AB624D14">
      <w:start w:val="4"/>
      <w:numFmt w:val="bullet"/>
      <w:lvlText w:val="-"/>
      <w:lvlJc w:val="left"/>
      <w:pPr>
        <w:tabs>
          <w:tab w:val="num" w:pos="2880"/>
        </w:tabs>
        <w:ind w:left="2880" w:hanging="360"/>
      </w:pPr>
      <w:rPr>
        <w:rFonts w:ascii="Times New Roman" w:eastAsia="Times New Roman" w:hAnsi="Times New Roman" w:hint="default"/>
      </w:rPr>
    </w:lvl>
    <w:lvl w:ilvl="4" w:tplc="7D968004" w:tentative="1">
      <w:start w:val="1"/>
      <w:numFmt w:val="bullet"/>
      <w:lvlText w:val="o"/>
      <w:lvlJc w:val="left"/>
      <w:pPr>
        <w:ind w:left="3600" w:hanging="360"/>
      </w:pPr>
      <w:rPr>
        <w:rFonts w:ascii="Courier New" w:hAnsi="Courier New" w:cs="Courier New" w:hint="default"/>
      </w:rPr>
    </w:lvl>
    <w:lvl w:ilvl="5" w:tplc="99AE2CB2" w:tentative="1">
      <w:start w:val="1"/>
      <w:numFmt w:val="bullet"/>
      <w:lvlText w:val=""/>
      <w:lvlJc w:val="left"/>
      <w:pPr>
        <w:ind w:left="4320" w:hanging="360"/>
      </w:pPr>
      <w:rPr>
        <w:rFonts w:ascii="Wingdings" w:hAnsi="Wingdings" w:hint="default"/>
      </w:rPr>
    </w:lvl>
    <w:lvl w:ilvl="6" w:tplc="0D42E8A0" w:tentative="1">
      <w:start w:val="1"/>
      <w:numFmt w:val="bullet"/>
      <w:lvlText w:val=""/>
      <w:lvlJc w:val="left"/>
      <w:pPr>
        <w:ind w:left="5040" w:hanging="360"/>
      </w:pPr>
      <w:rPr>
        <w:rFonts w:ascii="Symbol" w:hAnsi="Symbol" w:hint="default"/>
      </w:rPr>
    </w:lvl>
    <w:lvl w:ilvl="7" w:tplc="E9C244F0" w:tentative="1">
      <w:start w:val="1"/>
      <w:numFmt w:val="bullet"/>
      <w:lvlText w:val="o"/>
      <w:lvlJc w:val="left"/>
      <w:pPr>
        <w:ind w:left="5760" w:hanging="360"/>
      </w:pPr>
      <w:rPr>
        <w:rFonts w:ascii="Courier New" w:hAnsi="Courier New" w:cs="Courier New" w:hint="default"/>
      </w:rPr>
    </w:lvl>
    <w:lvl w:ilvl="8" w:tplc="2CC61E1E" w:tentative="1">
      <w:start w:val="1"/>
      <w:numFmt w:val="bullet"/>
      <w:lvlText w:val=""/>
      <w:lvlJc w:val="left"/>
      <w:pPr>
        <w:ind w:left="6480" w:hanging="360"/>
      </w:pPr>
      <w:rPr>
        <w:rFonts w:ascii="Wingdings" w:hAnsi="Wingdings" w:hint="default"/>
      </w:rPr>
    </w:lvl>
  </w:abstractNum>
  <w:abstractNum w:abstractNumId="3">
    <w:nsid w:val="12340CE8"/>
    <w:multiLevelType w:val="hybridMultilevel"/>
    <w:tmpl w:val="5832E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5A4D6E"/>
    <w:multiLevelType w:val="hybridMultilevel"/>
    <w:tmpl w:val="68329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E55094"/>
    <w:multiLevelType w:val="hybridMultilevel"/>
    <w:tmpl w:val="0B7E3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580045"/>
    <w:multiLevelType w:val="hybridMultilevel"/>
    <w:tmpl w:val="218A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E95336"/>
    <w:multiLevelType w:val="hybridMultilevel"/>
    <w:tmpl w:val="3746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5542D8"/>
    <w:multiLevelType w:val="hybridMultilevel"/>
    <w:tmpl w:val="C4A6A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DF7684"/>
    <w:multiLevelType w:val="hybridMultilevel"/>
    <w:tmpl w:val="98403E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320A75F9"/>
    <w:multiLevelType w:val="hybridMultilevel"/>
    <w:tmpl w:val="EE4EA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7949EC"/>
    <w:multiLevelType w:val="multilevel"/>
    <w:tmpl w:val="6F3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C61118"/>
    <w:multiLevelType w:val="hybridMultilevel"/>
    <w:tmpl w:val="4D203D16"/>
    <w:lvl w:ilvl="0" w:tplc="04F80322">
      <w:start w:val="1"/>
      <w:numFmt w:val="decimal"/>
      <w:lvlText w:val="%1."/>
      <w:lvlJc w:val="left"/>
      <w:pPr>
        <w:ind w:left="720" w:hanging="360"/>
      </w:pPr>
      <w:rPr>
        <w:b w:val="0"/>
      </w:rPr>
    </w:lvl>
    <w:lvl w:ilvl="1" w:tplc="639AA070" w:tentative="1">
      <w:start w:val="1"/>
      <w:numFmt w:val="lowerLetter"/>
      <w:lvlText w:val="%2."/>
      <w:lvlJc w:val="left"/>
      <w:pPr>
        <w:ind w:left="1440" w:hanging="360"/>
      </w:pPr>
    </w:lvl>
    <w:lvl w:ilvl="2" w:tplc="9A6A6EA4" w:tentative="1">
      <w:start w:val="1"/>
      <w:numFmt w:val="lowerRoman"/>
      <w:lvlText w:val="%3."/>
      <w:lvlJc w:val="right"/>
      <w:pPr>
        <w:ind w:left="2160" w:hanging="180"/>
      </w:pPr>
    </w:lvl>
    <w:lvl w:ilvl="3" w:tplc="1CB6CEA6" w:tentative="1">
      <w:start w:val="1"/>
      <w:numFmt w:val="decimal"/>
      <w:lvlText w:val="%4."/>
      <w:lvlJc w:val="left"/>
      <w:pPr>
        <w:ind w:left="2880" w:hanging="360"/>
      </w:pPr>
    </w:lvl>
    <w:lvl w:ilvl="4" w:tplc="53AC4978" w:tentative="1">
      <w:start w:val="1"/>
      <w:numFmt w:val="lowerLetter"/>
      <w:lvlText w:val="%5."/>
      <w:lvlJc w:val="left"/>
      <w:pPr>
        <w:ind w:left="3600" w:hanging="360"/>
      </w:pPr>
    </w:lvl>
    <w:lvl w:ilvl="5" w:tplc="0798B3CA" w:tentative="1">
      <w:start w:val="1"/>
      <w:numFmt w:val="lowerRoman"/>
      <w:lvlText w:val="%6."/>
      <w:lvlJc w:val="right"/>
      <w:pPr>
        <w:ind w:left="4320" w:hanging="180"/>
      </w:pPr>
    </w:lvl>
    <w:lvl w:ilvl="6" w:tplc="DECE0596" w:tentative="1">
      <w:start w:val="1"/>
      <w:numFmt w:val="decimal"/>
      <w:lvlText w:val="%7."/>
      <w:lvlJc w:val="left"/>
      <w:pPr>
        <w:ind w:left="5040" w:hanging="360"/>
      </w:pPr>
    </w:lvl>
    <w:lvl w:ilvl="7" w:tplc="C29088D0" w:tentative="1">
      <w:start w:val="1"/>
      <w:numFmt w:val="lowerLetter"/>
      <w:lvlText w:val="%8."/>
      <w:lvlJc w:val="left"/>
      <w:pPr>
        <w:ind w:left="5760" w:hanging="360"/>
      </w:pPr>
    </w:lvl>
    <w:lvl w:ilvl="8" w:tplc="25800938" w:tentative="1">
      <w:start w:val="1"/>
      <w:numFmt w:val="lowerRoman"/>
      <w:lvlText w:val="%9."/>
      <w:lvlJc w:val="right"/>
      <w:pPr>
        <w:ind w:left="6480" w:hanging="180"/>
      </w:pPr>
    </w:lvl>
  </w:abstractNum>
  <w:abstractNum w:abstractNumId="13">
    <w:nsid w:val="3DB210DD"/>
    <w:multiLevelType w:val="multilevel"/>
    <w:tmpl w:val="2F8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B33798"/>
    <w:multiLevelType w:val="hybridMultilevel"/>
    <w:tmpl w:val="09508C88"/>
    <w:lvl w:ilvl="0" w:tplc="FFFFFFFF">
      <w:start w:val="1"/>
      <w:numFmt w:val="bullet"/>
      <w:pStyle w:val="Capire-FaxBullets"/>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5">
    <w:nsid w:val="4D7667DF"/>
    <w:multiLevelType w:val="hybridMultilevel"/>
    <w:tmpl w:val="255C95D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1CB2EC6"/>
    <w:multiLevelType w:val="hybridMultilevel"/>
    <w:tmpl w:val="138AF99E"/>
    <w:lvl w:ilvl="0" w:tplc="C054C9F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56FA710A"/>
    <w:multiLevelType w:val="hybridMultilevel"/>
    <w:tmpl w:val="B6300218"/>
    <w:lvl w:ilvl="0" w:tplc="191497E2">
      <w:start w:val="26"/>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2593FDB"/>
    <w:multiLevelType w:val="hybridMultilevel"/>
    <w:tmpl w:val="E35CD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792835"/>
    <w:multiLevelType w:val="hybridMultilevel"/>
    <w:tmpl w:val="5718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662138C"/>
    <w:multiLevelType w:val="multilevel"/>
    <w:tmpl w:val="072E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E409BE"/>
    <w:multiLevelType w:val="multilevel"/>
    <w:tmpl w:val="CAC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D45EBA"/>
    <w:multiLevelType w:val="hybridMultilevel"/>
    <w:tmpl w:val="B940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CF21C54"/>
    <w:multiLevelType w:val="hybridMultilevel"/>
    <w:tmpl w:val="199A97B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abstractNumId w:val="10"/>
  </w:num>
  <w:num w:numId="2">
    <w:abstractNumId w:val="4"/>
  </w:num>
  <w:num w:numId="3">
    <w:abstractNumId w:val="12"/>
  </w:num>
  <w:num w:numId="4">
    <w:abstractNumId w:val="2"/>
  </w:num>
  <w:num w:numId="5">
    <w:abstractNumId w:val="1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2"/>
  </w:num>
  <w:num w:numId="9">
    <w:abstractNumId w:val="15"/>
  </w:num>
  <w:num w:numId="10">
    <w:abstractNumId w:val="19"/>
  </w:num>
  <w:num w:numId="11">
    <w:abstractNumId w:val="23"/>
  </w:num>
  <w:num w:numId="12">
    <w:abstractNumId w:val="0"/>
  </w:num>
  <w:num w:numId="13">
    <w:abstractNumId w:val="16"/>
  </w:num>
  <w:num w:numId="14">
    <w:abstractNumId w:val="8"/>
  </w:num>
  <w:num w:numId="15">
    <w:abstractNumId w:val="6"/>
  </w:num>
  <w:num w:numId="16">
    <w:abstractNumId w:val="7"/>
  </w:num>
  <w:num w:numId="17">
    <w:abstractNumId w:val="1"/>
  </w:num>
  <w:num w:numId="18">
    <w:abstractNumId w:val="17"/>
  </w:num>
  <w:num w:numId="19">
    <w:abstractNumId w:val="3"/>
  </w:num>
  <w:num w:numId="20">
    <w:abstractNumId w:val="18"/>
  </w:num>
  <w:num w:numId="21">
    <w:abstractNumId w:val="13"/>
  </w:num>
  <w:num w:numId="22">
    <w:abstractNumId w:val="11"/>
  </w:num>
  <w:num w:numId="23">
    <w:abstractNumId w:val="2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rsids>
    <w:rsidRoot w:val="004D6B70"/>
    <w:rsid w:val="0000131D"/>
    <w:rsid w:val="00002080"/>
    <w:rsid w:val="000021C2"/>
    <w:rsid w:val="00003BBD"/>
    <w:rsid w:val="00014CDE"/>
    <w:rsid w:val="000332B9"/>
    <w:rsid w:val="0004358C"/>
    <w:rsid w:val="000448F4"/>
    <w:rsid w:val="00046E69"/>
    <w:rsid w:val="00057236"/>
    <w:rsid w:val="0007050C"/>
    <w:rsid w:val="000801EE"/>
    <w:rsid w:val="000824EF"/>
    <w:rsid w:val="00083634"/>
    <w:rsid w:val="00085532"/>
    <w:rsid w:val="000914A1"/>
    <w:rsid w:val="00096DE9"/>
    <w:rsid w:val="000B1396"/>
    <w:rsid w:val="000B7E40"/>
    <w:rsid w:val="000C089C"/>
    <w:rsid w:val="000C13F6"/>
    <w:rsid w:val="000C3559"/>
    <w:rsid w:val="000C5A74"/>
    <w:rsid w:val="000D106C"/>
    <w:rsid w:val="000D23F2"/>
    <w:rsid w:val="000D4CCD"/>
    <w:rsid w:val="000E3557"/>
    <w:rsid w:val="000F14FF"/>
    <w:rsid w:val="000F707F"/>
    <w:rsid w:val="001003E5"/>
    <w:rsid w:val="00103548"/>
    <w:rsid w:val="00103CDC"/>
    <w:rsid w:val="0011569B"/>
    <w:rsid w:val="00116F7E"/>
    <w:rsid w:val="0012294D"/>
    <w:rsid w:val="00132AB5"/>
    <w:rsid w:val="00132C07"/>
    <w:rsid w:val="00137F13"/>
    <w:rsid w:val="00143589"/>
    <w:rsid w:val="00151875"/>
    <w:rsid w:val="001520AB"/>
    <w:rsid w:val="001568C9"/>
    <w:rsid w:val="001610D9"/>
    <w:rsid w:val="0016469E"/>
    <w:rsid w:val="00165194"/>
    <w:rsid w:val="00166003"/>
    <w:rsid w:val="00166AC6"/>
    <w:rsid w:val="00170120"/>
    <w:rsid w:val="0017348A"/>
    <w:rsid w:val="0017356D"/>
    <w:rsid w:val="00175AD1"/>
    <w:rsid w:val="001848B8"/>
    <w:rsid w:val="00184D1A"/>
    <w:rsid w:val="001911BE"/>
    <w:rsid w:val="00192050"/>
    <w:rsid w:val="001934E7"/>
    <w:rsid w:val="00193B5B"/>
    <w:rsid w:val="001A202B"/>
    <w:rsid w:val="001A758C"/>
    <w:rsid w:val="001B50FE"/>
    <w:rsid w:val="001C1330"/>
    <w:rsid w:val="001C305A"/>
    <w:rsid w:val="001C4951"/>
    <w:rsid w:val="001D464B"/>
    <w:rsid w:val="001E0055"/>
    <w:rsid w:val="001E6C2F"/>
    <w:rsid w:val="001F0009"/>
    <w:rsid w:val="00200AD6"/>
    <w:rsid w:val="00200B14"/>
    <w:rsid w:val="0020195D"/>
    <w:rsid w:val="002062EF"/>
    <w:rsid w:val="00211256"/>
    <w:rsid w:val="00211761"/>
    <w:rsid w:val="00211A4F"/>
    <w:rsid w:val="0021276E"/>
    <w:rsid w:val="00214C69"/>
    <w:rsid w:val="00215842"/>
    <w:rsid w:val="002166D5"/>
    <w:rsid w:val="00216D13"/>
    <w:rsid w:val="0023013D"/>
    <w:rsid w:val="00232A33"/>
    <w:rsid w:val="00240F3A"/>
    <w:rsid w:val="00241A5F"/>
    <w:rsid w:val="00244E5E"/>
    <w:rsid w:val="00261C80"/>
    <w:rsid w:val="00272C75"/>
    <w:rsid w:val="0027545B"/>
    <w:rsid w:val="00276BF5"/>
    <w:rsid w:val="0028091E"/>
    <w:rsid w:val="002A4BBA"/>
    <w:rsid w:val="002B0402"/>
    <w:rsid w:val="002B1A22"/>
    <w:rsid w:val="002B581D"/>
    <w:rsid w:val="002B6954"/>
    <w:rsid w:val="002B7CA5"/>
    <w:rsid w:val="002D0A98"/>
    <w:rsid w:val="002D3CC1"/>
    <w:rsid w:val="002D64AF"/>
    <w:rsid w:val="002E070D"/>
    <w:rsid w:val="002E6BBE"/>
    <w:rsid w:val="002F3CF3"/>
    <w:rsid w:val="00306525"/>
    <w:rsid w:val="00306A66"/>
    <w:rsid w:val="00307F40"/>
    <w:rsid w:val="0031360A"/>
    <w:rsid w:val="0031402B"/>
    <w:rsid w:val="0032217E"/>
    <w:rsid w:val="0032584A"/>
    <w:rsid w:val="003266A7"/>
    <w:rsid w:val="00335AF8"/>
    <w:rsid w:val="00336E4D"/>
    <w:rsid w:val="003375DD"/>
    <w:rsid w:val="00346F3C"/>
    <w:rsid w:val="003475B6"/>
    <w:rsid w:val="00352777"/>
    <w:rsid w:val="00352E2B"/>
    <w:rsid w:val="00374A2C"/>
    <w:rsid w:val="003758F4"/>
    <w:rsid w:val="003769B4"/>
    <w:rsid w:val="003806DD"/>
    <w:rsid w:val="00380FBF"/>
    <w:rsid w:val="00383013"/>
    <w:rsid w:val="003845CA"/>
    <w:rsid w:val="0039244D"/>
    <w:rsid w:val="00397532"/>
    <w:rsid w:val="003A21A2"/>
    <w:rsid w:val="003A59D0"/>
    <w:rsid w:val="003A6115"/>
    <w:rsid w:val="003B3859"/>
    <w:rsid w:val="003B577C"/>
    <w:rsid w:val="003B6596"/>
    <w:rsid w:val="003E5A06"/>
    <w:rsid w:val="003E6402"/>
    <w:rsid w:val="003E6FB7"/>
    <w:rsid w:val="003F282E"/>
    <w:rsid w:val="003F4A04"/>
    <w:rsid w:val="00400D59"/>
    <w:rsid w:val="00400FD0"/>
    <w:rsid w:val="00401F7B"/>
    <w:rsid w:val="0040257E"/>
    <w:rsid w:val="0040318F"/>
    <w:rsid w:val="004036A2"/>
    <w:rsid w:val="00410E9E"/>
    <w:rsid w:val="00413161"/>
    <w:rsid w:val="00415EA6"/>
    <w:rsid w:val="004166F7"/>
    <w:rsid w:val="00416B44"/>
    <w:rsid w:val="00422589"/>
    <w:rsid w:val="00422E5F"/>
    <w:rsid w:val="00425694"/>
    <w:rsid w:val="00425885"/>
    <w:rsid w:val="00427D6B"/>
    <w:rsid w:val="00431129"/>
    <w:rsid w:val="004317EA"/>
    <w:rsid w:val="00432870"/>
    <w:rsid w:val="004428F9"/>
    <w:rsid w:val="00443CD5"/>
    <w:rsid w:val="004500BC"/>
    <w:rsid w:val="00450E49"/>
    <w:rsid w:val="0045111D"/>
    <w:rsid w:val="004515ED"/>
    <w:rsid w:val="00451CDC"/>
    <w:rsid w:val="004561AD"/>
    <w:rsid w:val="00462D9A"/>
    <w:rsid w:val="00464AE9"/>
    <w:rsid w:val="00474A0B"/>
    <w:rsid w:val="004758AC"/>
    <w:rsid w:val="00475D8B"/>
    <w:rsid w:val="00484B4D"/>
    <w:rsid w:val="00487D38"/>
    <w:rsid w:val="004904CA"/>
    <w:rsid w:val="004A0436"/>
    <w:rsid w:val="004A26DE"/>
    <w:rsid w:val="004A3A8A"/>
    <w:rsid w:val="004A6B4C"/>
    <w:rsid w:val="004B0E68"/>
    <w:rsid w:val="004B293F"/>
    <w:rsid w:val="004B587B"/>
    <w:rsid w:val="004B63C7"/>
    <w:rsid w:val="004B7D62"/>
    <w:rsid w:val="004C0175"/>
    <w:rsid w:val="004D1488"/>
    <w:rsid w:val="004D20FA"/>
    <w:rsid w:val="004D6B70"/>
    <w:rsid w:val="004E2F45"/>
    <w:rsid w:val="004E32BB"/>
    <w:rsid w:val="004E40F3"/>
    <w:rsid w:val="004E63EA"/>
    <w:rsid w:val="004F0575"/>
    <w:rsid w:val="004F6776"/>
    <w:rsid w:val="005056A9"/>
    <w:rsid w:val="005175F1"/>
    <w:rsid w:val="00530E66"/>
    <w:rsid w:val="00531AED"/>
    <w:rsid w:val="0054236F"/>
    <w:rsid w:val="00542808"/>
    <w:rsid w:val="0054357D"/>
    <w:rsid w:val="00547D73"/>
    <w:rsid w:val="005521A2"/>
    <w:rsid w:val="005560ED"/>
    <w:rsid w:val="00560AE8"/>
    <w:rsid w:val="00562951"/>
    <w:rsid w:val="00562D0E"/>
    <w:rsid w:val="0056450C"/>
    <w:rsid w:val="00572442"/>
    <w:rsid w:val="00573CA1"/>
    <w:rsid w:val="005845C2"/>
    <w:rsid w:val="00585E51"/>
    <w:rsid w:val="00592382"/>
    <w:rsid w:val="00592391"/>
    <w:rsid w:val="005A383B"/>
    <w:rsid w:val="005A450F"/>
    <w:rsid w:val="005B1B06"/>
    <w:rsid w:val="005B3EC4"/>
    <w:rsid w:val="005B4344"/>
    <w:rsid w:val="005B44BF"/>
    <w:rsid w:val="005B50A5"/>
    <w:rsid w:val="005B6962"/>
    <w:rsid w:val="005C2B58"/>
    <w:rsid w:val="005C58DC"/>
    <w:rsid w:val="005D019A"/>
    <w:rsid w:val="005D765F"/>
    <w:rsid w:val="005D78E8"/>
    <w:rsid w:val="005E1DCE"/>
    <w:rsid w:val="005E20A2"/>
    <w:rsid w:val="005E48F5"/>
    <w:rsid w:val="005F3949"/>
    <w:rsid w:val="005F45AA"/>
    <w:rsid w:val="00601697"/>
    <w:rsid w:val="00603B41"/>
    <w:rsid w:val="006155D1"/>
    <w:rsid w:val="00616D8F"/>
    <w:rsid w:val="00631EF5"/>
    <w:rsid w:val="0063342A"/>
    <w:rsid w:val="00635594"/>
    <w:rsid w:val="00637076"/>
    <w:rsid w:val="00643812"/>
    <w:rsid w:val="00645C0C"/>
    <w:rsid w:val="00645CBF"/>
    <w:rsid w:val="00646931"/>
    <w:rsid w:val="0066054A"/>
    <w:rsid w:val="00661C61"/>
    <w:rsid w:val="006643D1"/>
    <w:rsid w:val="00664CA2"/>
    <w:rsid w:val="00664D54"/>
    <w:rsid w:val="00670146"/>
    <w:rsid w:val="00672F05"/>
    <w:rsid w:val="00674546"/>
    <w:rsid w:val="00674706"/>
    <w:rsid w:val="00674CFD"/>
    <w:rsid w:val="006817EC"/>
    <w:rsid w:val="00683625"/>
    <w:rsid w:val="00693E70"/>
    <w:rsid w:val="00696208"/>
    <w:rsid w:val="00697A60"/>
    <w:rsid w:val="006A01E8"/>
    <w:rsid w:val="006A0288"/>
    <w:rsid w:val="006A0CE9"/>
    <w:rsid w:val="006A2428"/>
    <w:rsid w:val="006B083E"/>
    <w:rsid w:val="006B08B1"/>
    <w:rsid w:val="006B17D2"/>
    <w:rsid w:val="006B1AE6"/>
    <w:rsid w:val="006B2074"/>
    <w:rsid w:val="006D065D"/>
    <w:rsid w:val="006D24AC"/>
    <w:rsid w:val="006D6F46"/>
    <w:rsid w:val="006E450F"/>
    <w:rsid w:val="006E7FC7"/>
    <w:rsid w:val="006F1DEB"/>
    <w:rsid w:val="006F74A7"/>
    <w:rsid w:val="00705C16"/>
    <w:rsid w:val="00707016"/>
    <w:rsid w:val="007133A0"/>
    <w:rsid w:val="007145BC"/>
    <w:rsid w:val="00715F7F"/>
    <w:rsid w:val="007173DC"/>
    <w:rsid w:val="00723CD2"/>
    <w:rsid w:val="007301E6"/>
    <w:rsid w:val="00730335"/>
    <w:rsid w:val="00731849"/>
    <w:rsid w:val="00733441"/>
    <w:rsid w:val="0073534E"/>
    <w:rsid w:val="0073632C"/>
    <w:rsid w:val="0073703F"/>
    <w:rsid w:val="00741F77"/>
    <w:rsid w:val="00745F96"/>
    <w:rsid w:val="00752721"/>
    <w:rsid w:val="00757786"/>
    <w:rsid w:val="00760B7C"/>
    <w:rsid w:val="00760E96"/>
    <w:rsid w:val="007625A0"/>
    <w:rsid w:val="0077293E"/>
    <w:rsid w:val="00775E78"/>
    <w:rsid w:val="007867BC"/>
    <w:rsid w:val="007916AE"/>
    <w:rsid w:val="00791E71"/>
    <w:rsid w:val="00795287"/>
    <w:rsid w:val="007A0A3F"/>
    <w:rsid w:val="007A2363"/>
    <w:rsid w:val="007B1796"/>
    <w:rsid w:val="007B2540"/>
    <w:rsid w:val="007B72A1"/>
    <w:rsid w:val="007B7AEC"/>
    <w:rsid w:val="007C1B68"/>
    <w:rsid w:val="007D178F"/>
    <w:rsid w:val="007D2705"/>
    <w:rsid w:val="007D346A"/>
    <w:rsid w:val="007D64F1"/>
    <w:rsid w:val="007D725E"/>
    <w:rsid w:val="007E1F26"/>
    <w:rsid w:val="007E54E8"/>
    <w:rsid w:val="007E72DE"/>
    <w:rsid w:val="007E79D2"/>
    <w:rsid w:val="007F4363"/>
    <w:rsid w:val="0080117A"/>
    <w:rsid w:val="00802ED9"/>
    <w:rsid w:val="00804F19"/>
    <w:rsid w:val="00810DC0"/>
    <w:rsid w:val="008142AC"/>
    <w:rsid w:val="008145C7"/>
    <w:rsid w:val="008169A4"/>
    <w:rsid w:val="00816C39"/>
    <w:rsid w:val="00817193"/>
    <w:rsid w:val="008176D1"/>
    <w:rsid w:val="00823A73"/>
    <w:rsid w:val="00830F71"/>
    <w:rsid w:val="00843D0E"/>
    <w:rsid w:val="008466AA"/>
    <w:rsid w:val="00852619"/>
    <w:rsid w:val="00861099"/>
    <w:rsid w:val="00865C0A"/>
    <w:rsid w:val="00866270"/>
    <w:rsid w:val="00873199"/>
    <w:rsid w:val="008802B1"/>
    <w:rsid w:val="00881EE3"/>
    <w:rsid w:val="00886091"/>
    <w:rsid w:val="008945B7"/>
    <w:rsid w:val="00897A4C"/>
    <w:rsid w:val="008B521A"/>
    <w:rsid w:val="008B5311"/>
    <w:rsid w:val="008C63A9"/>
    <w:rsid w:val="008D0026"/>
    <w:rsid w:val="008D079A"/>
    <w:rsid w:val="008E0213"/>
    <w:rsid w:val="00904BEB"/>
    <w:rsid w:val="00905164"/>
    <w:rsid w:val="009125D9"/>
    <w:rsid w:val="0091461F"/>
    <w:rsid w:val="009168E0"/>
    <w:rsid w:val="0092088A"/>
    <w:rsid w:val="00922CA4"/>
    <w:rsid w:val="00926594"/>
    <w:rsid w:val="00931245"/>
    <w:rsid w:val="009358A6"/>
    <w:rsid w:val="00940F11"/>
    <w:rsid w:val="0094444C"/>
    <w:rsid w:val="0095268D"/>
    <w:rsid w:val="00955919"/>
    <w:rsid w:val="00961908"/>
    <w:rsid w:val="00974939"/>
    <w:rsid w:val="009840AE"/>
    <w:rsid w:val="00993B69"/>
    <w:rsid w:val="009A0C2B"/>
    <w:rsid w:val="009A6529"/>
    <w:rsid w:val="009A6E88"/>
    <w:rsid w:val="009C588F"/>
    <w:rsid w:val="009C7171"/>
    <w:rsid w:val="009D5B08"/>
    <w:rsid w:val="009D6856"/>
    <w:rsid w:val="009E70D2"/>
    <w:rsid w:val="009F11B3"/>
    <w:rsid w:val="009F44C4"/>
    <w:rsid w:val="00A00B15"/>
    <w:rsid w:val="00A02F57"/>
    <w:rsid w:val="00A05B65"/>
    <w:rsid w:val="00A13015"/>
    <w:rsid w:val="00A13884"/>
    <w:rsid w:val="00A1473A"/>
    <w:rsid w:val="00A17536"/>
    <w:rsid w:val="00A240F5"/>
    <w:rsid w:val="00A265A0"/>
    <w:rsid w:val="00A278F1"/>
    <w:rsid w:val="00A3148C"/>
    <w:rsid w:val="00A4030A"/>
    <w:rsid w:val="00A40F9A"/>
    <w:rsid w:val="00A4116F"/>
    <w:rsid w:val="00A4128F"/>
    <w:rsid w:val="00A52F2C"/>
    <w:rsid w:val="00A56394"/>
    <w:rsid w:val="00A56C5C"/>
    <w:rsid w:val="00A57741"/>
    <w:rsid w:val="00A62963"/>
    <w:rsid w:val="00A63CEB"/>
    <w:rsid w:val="00A809D0"/>
    <w:rsid w:val="00A951F2"/>
    <w:rsid w:val="00A953C6"/>
    <w:rsid w:val="00A95448"/>
    <w:rsid w:val="00A976DD"/>
    <w:rsid w:val="00AA6AFB"/>
    <w:rsid w:val="00AB226B"/>
    <w:rsid w:val="00AC6645"/>
    <w:rsid w:val="00AD4090"/>
    <w:rsid w:val="00AD5600"/>
    <w:rsid w:val="00AD7473"/>
    <w:rsid w:val="00AE66AC"/>
    <w:rsid w:val="00AF14DD"/>
    <w:rsid w:val="00AF649A"/>
    <w:rsid w:val="00B013D7"/>
    <w:rsid w:val="00B045AD"/>
    <w:rsid w:val="00B17281"/>
    <w:rsid w:val="00B20F70"/>
    <w:rsid w:val="00B20F93"/>
    <w:rsid w:val="00B33A69"/>
    <w:rsid w:val="00B44793"/>
    <w:rsid w:val="00B54BD3"/>
    <w:rsid w:val="00B602C0"/>
    <w:rsid w:val="00B6659B"/>
    <w:rsid w:val="00B670A8"/>
    <w:rsid w:val="00B72525"/>
    <w:rsid w:val="00B73B41"/>
    <w:rsid w:val="00B7558F"/>
    <w:rsid w:val="00B76156"/>
    <w:rsid w:val="00B832B5"/>
    <w:rsid w:val="00B83E7D"/>
    <w:rsid w:val="00B95B35"/>
    <w:rsid w:val="00BB09FE"/>
    <w:rsid w:val="00BC0FAA"/>
    <w:rsid w:val="00BC25B4"/>
    <w:rsid w:val="00BD4498"/>
    <w:rsid w:val="00BD71CE"/>
    <w:rsid w:val="00BE1E45"/>
    <w:rsid w:val="00BE34B7"/>
    <w:rsid w:val="00BE510B"/>
    <w:rsid w:val="00BE51A9"/>
    <w:rsid w:val="00BF5D8F"/>
    <w:rsid w:val="00BF6251"/>
    <w:rsid w:val="00C11058"/>
    <w:rsid w:val="00C1389D"/>
    <w:rsid w:val="00C25D20"/>
    <w:rsid w:val="00C33F8F"/>
    <w:rsid w:val="00C3618C"/>
    <w:rsid w:val="00C47BB1"/>
    <w:rsid w:val="00C47E95"/>
    <w:rsid w:val="00C52927"/>
    <w:rsid w:val="00C53756"/>
    <w:rsid w:val="00C65E8F"/>
    <w:rsid w:val="00C73962"/>
    <w:rsid w:val="00C753AB"/>
    <w:rsid w:val="00C77F61"/>
    <w:rsid w:val="00C8723F"/>
    <w:rsid w:val="00C93B3F"/>
    <w:rsid w:val="00CA0809"/>
    <w:rsid w:val="00CA25EC"/>
    <w:rsid w:val="00CA6B20"/>
    <w:rsid w:val="00CB1192"/>
    <w:rsid w:val="00CB2C05"/>
    <w:rsid w:val="00CB7E1F"/>
    <w:rsid w:val="00CC10C8"/>
    <w:rsid w:val="00CC53C0"/>
    <w:rsid w:val="00CE3FA9"/>
    <w:rsid w:val="00CF0060"/>
    <w:rsid w:val="00CF1EC0"/>
    <w:rsid w:val="00CF4340"/>
    <w:rsid w:val="00CF7112"/>
    <w:rsid w:val="00CF7EF9"/>
    <w:rsid w:val="00D026EB"/>
    <w:rsid w:val="00D02765"/>
    <w:rsid w:val="00D048C6"/>
    <w:rsid w:val="00D24C79"/>
    <w:rsid w:val="00D3125D"/>
    <w:rsid w:val="00D33052"/>
    <w:rsid w:val="00D356CC"/>
    <w:rsid w:val="00D35833"/>
    <w:rsid w:val="00D42E8D"/>
    <w:rsid w:val="00D43C7D"/>
    <w:rsid w:val="00D45B46"/>
    <w:rsid w:val="00D53E56"/>
    <w:rsid w:val="00D56FA2"/>
    <w:rsid w:val="00D723BE"/>
    <w:rsid w:val="00D7503C"/>
    <w:rsid w:val="00D77788"/>
    <w:rsid w:val="00D80DEE"/>
    <w:rsid w:val="00D8525F"/>
    <w:rsid w:val="00D87A0A"/>
    <w:rsid w:val="00DA46B7"/>
    <w:rsid w:val="00DA657D"/>
    <w:rsid w:val="00DA74CC"/>
    <w:rsid w:val="00DB124F"/>
    <w:rsid w:val="00DC279C"/>
    <w:rsid w:val="00DC5472"/>
    <w:rsid w:val="00DC73E0"/>
    <w:rsid w:val="00DD2020"/>
    <w:rsid w:val="00DD289C"/>
    <w:rsid w:val="00DD4B39"/>
    <w:rsid w:val="00DE0B3C"/>
    <w:rsid w:val="00DE569B"/>
    <w:rsid w:val="00DE5A21"/>
    <w:rsid w:val="00DF5574"/>
    <w:rsid w:val="00E01793"/>
    <w:rsid w:val="00E06487"/>
    <w:rsid w:val="00E11590"/>
    <w:rsid w:val="00E16EE9"/>
    <w:rsid w:val="00E21B50"/>
    <w:rsid w:val="00E27181"/>
    <w:rsid w:val="00E276A9"/>
    <w:rsid w:val="00E33B18"/>
    <w:rsid w:val="00E45153"/>
    <w:rsid w:val="00E451FD"/>
    <w:rsid w:val="00E45641"/>
    <w:rsid w:val="00E52C81"/>
    <w:rsid w:val="00E561A4"/>
    <w:rsid w:val="00E611DB"/>
    <w:rsid w:val="00E65401"/>
    <w:rsid w:val="00E6611B"/>
    <w:rsid w:val="00E70621"/>
    <w:rsid w:val="00E7071C"/>
    <w:rsid w:val="00E74758"/>
    <w:rsid w:val="00E805C0"/>
    <w:rsid w:val="00E81D27"/>
    <w:rsid w:val="00E95BA2"/>
    <w:rsid w:val="00EA48CA"/>
    <w:rsid w:val="00EA577F"/>
    <w:rsid w:val="00EA70FE"/>
    <w:rsid w:val="00EB478A"/>
    <w:rsid w:val="00EB5994"/>
    <w:rsid w:val="00EB7D31"/>
    <w:rsid w:val="00EC096A"/>
    <w:rsid w:val="00EC22F8"/>
    <w:rsid w:val="00EC272E"/>
    <w:rsid w:val="00ED1B51"/>
    <w:rsid w:val="00ED47E2"/>
    <w:rsid w:val="00ED791C"/>
    <w:rsid w:val="00ED7DD7"/>
    <w:rsid w:val="00EE0A7C"/>
    <w:rsid w:val="00EE13A9"/>
    <w:rsid w:val="00EE4739"/>
    <w:rsid w:val="00EF64B6"/>
    <w:rsid w:val="00F006EF"/>
    <w:rsid w:val="00F02250"/>
    <w:rsid w:val="00F111D8"/>
    <w:rsid w:val="00F12CCB"/>
    <w:rsid w:val="00F13193"/>
    <w:rsid w:val="00F1658F"/>
    <w:rsid w:val="00F239D9"/>
    <w:rsid w:val="00F272CE"/>
    <w:rsid w:val="00F45D92"/>
    <w:rsid w:val="00F62115"/>
    <w:rsid w:val="00F6274C"/>
    <w:rsid w:val="00F77D41"/>
    <w:rsid w:val="00F80664"/>
    <w:rsid w:val="00F83684"/>
    <w:rsid w:val="00F85B78"/>
    <w:rsid w:val="00F91365"/>
    <w:rsid w:val="00F95B3E"/>
    <w:rsid w:val="00FB2B66"/>
    <w:rsid w:val="00FB6321"/>
    <w:rsid w:val="00FC06D9"/>
    <w:rsid w:val="00FD30BE"/>
    <w:rsid w:val="00FD37A7"/>
    <w:rsid w:val="00FD3C00"/>
    <w:rsid w:val="00FE0E4D"/>
    <w:rsid w:val="00FE14E9"/>
    <w:rsid w:val="00FF1CC6"/>
    <w:rsid w:val="00FF20F4"/>
    <w:rsid w:val="00FF70E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6B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C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3E7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Capire TOC 1"/>
    <w:basedOn w:val="Normal"/>
    <w:next w:val="Normal"/>
    <w:autoRedefine/>
    <w:uiPriority w:val="39"/>
    <w:unhideWhenUsed/>
    <w:qFormat/>
    <w:rsid w:val="00542808"/>
    <w:pPr>
      <w:tabs>
        <w:tab w:val="left" w:pos="567"/>
        <w:tab w:val="right" w:leader="dot" w:pos="9356"/>
      </w:tabs>
      <w:spacing w:after="100"/>
      <w:outlineLvl w:val="1"/>
    </w:pPr>
    <w:rPr>
      <w:rFonts w:ascii="Arial" w:hAnsi="Arial" w:cs="Arial"/>
      <w:b/>
      <w:noProof/>
    </w:rPr>
  </w:style>
  <w:style w:type="paragraph" w:styleId="TOC2">
    <w:name w:val="toc 2"/>
    <w:aliases w:val="Capire TOC 2"/>
    <w:basedOn w:val="Normal"/>
    <w:next w:val="Normal"/>
    <w:autoRedefine/>
    <w:uiPriority w:val="39"/>
    <w:unhideWhenUsed/>
    <w:qFormat/>
    <w:rsid w:val="002B1A22"/>
    <w:pPr>
      <w:tabs>
        <w:tab w:val="left" w:pos="993"/>
        <w:tab w:val="right" w:leader="dot" w:pos="9356"/>
      </w:tabs>
      <w:spacing w:after="100"/>
      <w:outlineLvl w:val="1"/>
    </w:pPr>
    <w:rPr>
      <w:rFonts w:ascii="Arial" w:eastAsiaTheme="minorHAnsi" w:hAnsi="Arial" w:cs="Arial"/>
      <w:b/>
      <w:noProof/>
    </w:rPr>
  </w:style>
  <w:style w:type="paragraph" w:customStyle="1" w:styleId="TOCHeading1">
    <w:name w:val="TOC Heading1"/>
    <w:aliases w:val="Capire - TOC Heading"/>
    <w:basedOn w:val="Heading1"/>
    <w:next w:val="Normal"/>
    <w:unhideWhenUsed/>
    <w:qFormat/>
    <w:rsid w:val="004D6B70"/>
    <w:pPr>
      <w:spacing w:line="276" w:lineRule="auto"/>
      <w:outlineLvl w:val="9"/>
    </w:pPr>
    <w:rPr>
      <w:rFonts w:ascii="Calibri" w:eastAsia="Times New Roman" w:hAnsi="Calibri" w:cs="Times New Roman"/>
      <w:color w:val="548DD4"/>
      <w:sz w:val="36"/>
      <w:lang w:val="en-US"/>
    </w:rPr>
  </w:style>
  <w:style w:type="character" w:styleId="Hyperlink">
    <w:name w:val="Hyperlink"/>
    <w:basedOn w:val="DefaultParagraphFont"/>
    <w:uiPriority w:val="99"/>
    <w:unhideWhenUsed/>
    <w:rsid w:val="004D6B70"/>
    <w:rPr>
      <w:color w:val="0000FF"/>
      <w:u w:val="single"/>
    </w:rPr>
  </w:style>
  <w:style w:type="character" w:customStyle="1" w:styleId="Heading1Char">
    <w:name w:val="Heading 1 Char"/>
    <w:basedOn w:val="DefaultParagraphFont"/>
    <w:link w:val="Heading1"/>
    <w:uiPriority w:val="9"/>
    <w:rsid w:val="004D6B7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D6B70"/>
    <w:rPr>
      <w:rFonts w:ascii="Tahoma" w:hAnsi="Tahoma" w:cs="Tahoma"/>
      <w:sz w:val="16"/>
      <w:szCs w:val="16"/>
    </w:rPr>
  </w:style>
  <w:style w:type="character" w:customStyle="1" w:styleId="BalloonTextChar">
    <w:name w:val="Balloon Text Char"/>
    <w:basedOn w:val="DefaultParagraphFont"/>
    <w:link w:val="BalloonText"/>
    <w:uiPriority w:val="99"/>
    <w:semiHidden/>
    <w:rsid w:val="004D6B70"/>
    <w:rPr>
      <w:rFonts w:ascii="Tahoma" w:eastAsia="Times New Roman" w:hAnsi="Tahoma" w:cs="Tahoma"/>
      <w:sz w:val="16"/>
      <w:szCs w:val="16"/>
    </w:rPr>
  </w:style>
  <w:style w:type="paragraph" w:customStyle="1" w:styleId="Capire-bodycopy">
    <w:name w:val="Capire - body copy"/>
    <w:qFormat/>
    <w:rsid w:val="00400D59"/>
    <w:pPr>
      <w:spacing w:before="60" w:after="120" w:line="280" w:lineRule="atLeast"/>
    </w:pPr>
    <w:rPr>
      <w:rFonts w:ascii="Calibri" w:eastAsia="Times New Roman" w:hAnsi="Calibri" w:cs="Times New Roman"/>
      <w:bCs/>
      <w:iCs/>
      <w:sz w:val="20"/>
      <w:szCs w:val="20"/>
      <w:lang w:eastAsia="en-AU"/>
    </w:rPr>
  </w:style>
  <w:style w:type="paragraph" w:styleId="ListParagraph">
    <w:name w:val="List Paragraph"/>
    <w:basedOn w:val="Normal"/>
    <w:uiPriority w:val="34"/>
    <w:qFormat/>
    <w:rsid w:val="00400D59"/>
    <w:pPr>
      <w:ind w:left="720"/>
      <w:contextualSpacing/>
    </w:pPr>
  </w:style>
  <w:style w:type="paragraph" w:customStyle="1" w:styleId="Capire-FaxBullets">
    <w:name w:val="Capire - Fax Bullets"/>
    <w:basedOn w:val="Normal"/>
    <w:qFormat/>
    <w:rsid w:val="00096DE9"/>
    <w:pPr>
      <w:numPr>
        <w:numId w:val="5"/>
      </w:numPr>
    </w:pPr>
    <w:rPr>
      <w:rFonts w:ascii="Calibri" w:hAnsi="Calibri"/>
      <w:bCs/>
      <w:sz w:val="20"/>
      <w:szCs w:val="36"/>
      <w:lang w:val="en-US"/>
    </w:rPr>
  </w:style>
  <w:style w:type="table" w:styleId="TableGrid">
    <w:name w:val="Table Grid"/>
    <w:basedOn w:val="TableNormal"/>
    <w:uiPriority w:val="59"/>
    <w:rsid w:val="00A26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11256"/>
    <w:rPr>
      <w:color w:val="800080" w:themeColor="followedHyperlink"/>
      <w:u w:val="single"/>
    </w:rPr>
  </w:style>
  <w:style w:type="paragraph" w:customStyle="1" w:styleId="Default">
    <w:name w:val="Default"/>
    <w:rsid w:val="00723CD2"/>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0B1396"/>
    <w:pPr>
      <w:spacing w:line="221" w:lineRule="atLeast"/>
    </w:pPr>
    <w:rPr>
      <w:rFonts w:ascii="Myriad Pro" w:hAnsi="Myriad Pro" w:cstheme="minorBidi"/>
      <w:color w:val="auto"/>
    </w:rPr>
  </w:style>
  <w:style w:type="paragraph" w:customStyle="1" w:styleId="Pa21">
    <w:name w:val="Pa21"/>
    <w:basedOn w:val="Default"/>
    <w:next w:val="Default"/>
    <w:uiPriority w:val="99"/>
    <w:rsid w:val="000B1396"/>
    <w:pPr>
      <w:spacing w:line="221" w:lineRule="atLeast"/>
    </w:pPr>
    <w:rPr>
      <w:rFonts w:ascii="Myriad Pro" w:hAnsi="Myriad Pro" w:cstheme="minorBidi"/>
      <w:color w:val="auto"/>
    </w:rPr>
  </w:style>
  <w:style w:type="character" w:customStyle="1" w:styleId="A8">
    <w:name w:val="A8"/>
    <w:uiPriority w:val="99"/>
    <w:rsid w:val="000B1396"/>
    <w:rPr>
      <w:rFonts w:ascii="Myriad Pro Light" w:hAnsi="Myriad Pro Light" w:cs="Myriad Pro Light"/>
      <w:b/>
      <w:bCs/>
      <w:color w:val="000000"/>
      <w:sz w:val="32"/>
      <w:szCs w:val="32"/>
    </w:rPr>
  </w:style>
  <w:style w:type="paragraph" w:customStyle="1" w:styleId="Pa2">
    <w:name w:val="Pa2"/>
    <w:basedOn w:val="Default"/>
    <w:next w:val="Default"/>
    <w:uiPriority w:val="99"/>
    <w:rsid w:val="000B1396"/>
    <w:pPr>
      <w:spacing w:line="221" w:lineRule="atLeast"/>
    </w:pPr>
    <w:rPr>
      <w:rFonts w:ascii="Myriad Pro" w:hAnsi="Myriad Pro" w:cstheme="minorBidi"/>
      <w:color w:val="auto"/>
    </w:rPr>
  </w:style>
  <w:style w:type="character" w:customStyle="1" w:styleId="A2">
    <w:name w:val="A2"/>
    <w:uiPriority w:val="99"/>
    <w:rsid w:val="000B1396"/>
    <w:rPr>
      <w:rFonts w:cs="Myriad Pro"/>
      <w:i/>
      <w:iCs/>
      <w:color w:val="000000"/>
      <w:sz w:val="20"/>
      <w:szCs w:val="20"/>
    </w:rPr>
  </w:style>
  <w:style w:type="paragraph" w:styleId="Header">
    <w:name w:val="header"/>
    <w:basedOn w:val="Normal"/>
    <w:link w:val="HeaderChar"/>
    <w:uiPriority w:val="99"/>
    <w:unhideWhenUsed/>
    <w:rsid w:val="00DF5574"/>
    <w:pPr>
      <w:tabs>
        <w:tab w:val="center" w:pos="4513"/>
        <w:tab w:val="right" w:pos="9026"/>
      </w:tabs>
    </w:pPr>
  </w:style>
  <w:style w:type="character" w:customStyle="1" w:styleId="HeaderChar">
    <w:name w:val="Header Char"/>
    <w:basedOn w:val="DefaultParagraphFont"/>
    <w:link w:val="Header"/>
    <w:uiPriority w:val="99"/>
    <w:rsid w:val="00DF55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574"/>
    <w:pPr>
      <w:tabs>
        <w:tab w:val="center" w:pos="4513"/>
        <w:tab w:val="right" w:pos="9026"/>
      </w:tabs>
    </w:pPr>
  </w:style>
  <w:style w:type="character" w:customStyle="1" w:styleId="FooterChar">
    <w:name w:val="Footer Char"/>
    <w:basedOn w:val="DefaultParagraphFont"/>
    <w:link w:val="Footer"/>
    <w:uiPriority w:val="99"/>
    <w:rsid w:val="00DF557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45C0C"/>
    <w:rPr>
      <w:rFonts w:asciiTheme="majorHAnsi" w:eastAsiaTheme="majorEastAsia" w:hAnsiTheme="majorHAnsi" w:cstheme="majorBidi"/>
      <w:b/>
      <w:bCs/>
      <w:color w:val="4F81BD" w:themeColor="accent1"/>
      <w:sz w:val="26"/>
      <w:szCs w:val="26"/>
    </w:rPr>
  </w:style>
  <w:style w:type="paragraph" w:customStyle="1" w:styleId="Pa18">
    <w:name w:val="Pa18"/>
    <w:basedOn w:val="Default"/>
    <w:next w:val="Default"/>
    <w:uiPriority w:val="99"/>
    <w:rsid w:val="003B577C"/>
    <w:pPr>
      <w:spacing w:line="201" w:lineRule="atLeast"/>
    </w:pPr>
    <w:rPr>
      <w:rFonts w:ascii="DINOT-Light" w:hAnsi="DINOT-Light" w:cstheme="minorBidi"/>
      <w:color w:val="auto"/>
    </w:rPr>
  </w:style>
  <w:style w:type="character" w:customStyle="1" w:styleId="A13">
    <w:name w:val="A13"/>
    <w:uiPriority w:val="99"/>
    <w:rsid w:val="003B577C"/>
    <w:rPr>
      <w:rFonts w:cs="DINOT-Light"/>
      <w:color w:val="000000"/>
      <w:sz w:val="14"/>
      <w:szCs w:val="14"/>
    </w:rPr>
  </w:style>
  <w:style w:type="paragraph" w:customStyle="1" w:styleId="Pa23">
    <w:name w:val="Pa23"/>
    <w:basedOn w:val="Default"/>
    <w:next w:val="Default"/>
    <w:uiPriority w:val="99"/>
    <w:rsid w:val="003B577C"/>
    <w:pPr>
      <w:spacing w:line="201" w:lineRule="atLeast"/>
    </w:pPr>
    <w:rPr>
      <w:rFonts w:ascii="DINOT-Light" w:hAnsi="DINOT-Light" w:cstheme="minorBidi"/>
      <w:color w:val="auto"/>
    </w:rPr>
  </w:style>
  <w:style w:type="paragraph" w:customStyle="1" w:styleId="Pa22">
    <w:name w:val="Pa22"/>
    <w:basedOn w:val="Default"/>
    <w:next w:val="Default"/>
    <w:uiPriority w:val="99"/>
    <w:rsid w:val="003B577C"/>
    <w:pPr>
      <w:spacing w:line="201" w:lineRule="atLeast"/>
    </w:pPr>
    <w:rPr>
      <w:rFonts w:ascii="DINOT-Light" w:hAnsi="DINOT-Light" w:cstheme="minorBidi"/>
      <w:color w:val="auto"/>
    </w:rPr>
  </w:style>
  <w:style w:type="character" w:customStyle="1" w:styleId="A5">
    <w:name w:val="A5"/>
    <w:uiPriority w:val="99"/>
    <w:rsid w:val="003B577C"/>
    <w:rPr>
      <w:rFonts w:cs="DINOT-Medium"/>
      <w:color w:val="000000"/>
      <w:sz w:val="18"/>
      <w:szCs w:val="18"/>
    </w:rPr>
  </w:style>
  <w:style w:type="paragraph" w:customStyle="1" w:styleId="Pa24">
    <w:name w:val="Pa24"/>
    <w:basedOn w:val="Default"/>
    <w:next w:val="Default"/>
    <w:uiPriority w:val="99"/>
    <w:rsid w:val="003B577C"/>
    <w:pPr>
      <w:spacing w:line="201" w:lineRule="atLeast"/>
    </w:pPr>
    <w:rPr>
      <w:rFonts w:ascii="DINOT-Medium" w:hAnsi="DINOT-Medium" w:cstheme="minorBidi"/>
      <w:color w:val="auto"/>
    </w:rPr>
  </w:style>
  <w:style w:type="paragraph" w:styleId="TOCHeading">
    <w:name w:val="TOC Heading"/>
    <w:basedOn w:val="Heading1"/>
    <w:next w:val="Normal"/>
    <w:uiPriority w:val="39"/>
    <w:unhideWhenUsed/>
    <w:qFormat/>
    <w:rsid w:val="00693E70"/>
    <w:pPr>
      <w:spacing w:line="276" w:lineRule="auto"/>
      <w:outlineLvl w:val="9"/>
    </w:pPr>
    <w:rPr>
      <w:lang w:val="en-US"/>
    </w:rPr>
  </w:style>
  <w:style w:type="character" w:customStyle="1" w:styleId="Heading3Char">
    <w:name w:val="Heading 3 Char"/>
    <w:basedOn w:val="DefaultParagraphFont"/>
    <w:link w:val="Heading3"/>
    <w:uiPriority w:val="9"/>
    <w:rsid w:val="00693E70"/>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unhideWhenUsed/>
    <w:qFormat/>
    <w:rsid w:val="00693E70"/>
    <w:pPr>
      <w:spacing w:after="100"/>
      <w:ind w:left="480"/>
    </w:pPr>
  </w:style>
  <w:style w:type="paragraph" w:styleId="NormalWeb">
    <w:name w:val="Normal (Web)"/>
    <w:basedOn w:val="Normal"/>
    <w:uiPriority w:val="99"/>
    <w:semiHidden/>
    <w:unhideWhenUsed/>
    <w:rsid w:val="006D6F46"/>
    <w:pPr>
      <w:spacing w:after="98"/>
    </w:pPr>
    <w:rPr>
      <w:color w:val="5F6062"/>
      <w:sz w:val="15"/>
      <w:szCs w:val="15"/>
      <w:lang w:eastAsia="en-AU"/>
    </w:rPr>
  </w:style>
  <w:style w:type="character" w:styleId="Emphasis">
    <w:name w:val="Emphasis"/>
    <w:basedOn w:val="DefaultParagraphFont"/>
    <w:uiPriority w:val="20"/>
    <w:qFormat/>
    <w:rsid w:val="00244E5E"/>
    <w:rPr>
      <w:i/>
      <w:iCs/>
    </w:rPr>
  </w:style>
  <w:style w:type="character" w:styleId="Strong">
    <w:name w:val="Strong"/>
    <w:basedOn w:val="DefaultParagraphFont"/>
    <w:uiPriority w:val="22"/>
    <w:qFormat/>
    <w:rsid w:val="00132C07"/>
    <w:rPr>
      <w:b/>
      <w:bCs/>
      <w:i w:val="0"/>
      <w:iCs w:val="0"/>
    </w:rPr>
  </w:style>
</w:styles>
</file>

<file path=word/webSettings.xml><?xml version="1.0" encoding="utf-8"?>
<w:webSettings xmlns:r="http://schemas.openxmlformats.org/officeDocument/2006/relationships" xmlns:w="http://schemas.openxmlformats.org/wordprocessingml/2006/main">
  <w:divs>
    <w:div w:id="51854408">
      <w:bodyDiv w:val="1"/>
      <w:marLeft w:val="0"/>
      <w:marRight w:val="0"/>
      <w:marTop w:val="0"/>
      <w:marBottom w:val="0"/>
      <w:divBdr>
        <w:top w:val="none" w:sz="0" w:space="0" w:color="auto"/>
        <w:left w:val="none" w:sz="0" w:space="0" w:color="auto"/>
        <w:bottom w:val="none" w:sz="0" w:space="0" w:color="auto"/>
        <w:right w:val="none" w:sz="0" w:space="0" w:color="auto"/>
      </w:divBdr>
      <w:divsChild>
        <w:div w:id="1467237231">
          <w:marLeft w:val="0"/>
          <w:marRight w:val="0"/>
          <w:marTop w:val="0"/>
          <w:marBottom w:val="0"/>
          <w:divBdr>
            <w:top w:val="none" w:sz="0" w:space="0" w:color="auto"/>
            <w:left w:val="none" w:sz="0" w:space="0" w:color="auto"/>
            <w:bottom w:val="none" w:sz="0" w:space="0" w:color="auto"/>
            <w:right w:val="none" w:sz="0" w:space="0" w:color="auto"/>
          </w:divBdr>
          <w:divsChild>
            <w:div w:id="1094129204">
              <w:marLeft w:val="0"/>
              <w:marRight w:val="0"/>
              <w:marTop w:val="0"/>
              <w:marBottom w:val="0"/>
              <w:divBdr>
                <w:top w:val="single" w:sz="2" w:space="0" w:color="CCCCCC"/>
                <w:left w:val="single" w:sz="2" w:space="0" w:color="CCCCCC"/>
                <w:bottom w:val="single" w:sz="2" w:space="0" w:color="CCCCCC"/>
                <w:right w:val="single" w:sz="2" w:space="0" w:color="CCCCCC"/>
              </w:divBdr>
              <w:divsChild>
                <w:div w:id="1203245015">
                  <w:marLeft w:val="0"/>
                  <w:marRight w:val="0"/>
                  <w:marTop w:val="0"/>
                  <w:marBottom w:val="0"/>
                  <w:divBdr>
                    <w:top w:val="none" w:sz="0" w:space="0" w:color="auto"/>
                    <w:left w:val="none" w:sz="0" w:space="0" w:color="auto"/>
                    <w:bottom w:val="none" w:sz="0" w:space="0" w:color="auto"/>
                    <w:right w:val="none" w:sz="0" w:space="0" w:color="auto"/>
                  </w:divBdr>
                  <w:divsChild>
                    <w:div w:id="409809829">
                      <w:marLeft w:val="0"/>
                      <w:marRight w:val="0"/>
                      <w:marTop w:val="0"/>
                      <w:marBottom w:val="0"/>
                      <w:divBdr>
                        <w:top w:val="none" w:sz="0" w:space="0" w:color="auto"/>
                        <w:left w:val="none" w:sz="0" w:space="0" w:color="auto"/>
                        <w:bottom w:val="none" w:sz="0" w:space="0" w:color="auto"/>
                        <w:right w:val="none" w:sz="0" w:space="0" w:color="auto"/>
                      </w:divBdr>
                      <w:divsChild>
                        <w:div w:id="17191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42710">
      <w:bodyDiv w:val="1"/>
      <w:marLeft w:val="0"/>
      <w:marRight w:val="0"/>
      <w:marTop w:val="0"/>
      <w:marBottom w:val="0"/>
      <w:divBdr>
        <w:top w:val="none" w:sz="0" w:space="0" w:color="auto"/>
        <w:left w:val="none" w:sz="0" w:space="0" w:color="auto"/>
        <w:bottom w:val="none" w:sz="0" w:space="0" w:color="auto"/>
        <w:right w:val="none" w:sz="0" w:space="0" w:color="auto"/>
      </w:divBdr>
    </w:div>
    <w:div w:id="313724798">
      <w:bodyDiv w:val="1"/>
      <w:marLeft w:val="0"/>
      <w:marRight w:val="0"/>
      <w:marTop w:val="0"/>
      <w:marBottom w:val="0"/>
      <w:divBdr>
        <w:top w:val="none" w:sz="0" w:space="0" w:color="auto"/>
        <w:left w:val="none" w:sz="0" w:space="0" w:color="auto"/>
        <w:bottom w:val="none" w:sz="0" w:space="0" w:color="auto"/>
        <w:right w:val="none" w:sz="0" w:space="0" w:color="auto"/>
      </w:divBdr>
    </w:div>
    <w:div w:id="380786474">
      <w:bodyDiv w:val="1"/>
      <w:marLeft w:val="0"/>
      <w:marRight w:val="0"/>
      <w:marTop w:val="0"/>
      <w:marBottom w:val="0"/>
      <w:divBdr>
        <w:top w:val="none" w:sz="0" w:space="0" w:color="auto"/>
        <w:left w:val="none" w:sz="0" w:space="0" w:color="auto"/>
        <w:bottom w:val="none" w:sz="0" w:space="0" w:color="auto"/>
        <w:right w:val="none" w:sz="0" w:space="0" w:color="auto"/>
      </w:divBdr>
      <w:divsChild>
        <w:div w:id="1382707826">
          <w:marLeft w:val="0"/>
          <w:marRight w:val="0"/>
          <w:marTop w:val="0"/>
          <w:marBottom w:val="0"/>
          <w:divBdr>
            <w:top w:val="none" w:sz="0" w:space="0" w:color="auto"/>
            <w:left w:val="none" w:sz="0" w:space="0" w:color="auto"/>
            <w:bottom w:val="none" w:sz="0" w:space="0" w:color="auto"/>
            <w:right w:val="none" w:sz="0" w:space="0" w:color="auto"/>
          </w:divBdr>
          <w:divsChild>
            <w:div w:id="695741575">
              <w:marLeft w:val="0"/>
              <w:marRight w:val="0"/>
              <w:marTop w:val="0"/>
              <w:marBottom w:val="0"/>
              <w:divBdr>
                <w:top w:val="single" w:sz="2" w:space="0" w:color="CCCCCC"/>
                <w:left w:val="single" w:sz="2" w:space="0" w:color="CCCCCC"/>
                <w:bottom w:val="single" w:sz="2" w:space="0" w:color="CCCCCC"/>
                <w:right w:val="single" w:sz="2" w:space="0" w:color="CCCCCC"/>
              </w:divBdr>
              <w:divsChild>
                <w:div w:id="949119411">
                  <w:marLeft w:val="0"/>
                  <w:marRight w:val="0"/>
                  <w:marTop w:val="0"/>
                  <w:marBottom w:val="0"/>
                  <w:divBdr>
                    <w:top w:val="none" w:sz="0" w:space="0" w:color="auto"/>
                    <w:left w:val="none" w:sz="0" w:space="0" w:color="auto"/>
                    <w:bottom w:val="none" w:sz="0" w:space="0" w:color="auto"/>
                    <w:right w:val="none" w:sz="0" w:space="0" w:color="auto"/>
                  </w:divBdr>
                  <w:divsChild>
                    <w:div w:id="399718762">
                      <w:marLeft w:val="0"/>
                      <w:marRight w:val="0"/>
                      <w:marTop w:val="0"/>
                      <w:marBottom w:val="0"/>
                      <w:divBdr>
                        <w:top w:val="none" w:sz="0" w:space="0" w:color="auto"/>
                        <w:left w:val="none" w:sz="0" w:space="0" w:color="auto"/>
                        <w:bottom w:val="none" w:sz="0" w:space="0" w:color="auto"/>
                        <w:right w:val="none" w:sz="0" w:space="0" w:color="auto"/>
                      </w:divBdr>
                      <w:divsChild>
                        <w:div w:id="633558566">
                          <w:marLeft w:val="0"/>
                          <w:marRight w:val="218"/>
                          <w:marTop w:val="0"/>
                          <w:marBottom w:val="0"/>
                          <w:divBdr>
                            <w:top w:val="none" w:sz="0" w:space="0" w:color="auto"/>
                            <w:left w:val="none" w:sz="0" w:space="0" w:color="auto"/>
                            <w:bottom w:val="none" w:sz="0" w:space="0" w:color="auto"/>
                            <w:right w:val="none" w:sz="0" w:space="0" w:color="auto"/>
                          </w:divBdr>
                          <w:divsChild>
                            <w:div w:id="312030906">
                              <w:marLeft w:val="0"/>
                              <w:marRight w:val="0"/>
                              <w:marTop w:val="4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07088">
      <w:bodyDiv w:val="1"/>
      <w:marLeft w:val="0"/>
      <w:marRight w:val="0"/>
      <w:marTop w:val="0"/>
      <w:marBottom w:val="0"/>
      <w:divBdr>
        <w:top w:val="none" w:sz="0" w:space="0" w:color="auto"/>
        <w:left w:val="none" w:sz="0" w:space="0" w:color="auto"/>
        <w:bottom w:val="none" w:sz="0" w:space="0" w:color="auto"/>
        <w:right w:val="none" w:sz="0" w:space="0" w:color="auto"/>
      </w:divBdr>
      <w:divsChild>
        <w:div w:id="895816823">
          <w:marLeft w:val="0"/>
          <w:marRight w:val="0"/>
          <w:marTop w:val="0"/>
          <w:marBottom w:val="0"/>
          <w:divBdr>
            <w:top w:val="none" w:sz="0" w:space="0" w:color="auto"/>
            <w:left w:val="none" w:sz="0" w:space="0" w:color="auto"/>
            <w:bottom w:val="none" w:sz="0" w:space="0" w:color="auto"/>
            <w:right w:val="none" w:sz="0" w:space="0" w:color="auto"/>
          </w:divBdr>
          <w:divsChild>
            <w:div w:id="1171868298">
              <w:marLeft w:val="0"/>
              <w:marRight w:val="0"/>
              <w:marTop w:val="0"/>
              <w:marBottom w:val="0"/>
              <w:divBdr>
                <w:top w:val="none" w:sz="0" w:space="0" w:color="auto"/>
                <w:left w:val="none" w:sz="0" w:space="0" w:color="auto"/>
                <w:bottom w:val="none" w:sz="0" w:space="0" w:color="auto"/>
                <w:right w:val="none" w:sz="0" w:space="0" w:color="auto"/>
              </w:divBdr>
              <w:divsChild>
                <w:div w:id="431511593">
                  <w:marLeft w:val="-218"/>
                  <w:marRight w:val="0"/>
                  <w:marTop w:val="0"/>
                  <w:marBottom w:val="0"/>
                  <w:divBdr>
                    <w:top w:val="none" w:sz="0" w:space="0" w:color="auto"/>
                    <w:left w:val="none" w:sz="0" w:space="0" w:color="auto"/>
                    <w:bottom w:val="none" w:sz="0" w:space="0" w:color="auto"/>
                    <w:right w:val="none" w:sz="0" w:space="0" w:color="auto"/>
                  </w:divBdr>
                  <w:divsChild>
                    <w:div w:id="600340869">
                      <w:marLeft w:val="0"/>
                      <w:marRight w:val="0"/>
                      <w:marTop w:val="0"/>
                      <w:marBottom w:val="0"/>
                      <w:divBdr>
                        <w:top w:val="none" w:sz="0" w:space="0" w:color="auto"/>
                        <w:left w:val="none" w:sz="0" w:space="0" w:color="auto"/>
                        <w:bottom w:val="none" w:sz="0" w:space="0" w:color="auto"/>
                        <w:right w:val="none" w:sz="0" w:space="0" w:color="auto"/>
                      </w:divBdr>
                      <w:divsChild>
                        <w:div w:id="1701542791">
                          <w:marLeft w:val="0"/>
                          <w:marRight w:val="0"/>
                          <w:marTop w:val="0"/>
                          <w:marBottom w:val="0"/>
                          <w:divBdr>
                            <w:top w:val="none" w:sz="0" w:space="0" w:color="auto"/>
                            <w:left w:val="none" w:sz="0" w:space="0" w:color="auto"/>
                            <w:bottom w:val="none" w:sz="0" w:space="0" w:color="auto"/>
                            <w:right w:val="none" w:sz="0" w:space="0" w:color="auto"/>
                          </w:divBdr>
                          <w:divsChild>
                            <w:div w:id="115024564">
                              <w:marLeft w:val="0"/>
                              <w:marRight w:val="0"/>
                              <w:marTop w:val="0"/>
                              <w:marBottom w:val="218"/>
                              <w:divBdr>
                                <w:top w:val="none" w:sz="0" w:space="0" w:color="auto"/>
                                <w:left w:val="none" w:sz="0" w:space="0" w:color="auto"/>
                                <w:bottom w:val="none" w:sz="0" w:space="0" w:color="auto"/>
                                <w:right w:val="none" w:sz="0" w:space="0" w:color="auto"/>
                              </w:divBdr>
                              <w:divsChild>
                                <w:div w:id="1005018642">
                                  <w:marLeft w:val="0"/>
                                  <w:marRight w:val="0"/>
                                  <w:marTop w:val="0"/>
                                  <w:marBottom w:val="0"/>
                                  <w:divBdr>
                                    <w:top w:val="none" w:sz="0" w:space="0" w:color="auto"/>
                                    <w:left w:val="none" w:sz="0" w:space="0" w:color="auto"/>
                                    <w:bottom w:val="none" w:sz="0" w:space="0" w:color="auto"/>
                                    <w:right w:val="none" w:sz="0" w:space="0" w:color="auto"/>
                                  </w:divBdr>
                                  <w:divsChild>
                                    <w:div w:id="1325427888">
                                      <w:marLeft w:val="0"/>
                                      <w:marRight w:val="0"/>
                                      <w:marTop w:val="0"/>
                                      <w:marBottom w:val="0"/>
                                      <w:divBdr>
                                        <w:top w:val="none" w:sz="0" w:space="0" w:color="auto"/>
                                        <w:left w:val="none" w:sz="0" w:space="0" w:color="auto"/>
                                        <w:bottom w:val="none" w:sz="0" w:space="0" w:color="auto"/>
                                        <w:right w:val="none" w:sz="0" w:space="0" w:color="auto"/>
                                      </w:divBdr>
                                      <w:divsChild>
                                        <w:div w:id="16388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744443">
      <w:bodyDiv w:val="1"/>
      <w:marLeft w:val="0"/>
      <w:marRight w:val="0"/>
      <w:marTop w:val="0"/>
      <w:marBottom w:val="0"/>
      <w:divBdr>
        <w:top w:val="none" w:sz="0" w:space="0" w:color="auto"/>
        <w:left w:val="none" w:sz="0" w:space="0" w:color="auto"/>
        <w:bottom w:val="none" w:sz="0" w:space="0" w:color="auto"/>
        <w:right w:val="none" w:sz="0" w:space="0" w:color="auto"/>
      </w:divBdr>
      <w:divsChild>
        <w:div w:id="1904556897">
          <w:marLeft w:val="0"/>
          <w:marRight w:val="0"/>
          <w:marTop w:val="0"/>
          <w:marBottom w:val="0"/>
          <w:divBdr>
            <w:top w:val="none" w:sz="0" w:space="0" w:color="auto"/>
            <w:left w:val="none" w:sz="0" w:space="0" w:color="auto"/>
            <w:bottom w:val="none" w:sz="0" w:space="0" w:color="auto"/>
            <w:right w:val="none" w:sz="0" w:space="0" w:color="auto"/>
          </w:divBdr>
          <w:divsChild>
            <w:div w:id="82185990">
              <w:marLeft w:val="0"/>
              <w:marRight w:val="0"/>
              <w:marTop w:val="0"/>
              <w:marBottom w:val="0"/>
              <w:divBdr>
                <w:top w:val="none" w:sz="0" w:space="0" w:color="auto"/>
                <w:left w:val="none" w:sz="0" w:space="0" w:color="auto"/>
                <w:bottom w:val="none" w:sz="0" w:space="0" w:color="auto"/>
                <w:right w:val="none" w:sz="0" w:space="0" w:color="auto"/>
              </w:divBdr>
              <w:divsChild>
                <w:div w:id="441415125">
                  <w:marLeft w:val="-218"/>
                  <w:marRight w:val="0"/>
                  <w:marTop w:val="0"/>
                  <w:marBottom w:val="0"/>
                  <w:divBdr>
                    <w:top w:val="none" w:sz="0" w:space="0" w:color="auto"/>
                    <w:left w:val="none" w:sz="0" w:space="0" w:color="auto"/>
                    <w:bottom w:val="none" w:sz="0" w:space="0" w:color="auto"/>
                    <w:right w:val="none" w:sz="0" w:space="0" w:color="auto"/>
                  </w:divBdr>
                  <w:divsChild>
                    <w:div w:id="1720204256">
                      <w:marLeft w:val="0"/>
                      <w:marRight w:val="0"/>
                      <w:marTop w:val="0"/>
                      <w:marBottom w:val="0"/>
                      <w:divBdr>
                        <w:top w:val="none" w:sz="0" w:space="0" w:color="auto"/>
                        <w:left w:val="none" w:sz="0" w:space="0" w:color="auto"/>
                        <w:bottom w:val="none" w:sz="0" w:space="0" w:color="auto"/>
                        <w:right w:val="none" w:sz="0" w:space="0" w:color="auto"/>
                      </w:divBdr>
                      <w:divsChild>
                        <w:div w:id="2005475540">
                          <w:marLeft w:val="0"/>
                          <w:marRight w:val="0"/>
                          <w:marTop w:val="0"/>
                          <w:marBottom w:val="0"/>
                          <w:divBdr>
                            <w:top w:val="none" w:sz="0" w:space="0" w:color="auto"/>
                            <w:left w:val="none" w:sz="0" w:space="0" w:color="auto"/>
                            <w:bottom w:val="none" w:sz="0" w:space="0" w:color="auto"/>
                            <w:right w:val="none" w:sz="0" w:space="0" w:color="auto"/>
                          </w:divBdr>
                          <w:divsChild>
                            <w:div w:id="616716080">
                              <w:marLeft w:val="0"/>
                              <w:marRight w:val="0"/>
                              <w:marTop w:val="0"/>
                              <w:marBottom w:val="218"/>
                              <w:divBdr>
                                <w:top w:val="none" w:sz="0" w:space="0" w:color="auto"/>
                                <w:left w:val="none" w:sz="0" w:space="0" w:color="auto"/>
                                <w:bottom w:val="none" w:sz="0" w:space="0" w:color="auto"/>
                                <w:right w:val="none" w:sz="0" w:space="0" w:color="auto"/>
                              </w:divBdr>
                              <w:divsChild>
                                <w:div w:id="522978452">
                                  <w:marLeft w:val="0"/>
                                  <w:marRight w:val="0"/>
                                  <w:marTop w:val="0"/>
                                  <w:marBottom w:val="0"/>
                                  <w:divBdr>
                                    <w:top w:val="none" w:sz="0" w:space="0" w:color="auto"/>
                                    <w:left w:val="none" w:sz="0" w:space="0" w:color="auto"/>
                                    <w:bottom w:val="none" w:sz="0" w:space="0" w:color="auto"/>
                                    <w:right w:val="none" w:sz="0" w:space="0" w:color="auto"/>
                                  </w:divBdr>
                                  <w:divsChild>
                                    <w:div w:id="724839761">
                                      <w:marLeft w:val="0"/>
                                      <w:marRight w:val="0"/>
                                      <w:marTop w:val="0"/>
                                      <w:marBottom w:val="0"/>
                                      <w:divBdr>
                                        <w:top w:val="none" w:sz="0" w:space="0" w:color="auto"/>
                                        <w:left w:val="none" w:sz="0" w:space="0" w:color="auto"/>
                                        <w:bottom w:val="none" w:sz="0" w:space="0" w:color="auto"/>
                                        <w:right w:val="none" w:sz="0" w:space="0" w:color="auto"/>
                                      </w:divBdr>
                                      <w:divsChild>
                                        <w:div w:id="5920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119933">
      <w:bodyDiv w:val="1"/>
      <w:marLeft w:val="0"/>
      <w:marRight w:val="0"/>
      <w:marTop w:val="0"/>
      <w:marBottom w:val="0"/>
      <w:divBdr>
        <w:top w:val="none" w:sz="0" w:space="0" w:color="auto"/>
        <w:left w:val="none" w:sz="0" w:space="0" w:color="auto"/>
        <w:bottom w:val="none" w:sz="0" w:space="0" w:color="auto"/>
        <w:right w:val="none" w:sz="0" w:space="0" w:color="auto"/>
      </w:divBdr>
      <w:divsChild>
        <w:div w:id="2004970327">
          <w:marLeft w:val="0"/>
          <w:marRight w:val="0"/>
          <w:marTop w:val="0"/>
          <w:marBottom w:val="0"/>
          <w:divBdr>
            <w:top w:val="none" w:sz="0" w:space="0" w:color="auto"/>
            <w:left w:val="none" w:sz="0" w:space="0" w:color="auto"/>
            <w:bottom w:val="none" w:sz="0" w:space="0" w:color="auto"/>
            <w:right w:val="none" w:sz="0" w:space="0" w:color="auto"/>
          </w:divBdr>
          <w:divsChild>
            <w:div w:id="177278046">
              <w:marLeft w:val="0"/>
              <w:marRight w:val="0"/>
              <w:marTop w:val="0"/>
              <w:marBottom w:val="0"/>
              <w:divBdr>
                <w:top w:val="none" w:sz="0" w:space="0" w:color="auto"/>
                <w:left w:val="none" w:sz="0" w:space="0" w:color="auto"/>
                <w:bottom w:val="none" w:sz="0" w:space="0" w:color="auto"/>
                <w:right w:val="none" w:sz="0" w:space="0" w:color="auto"/>
              </w:divBdr>
              <w:divsChild>
                <w:div w:id="1346907930">
                  <w:marLeft w:val="-218"/>
                  <w:marRight w:val="0"/>
                  <w:marTop w:val="0"/>
                  <w:marBottom w:val="0"/>
                  <w:divBdr>
                    <w:top w:val="none" w:sz="0" w:space="0" w:color="auto"/>
                    <w:left w:val="none" w:sz="0" w:space="0" w:color="auto"/>
                    <w:bottom w:val="none" w:sz="0" w:space="0" w:color="auto"/>
                    <w:right w:val="none" w:sz="0" w:space="0" w:color="auto"/>
                  </w:divBdr>
                  <w:divsChild>
                    <w:div w:id="136998121">
                      <w:marLeft w:val="0"/>
                      <w:marRight w:val="0"/>
                      <w:marTop w:val="0"/>
                      <w:marBottom w:val="0"/>
                      <w:divBdr>
                        <w:top w:val="none" w:sz="0" w:space="0" w:color="auto"/>
                        <w:left w:val="none" w:sz="0" w:space="0" w:color="auto"/>
                        <w:bottom w:val="none" w:sz="0" w:space="0" w:color="auto"/>
                        <w:right w:val="none" w:sz="0" w:space="0" w:color="auto"/>
                      </w:divBdr>
                      <w:divsChild>
                        <w:div w:id="229927613">
                          <w:marLeft w:val="0"/>
                          <w:marRight w:val="0"/>
                          <w:marTop w:val="0"/>
                          <w:marBottom w:val="0"/>
                          <w:divBdr>
                            <w:top w:val="none" w:sz="0" w:space="0" w:color="auto"/>
                            <w:left w:val="none" w:sz="0" w:space="0" w:color="auto"/>
                            <w:bottom w:val="none" w:sz="0" w:space="0" w:color="auto"/>
                            <w:right w:val="none" w:sz="0" w:space="0" w:color="auto"/>
                          </w:divBdr>
                          <w:divsChild>
                            <w:div w:id="1415667472">
                              <w:marLeft w:val="0"/>
                              <w:marRight w:val="0"/>
                              <w:marTop w:val="0"/>
                              <w:marBottom w:val="218"/>
                              <w:divBdr>
                                <w:top w:val="none" w:sz="0" w:space="0" w:color="auto"/>
                                <w:left w:val="none" w:sz="0" w:space="0" w:color="auto"/>
                                <w:bottom w:val="none" w:sz="0" w:space="0" w:color="auto"/>
                                <w:right w:val="none" w:sz="0" w:space="0" w:color="auto"/>
                              </w:divBdr>
                              <w:divsChild>
                                <w:div w:id="1075083018">
                                  <w:marLeft w:val="-218"/>
                                  <w:marRight w:val="0"/>
                                  <w:marTop w:val="0"/>
                                  <w:marBottom w:val="0"/>
                                  <w:divBdr>
                                    <w:top w:val="none" w:sz="0" w:space="0" w:color="auto"/>
                                    <w:left w:val="none" w:sz="0" w:space="0" w:color="auto"/>
                                    <w:bottom w:val="none" w:sz="0" w:space="0" w:color="auto"/>
                                    <w:right w:val="none" w:sz="0" w:space="0" w:color="auto"/>
                                  </w:divBdr>
                                  <w:divsChild>
                                    <w:div w:id="703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989152">
      <w:bodyDiv w:val="1"/>
      <w:marLeft w:val="0"/>
      <w:marRight w:val="0"/>
      <w:marTop w:val="0"/>
      <w:marBottom w:val="0"/>
      <w:divBdr>
        <w:top w:val="none" w:sz="0" w:space="0" w:color="auto"/>
        <w:left w:val="none" w:sz="0" w:space="0" w:color="auto"/>
        <w:bottom w:val="none" w:sz="0" w:space="0" w:color="auto"/>
        <w:right w:val="none" w:sz="0" w:space="0" w:color="auto"/>
      </w:divBdr>
      <w:divsChild>
        <w:div w:id="1434009359">
          <w:marLeft w:val="0"/>
          <w:marRight w:val="0"/>
          <w:marTop w:val="0"/>
          <w:marBottom w:val="0"/>
          <w:divBdr>
            <w:top w:val="none" w:sz="0" w:space="0" w:color="auto"/>
            <w:left w:val="none" w:sz="0" w:space="0" w:color="auto"/>
            <w:bottom w:val="none" w:sz="0" w:space="0" w:color="auto"/>
            <w:right w:val="none" w:sz="0" w:space="0" w:color="auto"/>
          </w:divBdr>
          <w:divsChild>
            <w:div w:id="1473526480">
              <w:marLeft w:val="0"/>
              <w:marRight w:val="0"/>
              <w:marTop w:val="0"/>
              <w:marBottom w:val="0"/>
              <w:divBdr>
                <w:top w:val="single" w:sz="2" w:space="0" w:color="CCCCCC"/>
                <w:left w:val="single" w:sz="2" w:space="0" w:color="CCCCCC"/>
                <w:bottom w:val="single" w:sz="2" w:space="0" w:color="CCCCCC"/>
                <w:right w:val="single" w:sz="2" w:space="0" w:color="CCCCCC"/>
              </w:divBdr>
              <w:divsChild>
                <w:div w:id="1724402689">
                  <w:marLeft w:val="0"/>
                  <w:marRight w:val="0"/>
                  <w:marTop w:val="0"/>
                  <w:marBottom w:val="0"/>
                  <w:divBdr>
                    <w:top w:val="none" w:sz="0" w:space="0" w:color="auto"/>
                    <w:left w:val="none" w:sz="0" w:space="0" w:color="auto"/>
                    <w:bottom w:val="none" w:sz="0" w:space="0" w:color="auto"/>
                    <w:right w:val="none" w:sz="0" w:space="0" w:color="auto"/>
                  </w:divBdr>
                  <w:divsChild>
                    <w:div w:id="583491513">
                      <w:marLeft w:val="0"/>
                      <w:marRight w:val="0"/>
                      <w:marTop w:val="0"/>
                      <w:marBottom w:val="0"/>
                      <w:divBdr>
                        <w:top w:val="none" w:sz="0" w:space="0" w:color="auto"/>
                        <w:left w:val="none" w:sz="0" w:space="0" w:color="auto"/>
                        <w:bottom w:val="none" w:sz="0" w:space="0" w:color="auto"/>
                        <w:right w:val="none" w:sz="0" w:space="0" w:color="auto"/>
                      </w:divBdr>
                      <w:divsChild>
                        <w:div w:id="20003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58001">
      <w:bodyDiv w:val="1"/>
      <w:marLeft w:val="0"/>
      <w:marRight w:val="0"/>
      <w:marTop w:val="0"/>
      <w:marBottom w:val="0"/>
      <w:divBdr>
        <w:top w:val="none" w:sz="0" w:space="0" w:color="auto"/>
        <w:left w:val="none" w:sz="0" w:space="0" w:color="auto"/>
        <w:bottom w:val="none" w:sz="0" w:space="0" w:color="auto"/>
        <w:right w:val="none" w:sz="0" w:space="0" w:color="auto"/>
      </w:divBdr>
    </w:div>
    <w:div w:id="1065879479">
      <w:bodyDiv w:val="1"/>
      <w:marLeft w:val="0"/>
      <w:marRight w:val="0"/>
      <w:marTop w:val="0"/>
      <w:marBottom w:val="0"/>
      <w:divBdr>
        <w:top w:val="none" w:sz="0" w:space="0" w:color="auto"/>
        <w:left w:val="none" w:sz="0" w:space="0" w:color="auto"/>
        <w:bottom w:val="none" w:sz="0" w:space="0" w:color="auto"/>
        <w:right w:val="none" w:sz="0" w:space="0" w:color="auto"/>
      </w:divBdr>
      <w:divsChild>
        <w:div w:id="653530358">
          <w:marLeft w:val="0"/>
          <w:marRight w:val="0"/>
          <w:marTop w:val="0"/>
          <w:marBottom w:val="0"/>
          <w:divBdr>
            <w:top w:val="none" w:sz="0" w:space="0" w:color="auto"/>
            <w:left w:val="none" w:sz="0" w:space="0" w:color="auto"/>
            <w:bottom w:val="none" w:sz="0" w:space="0" w:color="auto"/>
            <w:right w:val="none" w:sz="0" w:space="0" w:color="auto"/>
          </w:divBdr>
          <w:divsChild>
            <w:div w:id="626401136">
              <w:marLeft w:val="0"/>
              <w:marRight w:val="0"/>
              <w:marTop w:val="0"/>
              <w:marBottom w:val="0"/>
              <w:divBdr>
                <w:top w:val="none" w:sz="0" w:space="0" w:color="auto"/>
                <w:left w:val="none" w:sz="0" w:space="0" w:color="auto"/>
                <w:bottom w:val="none" w:sz="0" w:space="0" w:color="auto"/>
                <w:right w:val="none" w:sz="0" w:space="0" w:color="auto"/>
              </w:divBdr>
              <w:divsChild>
                <w:div w:id="533036182">
                  <w:marLeft w:val="-218"/>
                  <w:marRight w:val="0"/>
                  <w:marTop w:val="0"/>
                  <w:marBottom w:val="0"/>
                  <w:divBdr>
                    <w:top w:val="none" w:sz="0" w:space="0" w:color="auto"/>
                    <w:left w:val="none" w:sz="0" w:space="0" w:color="auto"/>
                    <w:bottom w:val="none" w:sz="0" w:space="0" w:color="auto"/>
                    <w:right w:val="none" w:sz="0" w:space="0" w:color="auto"/>
                  </w:divBdr>
                  <w:divsChild>
                    <w:div w:id="1673486931">
                      <w:marLeft w:val="0"/>
                      <w:marRight w:val="0"/>
                      <w:marTop w:val="0"/>
                      <w:marBottom w:val="0"/>
                      <w:divBdr>
                        <w:top w:val="none" w:sz="0" w:space="0" w:color="auto"/>
                        <w:left w:val="none" w:sz="0" w:space="0" w:color="auto"/>
                        <w:bottom w:val="none" w:sz="0" w:space="0" w:color="auto"/>
                        <w:right w:val="none" w:sz="0" w:space="0" w:color="auto"/>
                      </w:divBdr>
                      <w:divsChild>
                        <w:div w:id="1634557547">
                          <w:marLeft w:val="0"/>
                          <w:marRight w:val="0"/>
                          <w:marTop w:val="0"/>
                          <w:marBottom w:val="0"/>
                          <w:divBdr>
                            <w:top w:val="none" w:sz="0" w:space="0" w:color="auto"/>
                            <w:left w:val="none" w:sz="0" w:space="0" w:color="auto"/>
                            <w:bottom w:val="none" w:sz="0" w:space="0" w:color="auto"/>
                            <w:right w:val="none" w:sz="0" w:space="0" w:color="auto"/>
                          </w:divBdr>
                          <w:divsChild>
                            <w:div w:id="136922506">
                              <w:marLeft w:val="0"/>
                              <w:marRight w:val="0"/>
                              <w:marTop w:val="0"/>
                              <w:marBottom w:val="218"/>
                              <w:divBdr>
                                <w:top w:val="none" w:sz="0" w:space="0" w:color="auto"/>
                                <w:left w:val="none" w:sz="0" w:space="0" w:color="auto"/>
                                <w:bottom w:val="none" w:sz="0" w:space="0" w:color="auto"/>
                                <w:right w:val="none" w:sz="0" w:space="0" w:color="auto"/>
                              </w:divBdr>
                              <w:divsChild>
                                <w:div w:id="2145081083">
                                  <w:marLeft w:val="0"/>
                                  <w:marRight w:val="0"/>
                                  <w:marTop w:val="0"/>
                                  <w:marBottom w:val="0"/>
                                  <w:divBdr>
                                    <w:top w:val="none" w:sz="0" w:space="0" w:color="auto"/>
                                    <w:left w:val="none" w:sz="0" w:space="0" w:color="auto"/>
                                    <w:bottom w:val="none" w:sz="0" w:space="0" w:color="auto"/>
                                    <w:right w:val="none" w:sz="0" w:space="0" w:color="auto"/>
                                  </w:divBdr>
                                  <w:divsChild>
                                    <w:div w:id="1033120284">
                                      <w:marLeft w:val="0"/>
                                      <w:marRight w:val="0"/>
                                      <w:marTop w:val="0"/>
                                      <w:marBottom w:val="0"/>
                                      <w:divBdr>
                                        <w:top w:val="none" w:sz="0" w:space="0" w:color="auto"/>
                                        <w:left w:val="none" w:sz="0" w:space="0" w:color="auto"/>
                                        <w:bottom w:val="none" w:sz="0" w:space="0" w:color="auto"/>
                                        <w:right w:val="none" w:sz="0" w:space="0" w:color="auto"/>
                                      </w:divBdr>
                                      <w:divsChild>
                                        <w:div w:id="19037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27511">
      <w:bodyDiv w:val="1"/>
      <w:marLeft w:val="0"/>
      <w:marRight w:val="0"/>
      <w:marTop w:val="0"/>
      <w:marBottom w:val="0"/>
      <w:divBdr>
        <w:top w:val="none" w:sz="0" w:space="0" w:color="auto"/>
        <w:left w:val="none" w:sz="0" w:space="0" w:color="auto"/>
        <w:bottom w:val="none" w:sz="0" w:space="0" w:color="auto"/>
        <w:right w:val="none" w:sz="0" w:space="0" w:color="auto"/>
      </w:divBdr>
      <w:divsChild>
        <w:div w:id="1160922108">
          <w:marLeft w:val="0"/>
          <w:marRight w:val="0"/>
          <w:marTop w:val="0"/>
          <w:marBottom w:val="0"/>
          <w:divBdr>
            <w:top w:val="none" w:sz="0" w:space="0" w:color="auto"/>
            <w:left w:val="none" w:sz="0" w:space="0" w:color="auto"/>
            <w:bottom w:val="none" w:sz="0" w:space="0" w:color="auto"/>
            <w:right w:val="none" w:sz="0" w:space="0" w:color="auto"/>
          </w:divBdr>
          <w:divsChild>
            <w:div w:id="1673409077">
              <w:marLeft w:val="0"/>
              <w:marRight w:val="0"/>
              <w:marTop w:val="0"/>
              <w:marBottom w:val="0"/>
              <w:divBdr>
                <w:top w:val="single" w:sz="2" w:space="0" w:color="CCCCCC"/>
                <w:left w:val="single" w:sz="2" w:space="0" w:color="CCCCCC"/>
                <w:bottom w:val="single" w:sz="2" w:space="0" w:color="CCCCCC"/>
                <w:right w:val="single" w:sz="2" w:space="0" w:color="CCCCCC"/>
              </w:divBdr>
              <w:divsChild>
                <w:div w:id="857040112">
                  <w:marLeft w:val="0"/>
                  <w:marRight w:val="0"/>
                  <w:marTop w:val="0"/>
                  <w:marBottom w:val="0"/>
                  <w:divBdr>
                    <w:top w:val="none" w:sz="0" w:space="0" w:color="auto"/>
                    <w:left w:val="none" w:sz="0" w:space="0" w:color="auto"/>
                    <w:bottom w:val="none" w:sz="0" w:space="0" w:color="auto"/>
                    <w:right w:val="none" w:sz="0" w:space="0" w:color="auto"/>
                  </w:divBdr>
                  <w:divsChild>
                    <w:div w:id="1334458673">
                      <w:marLeft w:val="0"/>
                      <w:marRight w:val="0"/>
                      <w:marTop w:val="0"/>
                      <w:marBottom w:val="0"/>
                      <w:divBdr>
                        <w:top w:val="none" w:sz="0" w:space="0" w:color="auto"/>
                        <w:left w:val="none" w:sz="0" w:space="0" w:color="auto"/>
                        <w:bottom w:val="none" w:sz="0" w:space="0" w:color="auto"/>
                        <w:right w:val="none" w:sz="0" w:space="0" w:color="auto"/>
                      </w:divBdr>
                      <w:divsChild>
                        <w:div w:id="900755859">
                          <w:marLeft w:val="0"/>
                          <w:marRight w:val="160"/>
                          <w:marTop w:val="0"/>
                          <w:marBottom w:val="0"/>
                          <w:divBdr>
                            <w:top w:val="none" w:sz="0" w:space="0" w:color="auto"/>
                            <w:left w:val="none" w:sz="0" w:space="0" w:color="auto"/>
                            <w:bottom w:val="none" w:sz="0" w:space="0" w:color="auto"/>
                            <w:right w:val="none" w:sz="0" w:space="0" w:color="auto"/>
                          </w:divBdr>
                          <w:divsChild>
                            <w:div w:id="7335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028349">
      <w:bodyDiv w:val="1"/>
      <w:marLeft w:val="0"/>
      <w:marRight w:val="0"/>
      <w:marTop w:val="0"/>
      <w:marBottom w:val="0"/>
      <w:divBdr>
        <w:top w:val="none" w:sz="0" w:space="0" w:color="auto"/>
        <w:left w:val="none" w:sz="0" w:space="0" w:color="auto"/>
        <w:bottom w:val="none" w:sz="0" w:space="0" w:color="auto"/>
        <w:right w:val="none" w:sz="0" w:space="0" w:color="auto"/>
      </w:divBdr>
      <w:divsChild>
        <w:div w:id="233055113">
          <w:marLeft w:val="0"/>
          <w:marRight w:val="0"/>
          <w:marTop w:val="0"/>
          <w:marBottom w:val="0"/>
          <w:divBdr>
            <w:top w:val="none" w:sz="0" w:space="0" w:color="auto"/>
            <w:left w:val="none" w:sz="0" w:space="0" w:color="auto"/>
            <w:bottom w:val="none" w:sz="0" w:space="0" w:color="auto"/>
            <w:right w:val="none" w:sz="0" w:space="0" w:color="auto"/>
          </w:divBdr>
          <w:divsChild>
            <w:div w:id="1332610732">
              <w:marLeft w:val="0"/>
              <w:marRight w:val="0"/>
              <w:marTop w:val="0"/>
              <w:marBottom w:val="0"/>
              <w:divBdr>
                <w:top w:val="single" w:sz="2" w:space="0" w:color="CCCCCC"/>
                <w:left w:val="single" w:sz="2" w:space="0" w:color="CCCCCC"/>
                <w:bottom w:val="single" w:sz="2" w:space="0" w:color="CCCCCC"/>
                <w:right w:val="single" w:sz="2" w:space="0" w:color="CCCCCC"/>
              </w:divBdr>
              <w:divsChild>
                <w:div w:id="170532942">
                  <w:marLeft w:val="0"/>
                  <w:marRight w:val="0"/>
                  <w:marTop w:val="0"/>
                  <w:marBottom w:val="0"/>
                  <w:divBdr>
                    <w:top w:val="none" w:sz="0" w:space="0" w:color="auto"/>
                    <w:left w:val="none" w:sz="0" w:space="0" w:color="auto"/>
                    <w:bottom w:val="none" w:sz="0" w:space="0" w:color="auto"/>
                    <w:right w:val="none" w:sz="0" w:space="0" w:color="auto"/>
                  </w:divBdr>
                  <w:divsChild>
                    <w:div w:id="1459640797">
                      <w:marLeft w:val="0"/>
                      <w:marRight w:val="0"/>
                      <w:marTop w:val="0"/>
                      <w:marBottom w:val="0"/>
                      <w:divBdr>
                        <w:top w:val="none" w:sz="0" w:space="0" w:color="auto"/>
                        <w:left w:val="none" w:sz="0" w:space="0" w:color="auto"/>
                        <w:bottom w:val="none" w:sz="0" w:space="0" w:color="auto"/>
                        <w:right w:val="none" w:sz="0" w:space="0" w:color="auto"/>
                      </w:divBdr>
                      <w:divsChild>
                        <w:div w:id="70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885489">
      <w:bodyDiv w:val="1"/>
      <w:marLeft w:val="0"/>
      <w:marRight w:val="0"/>
      <w:marTop w:val="0"/>
      <w:marBottom w:val="0"/>
      <w:divBdr>
        <w:top w:val="none" w:sz="0" w:space="0" w:color="auto"/>
        <w:left w:val="none" w:sz="0" w:space="0" w:color="auto"/>
        <w:bottom w:val="none" w:sz="0" w:space="0" w:color="auto"/>
        <w:right w:val="none" w:sz="0" w:space="0" w:color="auto"/>
      </w:divBdr>
    </w:div>
    <w:div w:id="1310357483">
      <w:bodyDiv w:val="1"/>
      <w:marLeft w:val="0"/>
      <w:marRight w:val="0"/>
      <w:marTop w:val="0"/>
      <w:marBottom w:val="0"/>
      <w:divBdr>
        <w:top w:val="none" w:sz="0" w:space="0" w:color="auto"/>
        <w:left w:val="none" w:sz="0" w:space="0" w:color="auto"/>
        <w:bottom w:val="none" w:sz="0" w:space="0" w:color="auto"/>
        <w:right w:val="none" w:sz="0" w:space="0" w:color="auto"/>
      </w:divBdr>
      <w:divsChild>
        <w:div w:id="1626543978">
          <w:marLeft w:val="0"/>
          <w:marRight w:val="0"/>
          <w:marTop w:val="0"/>
          <w:marBottom w:val="0"/>
          <w:divBdr>
            <w:top w:val="none" w:sz="0" w:space="0" w:color="auto"/>
            <w:left w:val="none" w:sz="0" w:space="0" w:color="auto"/>
            <w:bottom w:val="none" w:sz="0" w:space="0" w:color="auto"/>
            <w:right w:val="none" w:sz="0" w:space="0" w:color="auto"/>
          </w:divBdr>
          <w:divsChild>
            <w:div w:id="205220861">
              <w:marLeft w:val="0"/>
              <w:marRight w:val="0"/>
              <w:marTop w:val="0"/>
              <w:marBottom w:val="0"/>
              <w:divBdr>
                <w:top w:val="none" w:sz="0" w:space="0" w:color="auto"/>
                <w:left w:val="none" w:sz="0" w:space="0" w:color="auto"/>
                <w:bottom w:val="none" w:sz="0" w:space="0" w:color="auto"/>
                <w:right w:val="none" w:sz="0" w:space="0" w:color="auto"/>
              </w:divBdr>
              <w:divsChild>
                <w:div w:id="1625649494">
                  <w:marLeft w:val="-218"/>
                  <w:marRight w:val="0"/>
                  <w:marTop w:val="0"/>
                  <w:marBottom w:val="0"/>
                  <w:divBdr>
                    <w:top w:val="none" w:sz="0" w:space="0" w:color="auto"/>
                    <w:left w:val="none" w:sz="0" w:space="0" w:color="auto"/>
                    <w:bottom w:val="none" w:sz="0" w:space="0" w:color="auto"/>
                    <w:right w:val="none" w:sz="0" w:space="0" w:color="auto"/>
                  </w:divBdr>
                  <w:divsChild>
                    <w:div w:id="1578901735">
                      <w:marLeft w:val="0"/>
                      <w:marRight w:val="0"/>
                      <w:marTop w:val="0"/>
                      <w:marBottom w:val="0"/>
                      <w:divBdr>
                        <w:top w:val="none" w:sz="0" w:space="0" w:color="auto"/>
                        <w:left w:val="none" w:sz="0" w:space="0" w:color="auto"/>
                        <w:bottom w:val="none" w:sz="0" w:space="0" w:color="auto"/>
                        <w:right w:val="none" w:sz="0" w:space="0" w:color="auto"/>
                      </w:divBdr>
                      <w:divsChild>
                        <w:div w:id="1578435887">
                          <w:marLeft w:val="0"/>
                          <w:marRight w:val="0"/>
                          <w:marTop w:val="0"/>
                          <w:marBottom w:val="0"/>
                          <w:divBdr>
                            <w:top w:val="none" w:sz="0" w:space="0" w:color="auto"/>
                            <w:left w:val="none" w:sz="0" w:space="0" w:color="auto"/>
                            <w:bottom w:val="none" w:sz="0" w:space="0" w:color="auto"/>
                            <w:right w:val="none" w:sz="0" w:space="0" w:color="auto"/>
                          </w:divBdr>
                          <w:divsChild>
                            <w:div w:id="1648365068">
                              <w:marLeft w:val="0"/>
                              <w:marRight w:val="0"/>
                              <w:marTop w:val="0"/>
                              <w:marBottom w:val="218"/>
                              <w:divBdr>
                                <w:top w:val="none" w:sz="0" w:space="0" w:color="auto"/>
                                <w:left w:val="none" w:sz="0" w:space="0" w:color="auto"/>
                                <w:bottom w:val="none" w:sz="0" w:space="0" w:color="auto"/>
                                <w:right w:val="none" w:sz="0" w:space="0" w:color="auto"/>
                              </w:divBdr>
                              <w:divsChild>
                                <w:div w:id="1382364506">
                                  <w:marLeft w:val="0"/>
                                  <w:marRight w:val="0"/>
                                  <w:marTop w:val="0"/>
                                  <w:marBottom w:val="0"/>
                                  <w:divBdr>
                                    <w:top w:val="single" w:sz="4" w:space="0" w:color="F1F1F1"/>
                                    <w:left w:val="single" w:sz="4" w:space="0" w:color="F1F1F1"/>
                                    <w:bottom w:val="single" w:sz="4" w:space="0" w:color="F1F1F1"/>
                                    <w:right w:val="single" w:sz="4" w:space="0" w:color="F1F1F1"/>
                                  </w:divBdr>
                                  <w:divsChild>
                                    <w:div w:id="467355034">
                                      <w:marLeft w:val="0"/>
                                      <w:marRight w:val="0"/>
                                      <w:marTop w:val="0"/>
                                      <w:marBottom w:val="0"/>
                                      <w:divBdr>
                                        <w:top w:val="none" w:sz="0" w:space="0" w:color="auto"/>
                                        <w:left w:val="none" w:sz="0" w:space="0" w:color="auto"/>
                                        <w:bottom w:val="none" w:sz="0" w:space="0" w:color="auto"/>
                                        <w:right w:val="none" w:sz="0" w:space="0" w:color="auto"/>
                                      </w:divBdr>
                                      <w:divsChild>
                                        <w:div w:id="811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950867">
      <w:bodyDiv w:val="1"/>
      <w:marLeft w:val="0"/>
      <w:marRight w:val="0"/>
      <w:marTop w:val="0"/>
      <w:marBottom w:val="0"/>
      <w:divBdr>
        <w:top w:val="none" w:sz="0" w:space="0" w:color="auto"/>
        <w:left w:val="none" w:sz="0" w:space="0" w:color="auto"/>
        <w:bottom w:val="none" w:sz="0" w:space="0" w:color="auto"/>
        <w:right w:val="none" w:sz="0" w:space="0" w:color="auto"/>
      </w:divBdr>
      <w:divsChild>
        <w:div w:id="655038394">
          <w:marLeft w:val="0"/>
          <w:marRight w:val="0"/>
          <w:marTop w:val="0"/>
          <w:marBottom w:val="0"/>
          <w:divBdr>
            <w:top w:val="none" w:sz="0" w:space="0" w:color="auto"/>
            <w:left w:val="none" w:sz="0" w:space="0" w:color="auto"/>
            <w:bottom w:val="none" w:sz="0" w:space="0" w:color="auto"/>
            <w:right w:val="none" w:sz="0" w:space="0" w:color="auto"/>
          </w:divBdr>
          <w:divsChild>
            <w:div w:id="1894347181">
              <w:marLeft w:val="0"/>
              <w:marRight w:val="0"/>
              <w:marTop w:val="0"/>
              <w:marBottom w:val="0"/>
              <w:divBdr>
                <w:top w:val="single" w:sz="2" w:space="0" w:color="CCCCCC"/>
                <w:left w:val="single" w:sz="2" w:space="0" w:color="CCCCCC"/>
                <w:bottom w:val="single" w:sz="2" w:space="0" w:color="CCCCCC"/>
                <w:right w:val="single" w:sz="2" w:space="0" w:color="CCCCCC"/>
              </w:divBdr>
              <w:divsChild>
                <w:div w:id="517504472">
                  <w:marLeft w:val="0"/>
                  <w:marRight w:val="0"/>
                  <w:marTop w:val="0"/>
                  <w:marBottom w:val="0"/>
                  <w:divBdr>
                    <w:top w:val="none" w:sz="0" w:space="0" w:color="auto"/>
                    <w:left w:val="none" w:sz="0" w:space="0" w:color="auto"/>
                    <w:bottom w:val="none" w:sz="0" w:space="0" w:color="auto"/>
                    <w:right w:val="none" w:sz="0" w:space="0" w:color="auto"/>
                  </w:divBdr>
                  <w:divsChild>
                    <w:div w:id="1239361569">
                      <w:marLeft w:val="0"/>
                      <w:marRight w:val="0"/>
                      <w:marTop w:val="0"/>
                      <w:marBottom w:val="0"/>
                      <w:divBdr>
                        <w:top w:val="none" w:sz="0" w:space="0" w:color="auto"/>
                        <w:left w:val="none" w:sz="0" w:space="0" w:color="auto"/>
                        <w:bottom w:val="none" w:sz="0" w:space="0" w:color="auto"/>
                        <w:right w:val="none" w:sz="0" w:space="0" w:color="auto"/>
                      </w:divBdr>
                      <w:divsChild>
                        <w:div w:id="14718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53724">
      <w:bodyDiv w:val="1"/>
      <w:marLeft w:val="0"/>
      <w:marRight w:val="0"/>
      <w:marTop w:val="0"/>
      <w:marBottom w:val="0"/>
      <w:divBdr>
        <w:top w:val="none" w:sz="0" w:space="0" w:color="auto"/>
        <w:left w:val="none" w:sz="0" w:space="0" w:color="auto"/>
        <w:bottom w:val="none" w:sz="0" w:space="0" w:color="auto"/>
        <w:right w:val="none" w:sz="0" w:space="0" w:color="auto"/>
      </w:divBdr>
      <w:divsChild>
        <w:div w:id="1278484331">
          <w:marLeft w:val="0"/>
          <w:marRight w:val="0"/>
          <w:marTop w:val="0"/>
          <w:marBottom w:val="0"/>
          <w:divBdr>
            <w:top w:val="none" w:sz="0" w:space="0" w:color="auto"/>
            <w:left w:val="none" w:sz="0" w:space="0" w:color="auto"/>
            <w:bottom w:val="none" w:sz="0" w:space="0" w:color="auto"/>
            <w:right w:val="none" w:sz="0" w:space="0" w:color="auto"/>
          </w:divBdr>
          <w:divsChild>
            <w:div w:id="2137943520">
              <w:marLeft w:val="0"/>
              <w:marRight w:val="0"/>
              <w:marTop w:val="0"/>
              <w:marBottom w:val="0"/>
              <w:divBdr>
                <w:top w:val="none" w:sz="0" w:space="0" w:color="auto"/>
                <w:left w:val="none" w:sz="0" w:space="0" w:color="auto"/>
                <w:bottom w:val="none" w:sz="0" w:space="0" w:color="auto"/>
                <w:right w:val="none" w:sz="0" w:space="0" w:color="auto"/>
              </w:divBdr>
              <w:divsChild>
                <w:div w:id="275599098">
                  <w:marLeft w:val="-218"/>
                  <w:marRight w:val="0"/>
                  <w:marTop w:val="0"/>
                  <w:marBottom w:val="0"/>
                  <w:divBdr>
                    <w:top w:val="none" w:sz="0" w:space="0" w:color="auto"/>
                    <w:left w:val="none" w:sz="0" w:space="0" w:color="auto"/>
                    <w:bottom w:val="none" w:sz="0" w:space="0" w:color="auto"/>
                    <w:right w:val="none" w:sz="0" w:space="0" w:color="auto"/>
                  </w:divBdr>
                  <w:divsChild>
                    <w:div w:id="1561213456">
                      <w:marLeft w:val="0"/>
                      <w:marRight w:val="0"/>
                      <w:marTop w:val="0"/>
                      <w:marBottom w:val="0"/>
                      <w:divBdr>
                        <w:top w:val="none" w:sz="0" w:space="0" w:color="auto"/>
                        <w:left w:val="none" w:sz="0" w:space="0" w:color="auto"/>
                        <w:bottom w:val="none" w:sz="0" w:space="0" w:color="auto"/>
                        <w:right w:val="none" w:sz="0" w:space="0" w:color="auto"/>
                      </w:divBdr>
                      <w:divsChild>
                        <w:div w:id="1068069852">
                          <w:marLeft w:val="0"/>
                          <w:marRight w:val="0"/>
                          <w:marTop w:val="0"/>
                          <w:marBottom w:val="0"/>
                          <w:divBdr>
                            <w:top w:val="none" w:sz="0" w:space="0" w:color="auto"/>
                            <w:left w:val="none" w:sz="0" w:space="0" w:color="auto"/>
                            <w:bottom w:val="none" w:sz="0" w:space="0" w:color="auto"/>
                            <w:right w:val="none" w:sz="0" w:space="0" w:color="auto"/>
                          </w:divBdr>
                          <w:divsChild>
                            <w:div w:id="27067857">
                              <w:marLeft w:val="0"/>
                              <w:marRight w:val="0"/>
                              <w:marTop w:val="0"/>
                              <w:marBottom w:val="218"/>
                              <w:divBdr>
                                <w:top w:val="none" w:sz="0" w:space="0" w:color="auto"/>
                                <w:left w:val="none" w:sz="0" w:space="0" w:color="auto"/>
                                <w:bottom w:val="none" w:sz="0" w:space="0" w:color="auto"/>
                                <w:right w:val="none" w:sz="0" w:space="0" w:color="auto"/>
                              </w:divBdr>
                              <w:divsChild>
                                <w:div w:id="1034233605">
                                  <w:marLeft w:val="0"/>
                                  <w:marRight w:val="0"/>
                                  <w:marTop w:val="0"/>
                                  <w:marBottom w:val="0"/>
                                  <w:divBdr>
                                    <w:top w:val="none" w:sz="0" w:space="0" w:color="auto"/>
                                    <w:left w:val="none" w:sz="0" w:space="0" w:color="auto"/>
                                    <w:bottom w:val="none" w:sz="0" w:space="0" w:color="auto"/>
                                    <w:right w:val="none" w:sz="0" w:space="0" w:color="auto"/>
                                  </w:divBdr>
                                  <w:divsChild>
                                    <w:div w:id="1673138088">
                                      <w:marLeft w:val="0"/>
                                      <w:marRight w:val="0"/>
                                      <w:marTop w:val="0"/>
                                      <w:marBottom w:val="0"/>
                                      <w:divBdr>
                                        <w:top w:val="none" w:sz="0" w:space="0" w:color="auto"/>
                                        <w:left w:val="none" w:sz="0" w:space="0" w:color="auto"/>
                                        <w:bottom w:val="none" w:sz="0" w:space="0" w:color="auto"/>
                                        <w:right w:val="none" w:sz="0" w:space="0" w:color="auto"/>
                                      </w:divBdr>
                                      <w:divsChild>
                                        <w:div w:id="11009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292481">
      <w:bodyDiv w:val="1"/>
      <w:marLeft w:val="0"/>
      <w:marRight w:val="0"/>
      <w:marTop w:val="0"/>
      <w:marBottom w:val="0"/>
      <w:divBdr>
        <w:top w:val="none" w:sz="0" w:space="0" w:color="auto"/>
        <w:left w:val="none" w:sz="0" w:space="0" w:color="auto"/>
        <w:bottom w:val="none" w:sz="0" w:space="0" w:color="auto"/>
        <w:right w:val="none" w:sz="0" w:space="0" w:color="auto"/>
      </w:divBdr>
      <w:divsChild>
        <w:div w:id="897475056">
          <w:marLeft w:val="0"/>
          <w:marRight w:val="0"/>
          <w:marTop w:val="0"/>
          <w:marBottom w:val="0"/>
          <w:divBdr>
            <w:top w:val="none" w:sz="0" w:space="0" w:color="auto"/>
            <w:left w:val="none" w:sz="0" w:space="0" w:color="auto"/>
            <w:bottom w:val="none" w:sz="0" w:space="0" w:color="auto"/>
            <w:right w:val="none" w:sz="0" w:space="0" w:color="auto"/>
          </w:divBdr>
          <w:divsChild>
            <w:div w:id="326787340">
              <w:marLeft w:val="0"/>
              <w:marRight w:val="0"/>
              <w:marTop w:val="0"/>
              <w:marBottom w:val="0"/>
              <w:divBdr>
                <w:top w:val="none" w:sz="0" w:space="0" w:color="auto"/>
                <w:left w:val="none" w:sz="0" w:space="0" w:color="auto"/>
                <w:bottom w:val="none" w:sz="0" w:space="0" w:color="auto"/>
                <w:right w:val="none" w:sz="0" w:space="0" w:color="auto"/>
              </w:divBdr>
              <w:divsChild>
                <w:div w:id="847866077">
                  <w:marLeft w:val="-218"/>
                  <w:marRight w:val="0"/>
                  <w:marTop w:val="0"/>
                  <w:marBottom w:val="0"/>
                  <w:divBdr>
                    <w:top w:val="none" w:sz="0" w:space="0" w:color="auto"/>
                    <w:left w:val="none" w:sz="0" w:space="0" w:color="auto"/>
                    <w:bottom w:val="none" w:sz="0" w:space="0" w:color="auto"/>
                    <w:right w:val="none" w:sz="0" w:space="0" w:color="auto"/>
                  </w:divBdr>
                  <w:divsChild>
                    <w:div w:id="964821727">
                      <w:marLeft w:val="0"/>
                      <w:marRight w:val="0"/>
                      <w:marTop w:val="0"/>
                      <w:marBottom w:val="0"/>
                      <w:divBdr>
                        <w:top w:val="none" w:sz="0" w:space="0" w:color="auto"/>
                        <w:left w:val="none" w:sz="0" w:space="0" w:color="auto"/>
                        <w:bottom w:val="none" w:sz="0" w:space="0" w:color="auto"/>
                        <w:right w:val="none" w:sz="0" w:space="0" w:color="auto"/>
                      </w:divBdr>
                      <w:divsChild>
                        <w:div w:id="2064326813">
                          <w:marLeft w:val="0"/>
                          <w:marRight w:val="0"/>
                          <w:marTop w:val="0"/>
                          <w:marBottom w:val="0"/>
                          <w:divBdr>
                            <w:top w:val="none" w:sz="0" w:space="0" w:color="auto"/>
                            <w:left w:val="none" w:sz="0" w:space="0" w:color="auto"/>
                            <w:bottom w:val="none" w:sz="0" w:space="0" w:color="auto"/>
                            <w:right w:val="none" w:sz="0" w:space="0" w:color="auto"/>
                          </w:divBdr>
                          <w:divsChild>
                            <w:div w:id="456606151">
                              <w:marLeft w:val="0"/>
                              <w:marRight w:val="0"/>
                              <w:marTop w:val="0"/>
                              <w:marBottom w:val="218"/>
                              <w:divBdr>
                                <w:top w:val="none" w:sz="0" w:space="0" w:color="auto"/>
                                <w:left w:val="none" w:sz="0" w:space="0" w:color="auto"/>
                                <w:bottom w:val="none" w:sz="0" w:space="0" w:color="auto"/>
                                <w:right w:val="none" w:sz="0" w:space="0" w:color="auto"/>
                              </w:divBdr>
                              <w:divsChild>
                                <w:div w:id="375392561">
                                  <w:marLeft w:val="0"/>
                                  <w:marRight w:val="0"/>
                                  <w:marTop w:val="0"/>
                                  <w:marBottom w:val="0"/>
                                  <w:divBdr>
                                    <w:top w:val="none" w:sz="0" w:space="0" w:color="auto"/>
                                    <w:left w:val="none" w:sz="0" w:space="0" w:color="auto"/>
                                    <w:bottom w:val="none" w:sz="0" w:space="0" w:color="auto"/>
                                    <w:right w:val="none" w:sz="0" w:space="0" w:color="auto"/>
                                  </w:divBdr>
                                  <w:divsChild>
                                    <w:div w:id="1401362654">
                                      <w:marLeft w:val="-218"/>
                                      <w:marRight w:val="0"/>
                                      <w:marTop w:val="0"/>
                                      <w:marBottom w:val="0"/>
                                      <w:divBdr>
                                        <w:top w:val="none" w:sz="0" w:space="0" w:color="auto"/>
                                        <w:left w:val="none" w:sz="0" w:space="0" w:color="auto"/>
                                        <w:bottom w:val="none" w:sz="0" w:space="0" w:color="auto"/>
                                        <w:right w:val="none" w:sz="0" w:space="0" w:color="auto"/>
                                      </w:divBdr>
                                      <w:divsChild>
                                        <w:div w:id="325061672">
                                          <w:marLeft w:val="0"/>
                                          <w:marRight w:val="0"/>
                                          <w:marTop w:val="0"/>
                                          <w:marBottom w:val="0"/>
                                          <w:divBdr>
                                            <w:top w:val="none" w:sz="0" w:space="0" w:color="auto"/>
                                            <w:left w:val="none" w:sz="0" w:space="0" w:color="auto"/>
                                            <w:bottom w:val="none" w:sz="0" w:space="0" w:color="auto"/>
                                            <w:right w:val="none" w:sz="0" w:space="0" w:color="auto"/>
                                          </w:divBdr>
                                          <w:divsChild>
                                            <w:div w:id="387608941">
                                              <w:marLeft w:val="0"/>
                                              <w:marRight w:val="0"/>
                                              <w:marTop w:val="0"/>
                                              <w:marBottom w:val="436"/>
                                              <w:divBdr>
                                                <w:top w:val="none" w:sz="0" w:space="0" w:color="auto"/>
                                                <w:left w:val="none" w:sz="0" w:space="0" w:color="auto"/>
                                                <w:bottom w:val="none" w:sz="0" w:space="0" w:color="auto"/>
                                                <w:right w:val="none" w:sz="0" w:space="0" w:color="auto"/>
                                              </w:divBdr>
                                              <w:divsChild>
                                                <w:div w:id="18300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s.gov.au/cens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783E-9518-4238-B543-A4858178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4085</TotalTime>
  <Pages>22</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Greater Shepparton City Council</Company>
  <LinksUpToDate>false</LinksUpToDate>
  <CharactersWithSpaces>35842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anna.janson</dc:creator>
  <cp:keywords/>
  <dc:description/>
  <cp:lastModifiedBy>anna.janson</cp:lastModifiedBy>
  <cp:revision>521</cp:revision>
  <cp:lastPrinted>2012-12-11T00:47:00Z</cp:lastPrinted>
  <dcterms:created xsi:type="dcterms:W3CDTF">2012-05-02T01:52:00Z</dcterms:created>
  <dcterms:modified xsi:type="dcterms:W3CDTF">2013-01-10T03:16:00Z</dcterms:modified>
</cp:coreProperties>
</file>