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0C8E34" w14:textId="67E3DF03" w:rsidR="00937364" w:rsidRPr="005C5489" w:rsidRDefault="00633DB4" w:rsidP="00937364">
      <w:pPr>
        <w:pBdr>
          <w:bottom w:val="single" w:sz="4" w:space="1" w:color="004C97" w:themeColor="accent1"/>
        </w:pBdr>
        <w:spacing w:before="6000"/>
        <w:jc w:val="right"/>
        <w:rPr>
          <w:rFonts w:cs="Arial"/>
          <w:b/>
          <w:color w:val="9CA0A3" w:themeColor="accent4"/>
          <w:sz w:val="52"/>
          <w:szCs w:val="76"/>
        </w:rPr>
      </w:pPr>
      <w:bookmarkStart w:id="0" w:name="_GoBack"/>
      <w:bookmarkEnd w:id="0"/>
      <w:r w:rsidRPr="00633DB4">
        <w:rPr>
          <w:rFonts w:cs="Arial"/>
          <w:b/>
          <w:color w:val="9CA0A3" w:themeColor="accent4"/>
          <w:sz w:val="52"/>
          <w:szCs w:val="76"/>
        </w:rPr>
        <w:t>Bannockburn Growth Plan</w:t>
      </w:r>
    </w:p>
    <w:p w14:paraId="16B83A22" w14:textId="4C4972C7" w:rsidR="00937364" w:rsidRPr="00965002" w:rsidRDefault="00633DB4" w:rsidP="00937364">
      <w:pPr>
        <w:jc w:val="right"/>
        <w:rPr>
          <w:rFonts w:cs="Arial"/>
          <w:b/>
          <w:color w:val="5AA5C7"/>
          <w:sz w:val="32"/>
          <w:szCs w:val="32"/>
        </w:rPr>
      </w:pPr>
      <w:r w:rsidRPr="00633DB4">
        <w:rPr>
          <w:rFonts w:cs="Arial"/>
          <w:b/>
          <w:color w:val="5AA5C7"/>
          <w:sz w:val="32"/>
          <w:szCs w:val="32"/>
        </w:rPr>
        <w:t>Background Report</w:t>
      </w:r>
    </w:p>
    <w:p w14:paraId="349AEAA4" w14:textId="77777777" w:rsidR="00BC3117" w:rsidRDefault="00BC3117" w:rsidP="00937364">
      <w:pPr>
        <w:jc w:val="right"/>
        <w:rPr>
          <w:rFonts w:cs="Arial"/>
          <w:color w:val="9CA0A3" w:themeColor="accent4"/>
          <w:sz w:val="28"/>
          <w:szCs w:val="28"/>
        </w:rPr>
      </w:pPr>
      <w:r>
        <w:rPr>
          <w:rFonts w:ascii="Trebuchet MS" w:hAnsi="Trebuchet MS"/>
          <w:noProof/>
          <w:color w:val="9CA0A3" w:themeColor="accent4"/>
          <w:sz w:val="28"/>
          <w:szCs w:val="28"/>
        </w:rPr>
        <w:drawing>
          <wp:inline distT="0" distB="0" distL="0" distR="0" wp14:anchorId="1DF8BC24" wp14:editId="6A566873">
            <wp:extent cx="1627233" cy="666301"/>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PA_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27233" cy="666301"/>
                    </a:xfrm>
                    <a:prstGeom prst="rect">
                      <a:avLst/>
                    </a:prstGeom>
                  </pic:spPr>
                </pic:pic>
              </a:graphicData>
            </a:graphic>
          </wp:inline>
        </w:drawing>
      </w:r>
    </w:p>
    <w:p w14:paraId="36286993" w14:textId="1F0D8542" w:rsidR="00937364" w:rsidRPr="005C5489" w:rsidRDefault="00633DB4" w:rsidP="00937364">
      <w:pPr>
        <w:jc w:val="right"/>
        <w:rPr>
          <w:rFonts w:cs="Arial"/>
          <w:color w:val="9CA0A3" w:themeColor="accent4"/>
        </w:rPr>
      </w:pPr>
      <w:r>
        <w:rPr>
          <w:rFonts w:cs="Arial"/>
          <w:color w:val="9CA0A3" w:themeColor="accent4"/>
          <w:sz w:val="28"/>
          <w:szCs w:val="28"/>
        </w:rPr>
        <w:t>October 2020</w:t>
      </w:r>
    </w:p>
    <w:p w14:paraId="4766F7A1" w14:textId="77777777" w:rsidR="00937364" w:rsidRPr="005C5489" w:rsidRDefault="00937364" w:rsidP="00937364">
      <w:pPr>
        <w:rPr>
          <w:rFonts w:cs="Arial"/>
        </w:rPr>
      </w:pPr>
    </w:p>
    <w:p w14:paraId="5436C36A" w14:textId="77777777" w:rsidR="00937364" w:rsidRPr="005C5489" w:rsidRDefault="00937364" w:rsidP="00937364">
      <w:pPr>
        <w:rPr>
          <w:rFonts w:cs="Arial"/>
        </w:rPr>
        <w:sectPr w:rsidR="00937364" w:rsidRPr="005C5489" w:rsidSect="00AA5F37">
          <w:pgSz w:w="11901" w:h="16846" w:code="9"/>
          <w:pgMar w:top="1701" w:right="1134" w:bottom="851" w:left="1985" w:header="283" w:footer="0" w:gutter="0"/>
          <w:cols w:space="720"/>
          <w:titlePg/>
          <w:docGrid w:linePitch="299"/>
        </w:sectPr>
      </w:pPr>
    </w:p>
    <w:p w14:paraId="3F5CA62E" w14:textId="77777777" w:rsidR="00937364" w:rsidRPr="001A465C" w:rsidRDefault="00937364" w:rsidP="00937364">
      <w:pPr>
        <w:pStyle w:val="HeadingContents"/>
      </w:pPr>
      <w:r w:rsidRPr="001A465C">
        <w:lastRenderedPageBreak/>
        <w:t>CONTENTS</w:t>
      </w:r>
    </w:p>
    <w:p w14:paraId="11A7FC8C" w14:textId="6952164B" w:rsidR="00414CC4" w:rsidRDefault="00937364">
      <w:pPr>
        <w:pStyle w:val="TOC1"/>
        <w:rPr>
          <w:rFonts w:asciiTheme="minorHAnsi" w:eastAsiaTheme="minorEastAsia" w:hAnsiTheme="minorHAnsi" w:cstheme="minorBidi"/>
          <w:noProof/>
          <w:sz w:val="22"/>
          <w:szCs w:val="22"/>
        </w:rPr>
      </w:pPr>
      <w:r>
        <w:rPr>
          <w:rFonts w:ascii="Calibri" w:hAnsi="Calibri"/>
          <w:sz w:val="22"/>
          <w:lang w:val="en-US"/>
        </w:rPr>
        <w:fldChar w:fldCharType="begin"/>
      </w:r>
      <w:r>
        <w:rPr>
          <w:rFonts w:ascii="Calibri" w:hAnsi="Calibri"/>
          <w:sz w:val="22"/>
          <w:lang w:val="en-US"/>
        </w:rPr>
        <w:instrText xml:space="preserve"> TOC \o "1-2" \h \z </w:instrText>
      </w:r>
      <w:r>
        <w:rPr>
          <w:rFonts w:ascii="Calibri" w:hAnsi="Calibri"/>
          <w:sz w:val="22"/>
          <w:lang w:val="en-US"/>
        </w:rPr>
        <w:fldChar w:fldCharType="separate"/>
      </w:r>
      <w:hyperlink w:anchor="_Toc53406538" w:history="1">
        <w:r w:rsidR="00414CC4" w:rsidRPr="007F5C44">
          <w:rPr>
            <w:rStyle w:val="Hyperlink"/>
            <w:b/>
            <w:noProof/>
          </w:rPr>
          <w:t>1</w:t>
        </w:r>
        <w:r w:rsidR="00414CC4">
          <w:rPr>
            <w:rFonts w:asciiTheme="minorHAnsi" w:eastAsiaTheme="minorEastAsia" w:hAnsiTheme="minorHAnsi" w:cstheme="minorBidi"/>
            <w:noProof/>
            <w:sz w:val="22"/>
            <w:szCs w:val="22"/>
          </w:rPr>
          <w:tab/>
        </w:r>
        <w:r w:rsidR="00414CC4" w:rsidRPr="007F5C44">
          <w:rPr>
            <w:rStyle w:val="Hyperlink"/>
            <w:noProof/>
          </w:rPr>
          <w:t>Executive Summary</w:t>
        </w:r>
        <w:r w:rsidR="00414CC4">
          <w:rPr>
            <w:noProof/>
            <w:webHidden/>
          </w:rPr>
          <w:tab/>
        </w:r>
        <w:r w:rsidR="00414CC4">
          <w:rPr>
            <w:noProof/>
            <w:webHidden/>
          </w:rPr>
          <w:fldChar w:fldCharType="begin"/>
        </w:r>
        <w:r w:rsidR="00414CC4">
          <w:rPr>
            <w:noProof/>
            <w:webHidden/>
          </w:rPr>
          <w:instrText xml:space="preserve"> PAGEREF _Toc53406538 \h </w:instrText>
        </w:r>
        <w:r w:rsidR="00414CC4">
          <w:rPr>
            <w:noProof/>
            <w:webHidden/>
          </w:rPr>
        </w:r>
        <w:r w:rsidR="00414CC4">
          <w:rPr>
            <w:noProof/>
            <w:webHidden/>
          </w:rPr>
          <w:fldChar w:fldCharType="separate"/>
        </w:r>
        <w:r w:rsidR="00414CC4">
          <w:rPr>
            <w:noProof/>
            <w:webHidden/>
          </w:rPr>
          <w:t>1</w:t>
        </w:r>
        <w:r w:rsidR="00414CC4">
          <w:rPr>
            <w:noProof/>
            <w:webHidden/>
          </w:rPr>
          <w:fldChar w:fldCharType="end"/>
        </w:r>
      </w:hyperlink>
    </w:p>
    <w:p w14:paraId="749054B5" w14:textId="6DE894BF" w:rsidR="00414CC4" w:rsidRDefault="002F1993">
      <w:pPr>
        <w:pStyle w:val="TOC1"/>
        <w:rPr>
          <w:rFonts w:asciiTheme="minorHAnsi" w:eastAsiaTheme="minorEastAsia" w:hAnsiTheme="minorHAnsi" w:cstheme="minorBidi"/>
          <w:noProof/>
          <w:sz w:val="22"/>
          <w:szCs w:val="22"/>
        </w:rPr>
      </w:pPr>
      <w:hyperlink w:anchor="_Toc53406539" w:history="1">
        <w:r w:rsidR="00414CC4" w:rsidRPr="007F5C44">
          <w:rPr>
            <w:rStyle w:val="Hyperlink"/>
            <w:b/>
            <w:noProof/>
          </w:rPr>
          <w:t>2</w:t>
        </w:r>
        <w:r w:rsidR="00414CC4">
          <w:rPr>
            <w:rFonts w:asciiTheme="minorHAnsi" w:eastAsiaTheme="minorEastAsia" w:hAnsiTheme="minorHAnsi" w:cstheme="minorBidi"/>
            <w:noProof/>
            <w:sz w:val="22"/>
            <w:szCs w:val="22"/>
          </w:rPr>
          <w:tab/>
        </w:r>
        <w:r w:rsidR="00414CC4" w:rsidRPr="007F5C44">
          <w:rPr>
            <w:rStyle w:val="Hyperlink"/>
            <w:noProof/>
          </w:rPr>
          <w:t>Introduction</w:t>
        </w:r>
        <w:r w:rsidR="00414CC4">
          <w:rPr>
            <w:noProof/>
            <w:webHidden/>
          </w:rPr>
          <w:tab/>
        </w:r>
        <w:r w:rsidR="00414CC4">
          <w:rPr>
            <w:noProof/>
            <w:webHidden/>
          </w:rPr>
          <w:fldChar w:fldCharType="begin"/>
        </w:r>
        <w:r w:rsidR="00414CC4">
          <w:rPr>
            <w:noProof/>
            <w:webHidden/>
          </w:rPr>
          <w:instrText xml:space="preserve"> PAGEREF _Toc53406539 \h </w:instrText>
        </w:r>
        <w:r w:rsidR="00414CC4">
          <w:rPr>
            <w:noProof/>
            <w:webHidden/>
          </w:rPr>
        </w:r>
        <w:r w:rsidR="00414CC4">
          <w:rPr>
            <w:noProof/>
            <w:webHidden/>
          </w:rPr>
          <w:fldChar w:fldCharType="separate"/>
        </w:r>
        <w:r w:rsidR="00414CC4">
          <w:rPr>
            <w:noProof/>
            <w:webHidden/>
          </w:rPr>
          <w:t>2</w:t>
        </w:r>
        <w:r w:rsidR="00414CC4">
          <w:rPr>
            <w:noProof/>
            <w:webHidden/>
          </w:rPr>
          <w:fldChar w:fldCharType="end"/>
        </w:r>
      </w:hyperlink>
    </w:p>
    <w:p w14:paraId="600E9964" w14:textId="2590A127" w:rsidR="00414CC4" w:rsidRDefault="002F1993">
      <w:pPr>
        <w:pStyle w:val="TOC2"/>
        <w:rPr>
          <w:rFonts w:asciiTheme="minorHAnsi" w:eastAsiaTheme="minorEastAsia" w:hAnsiTheme="minorHAnsi" w:cstheme="minorBidi"/>
          <w:noProof/>
          <w:sz w:val="22"/>
          <w:szCs w:val="22"/>
        </w:rPr>
      </w:pPr>
      <w:hyperlink w:anchor="_Toc53406540" w:history="1">
        <w:r w:rsidR="00414CC4" w:rsidRPr="007F5C44">
          <w:rPr>
            <w:rStyle w:val="Hyperlink"/>
            <w:rFonts w:ascii="VIC SemiBold" w:hAnsi="VIC SemiBold"/>
            <w:noProof/>
          </w:rPr>
          <w:t>2.1</w:t>
        </w:r>
        <w:r w:rsidR="00414CC4">
          <w:rPr>
            <w:rFonts w:asciiTheme="minorHAnsi" w:eastAsiaTheme="minorEastAsia" w:hAnsiTheme="minorHAnsi" w:cstheme="minorBidi"/>
            <w:noProof/>
            <w:sz w:val="22"/>
            <w:szCs w:val="22"/>
          </w:rPr>
          <w:tab/>
        </w:r>
        <w:r w:rsidR="00414CC4" w:rsidRPr="007F5C44">
          <w:rPr>
            <w:rStyle w:val="Hyperlink"/>
            <w:noProof/>
          </w:rPr>
          <w:t>About Bannockburn</w:t>
        </w:r>
        <w:r w:rsidR="00414CC4">
          <w:rPr>
            <w:noProof/>
            <w:webHidden/>
          </w:rPr>
          <w:tab/>
        </w:r>
        <w:r w:rsidR="00414CC4">
          <w:rPr>
            <w:noProof/>
            <w:webHidden/>
          </w:rPr>
          <w:fldChar w:fldCharType="begin"/>
        </w:r>
        <w:r w:rsidR="00414CC4">
          <w:rPr>
            <w:noProof/>
            <w:webHidden/>
          </w:rPr>
          <w:instrText xml:space="preserve"> PAGEREF _Toc53406540 \h </w:instrText>
        </w:r>
        <w:r w:rsidR="00414CC4">
          <w:rPr>
            <w:noProof/>
            <w:webHidden/>
          </w:rPr>
        </w:r>
        <w:r w:rsidR="00414CC4">
          <w:rPr>
            <w:noProof/>
            <w:webHidden/>
          </w:rPr>
          <w:fldChar w:fldCharType="separate"/>
        </w:r>
        <w:r w:rsidR="00414CC4">
          <w:rPr>
            <w:noProof/>
            <w:webHidden/>
          </w:rPr>
          <w:t>2</w:t>
        </w:r>
        <w:r w:rsidR="00414CC4">
          <w:rPr>
            <w:noProof/>
            <w:webHidden/>
          </w:rPr>
          <w:fldChar w:fldCharType="end"/>
        </w:r>
      </w:hyperlink>
    </w:p>
    <w:p w14:paraId="2B1F7210" w14:textId="0132890E" w:rsidR="00414CC4" w:rsidRDefault="002F1993">
      <w:pPr>
        <w:pStyle w:val="TOC1"/>
        <w:rPr>
          <w:rFonts w:asciiTheme="minorHAnsi" w:eastAsiaTheme="minorEastAsia" w:hAnsiTheme="minorHAnsi" w:cstheme="minorBidi"/>
          <w:noProof/>
          <w:sz w:val="22"/>
          <w:szCs w:val="22"/>
        </w:rPr>
      </w:pPr>
      <w:hyperlink w:anchor="_Toc53406541" w:history="1">
        <w:r w:rsidR="00414CC4" w:rsidRPr="007F5C44">
          <w:rPr>
            <w:rStyle w:val="Hyperlink"/>
            <w:b/>
            <w:noProof/>
          </w:rPr>
          <w:t>3</w:t>
        </w:r>
        <w:r w:rsidR="00414CC4">
          <w:rPr>
            <w:rFonts w:asciiTheme="minorHAnsi" w:eastAsiaTheme="minorEastAsia" w:hAnsiTheme="minorHAnsi" w:cstheme="minorBidi"/>
            <w:noProof/>
            <w:sz w:val="22"/>
            <w:szCs w:val="22"/>
          </w:rPr>
          <w:tab/>
        </w:r>
        <w:r w:rsidR="00414CC4" w:rsidRPr="007F5C44">
          <w:rPr>
            <w:rStyle w:val="Hyperlink"/>
            <w:noProof/>
          </w:rPr>
          <w:t>Strategic Context</w:t>
        </w:r>
        <w:r w:rsidR="00414CC4">
          <w:rPr>
            <w:noProof/>
            <w:webHidden/>
          </w:rPr>
          <w:tab/>
        </w:r>
        <w:r w:rsidR="00414CC4">
          <w:rPr>
            <w:noProof/>
            <w:webHidden/>
          </w:rPr>
          <w:fldChar w:fldCharType="begin"/>
        </w:r>
        <w:r w:rsidR="00414CC4">
          <w:rPr>
            <w:noProof/>
            <w:webHidden/>
          </w:rPr>
          <w:instrText xml:space="preserve"> PAGEREF _Toc53406541 \h </w:instrText>
        </w:r>
        <w:r w:rsidR="00414CC4">
          <w:rPr>
            <w:noProof/>
            <w:webHidden/>
          </w:rPr>
        </w:r>
        <w:r w:rsidR="00414CC4">
          <w:rPr>
            <w:noProof/>
            <w:webHidden/>
          </w:rPr>
          <w:fldChar w:fldCharType="separate"/>
        </w:r>
        <w:r w:rsidR="00414CC4">
          <w:rPr>
            <w:noProof/>
            <w:webHidden/>
          </w:rPr>
          <w:t>4</w:t>
        </w:r>
        <w:r w:rsidR="00414CC4">
          <w:rPr>
            <w:noProof/>
            <w:webHidden/>
          </w:rPr>
          <w:fldChar w:fldCharType="end"/>
        </w:r>
      </w:hyperlink>
    </w:p>
    <w:p w14:paraId="70679664" w14:textId="32DC1DD2" w:rsidR="00414CC4" w:rsidRDefault="002F1993">
      <w:pPr>
        <w:pStyle w:val="TOC2"/>
        <w:rPr>
          <w:rFonts w:asciiTheme="minorHAnsi" w:eastAsiaTheme="minorEastAsia" w:hAnsiTheme="minorHAnsi" w:cstheme="minorBidi"/>
          <w:noProof/>
          <w:sz w:val="22"/>
          <w:szCs w:val="22"/>
        </w:rPr>
      </w:pPr>
      <w:hyperlink w:anchor="_Toc53406542" w:history="1">
        <w:r w:rsidR="00414CC4" w:rsidRPr="007F5C44">
          <w:rPr>
            <w:rStyle w:val="Hyperlink"/>
            <w:rFonts w:ascii="VIC SemiBold" w:hAnsi="VIC SemiBold"/>
            <w:noProof/>
          </w:rPr>
          <w:t>3.1</w:t>
        </w:r>
        <w:r w:rsidR="00414CC4">
          <w:rPr>
            <w:rFonts w:asciiTheme="minorHAnsi" w:eastAsiaTheme="minorEastAsia" w:hAnsiTheme="minorHAnsi" w:cstheme="minorBidi"/>
            <w:noProof/>
            <w:sz w:val="22"/>
            <w:szCs w:val="22"/>
          </w:rPr>
          <w:tab/>
        </w:r>
        <w:r w:rsidR="00414CC4" w:rsidRPr="007F5C44">
          <w:rPr>
            <w:rStyle w:val="Hyperlink"/>
            <w:noProof/>
          </w:rPr>
          <w:t>State Policy</w:t>
        </w:r>
        <w:r w:rsidR="00414CC4">
          <w:rPr>
            <w:noProof/>
            <w:webHidden/>
          </w:rPr>
          <w:tab/>
        </w:r>
        <w:r w:rsidR="00414CC4">
          <w:rPr>
            <w:noProof/>
            <w:webHidden/>
          </w:rPr>
          <w:fldChar w:fldCharType="begin"/>
        </w:r>
        <w:r w:rsidR="00414CC4">
          <w:rPr>
            <w:noProof/>
            <w:webHidden/>
          </w:rPr>
          <w:instrText xml:space="preserve"> PAGEREF _Toc53406542 \h </w:instrText>
        </w:r>
        <w:r w:rsidR="00414CC4">
          <w:rPr>
            <w:noProof/>
            <w:webHidden/>
          </w:rPr>
        </w:r>
        <w:r w:rsidR="00414CC4">
          <w:rPr>
            <w:noProof/>
            <w:webHidden/>
          </w:rPr>
          <w:fldChar w:fldCharType="separate"/>
        </w:r>
        <w:r w:rsidR="00414CC4">
          <w:rPr>
            <w:noProof/>
            <w:webHidden/>
          </w:rPr>
          <w:t>4</w:t>
        </w:r>
        <w:r w:rsidR="00414CC4">
          <w:rPr>
            <w:noProof/>
            <w:webHidden/>
          </w:rPr>
          <w:fldChar w:fldCharType="end"/>
        </w:r>
      </w:hyperlink>
    </w:p>
    <w:p w14:paraId="51017E93" w14:textId="15B3366C" w:rsidR="00414CC4" w:rsidRDefault="002F1993">
      <w:pPr>
        <w:pStyle w:val="TOC2"/>
        <w:rPr>
          <w:rFonts w:asciiTheme="minorHAnsi" w:eastAsiaTheme="minorEastAsia" w:hAnsiTheme="minorHAnsi" w:cstheme="minorBidi"/>
          <w:noProof/>
          <w:sz w:val="22"/>
          <w:szCs w:val="22"/>
        </w:rPr>
      </w:pPr>
      <w:hyperlink w:anchor="_Toc53406543" w:history="1">
        <w:r w:rsidR="00414CC4" w:rsidRPr="007F5C44">
          <w:rPr>
            <w:rStyle w:val="Hyperlink"/>
            <w:rFonts w:ascii="VIC SemiBold" w:hAnsi="VIC SemiBold"/>
            <w:noProof/>
          </w:rPr>
          <w:t>3.2</w:t>
        </w:r>
        <w:r w:rsidR="00414CC4">
          <w:rPr>
            <w:rFonts w:asciiTheme="minorHAnsi" w:eastAsiaTheme="minorEastAsia" w:hAnsiTheme="minorHAnsi" w:cstheme="minorBidi"/>
            <w:noProof/>
            <w:sz w:val="22"/>
            <w:szCs w:val="22"/>
          </w:rPr>
          <w:tab/>
        </w:r>
        <w:r w:rsidR="00414CC4" w:rsidRPr="007F5C44">
          <w:rPr>
            <w:rStyle w:val="Hyperlink"/>
            <w:noProof/>
          </w:rPr>
          <w:t>Local policy</w:t>
        </w:r>
        <w:r w:rsidR="00414CC4">
          <w:rPr>
            <w:noProof/>
            <w:webHidden/>
          </w:rPr>
          <w:tab/>
        </w:r>
        <w:r w:rsidR="00414CC4">
          <w:rPr>
            <w:noProof/>
            <w:webHidden/>
          </w:rPr>
          <w:fldChar w:fldCharType="begin"/>
        </w:r>
        <w:r w:rsidR="00414CC4">
          <w:rPr>
            <w:noProof/>
            <w:webHidden/>
          </w:rPr>
          <w:instrText xml:space="preserve"> PAGEREF _Toc53406543 \h </w:instrText>
        </w:r>
        <w:r w:rsidR="00414CC4">
          <w:rPr>
            <w:noProof/>
            <w:webHidden/>
          </w:rPr>
        </w:r>
        <w:r w:rsidR="00414CC4">
          <w:rPr>
            <w:noProof/>
            <w:webHidden/>
          </w:rPr>
          <w:fldChar w:fldCharType="separate"/>
        </w:r>
        <w:r w:rsidR="00414CC4">
          <w:rPr>
            <w:noProof/>
            <w:webHidden/>
          </w:rPr>
          <w:t>4</w:t>
        </w:r>
        <w:r w:rsidR="00414CC4">
          <w:rPr>
            <w:noProof/>
            <w:webHidden/>
          </w:rPr>
          <w:fldChar w:fldCharType="end"/>
        </w:r>
      </w:hyperlink>
    </w:p>
    <w:p w14:paraId="4161BE2B" w14:textId="54AD408C" w:rsidR="00414CC4" w:rsidRDefault="002F1993">
      <w:pPr>
        <w:pStyle w:val="TOC1"/>
        <w:rPr>
          <w:rFonts w:asciiTheme="minorHAnsi" w:eastAsiaTheme="minorEastAsia" w:hAnsiTheme="minorHAnsi" w:cstheme="minorBidi"/>
          <w:noProof/>
          <w:sz w:val="22"/>
          <w:szCs w:val="22"/>
        </w:rPr>
      </w:pPr>
      <w:hyperlink w:anchor="_Toc53406544" w:history="1">
        <w:r w:rsidR="00414CC4" w:rsidRPr="007F5C44">
          <w:rPr>
            <w:rStyle w:val="Hyperlink"/>
            <w:b/>
            <w:noProof/>
          </w:rPr>
          <w:t>4</w:t>
        </w:r>
        <w:r w:rsidR="00414CC4">
          <w:rPr>
            <w:rFonts w:asciiTheme="minorHAnsi" w:eastAsiaTheme="minorEastAsia" w:hAnsiTheme="minorHAnsi" w:cstheme="minorBidi"/>
            <w:noProof/>
            <w:sz w:val="22"/>
            <w:szCs w:val="22"/>
          </w:rPr>
          <w:tab/>
        </w:r>
        <w:r w:rsidR="00414CC4" w:rsidRPr="007F5C44">
          <w:rPr>
            <w:rStyle w:val="Hyperlink"/>
            <w:noProof/>
          </w:rPr>
          <w:t>Study Area</w:t>
        </w:r>
        <w:r w:rsidR="00414CC4">
          <w:rPr>
            <w:noProof/>
            <w:webHidden/>
          </w:rPr>
          <w:tab/>
        </w:r>
        <w:r w:rsidR="00414CC4">
          <w:rPr>
            <w:noProof/>
            <w:webHidden/>
          </w:rPr>
          <w:fldChar w:fldCharType="begin"/>
        </w:r>
        <w:r w:rsidR="00414CC4">
          <w:rPr>
            <w:noProof/>
            <w:webHidden/>
          </w:rPr>
          <w:instrText xml:space="preserve"> PAGEREF _Toc53406544 \h </w:instrText>
        </w:r>
        <w:r w:rsidR="00414CC4">
          <w:rPr>
            <w:noProof/>
            <w:webHidden/>
          </w:rPr>
        </w:r>
        <w:r w:rsidR="00414CC4">
          <w:rPr>
            <w:noProof/>
            <w:webHidden/>
          </w:rPr>
          <w:fldChar w:fldCharType="separate"/>
        </w:r>
        <w:r w:rsidR="00414CC4">
          <w:rPr>
            <w:noProof/>
            <w:webHidden/>
          </w:rPr>
          <w:t>5</w:t>
        </w:r>
        <w:r w:rsidR="00414CC4">
          <w:rPr>
            <w:noProof/>
            <w:webHidden/>
          </w:rPr>
          <w:fldChar w:fldCharType="end"/>
        </w:r>
      </w:hyperlink>
    </w:p>
    <w:p w14:paraId="5DC95F9F" w14:textId="5AC1017E" w:rsidR="00414CC4" w:rsidRDefault="002F1993">
      <w:pPr>
        <w:pStyle w:val="TOC1"/>
        <w:rPr>
          <w:rFonts w:asciiTheme="minorHAnsi" w:eastAsiaTheme="minorEastAsia" w:hAnsiTheme="minorHAnsi" w:cstheme="minorBidi"/>
          <w:noProof/>
          <w:sz w:val="22"/>
          <w:szCs w:val="22"/>
        </w:rPr>
      </w:pPr>
      <w:hyperlink w:anchor="_Toc53406545" w:history="1">
        <w:r w:rsidR="00414CC4" w:rsidRPr="007F5C44">
          <w:rPr>
            <w:rStyle w:val="Hyperlink"/>
            <w:b/>
            <w:noProof/>
          </w:rPr>
          <w:t>5</w:t>
        </w:r>
        <w:r w:rsidR="00414CC4">
          <w:rPr>
            <w:rFonts w:asciiTheme="minorHAnsi" w:eastAsiaTheme="minorEastAsia" w:hAnsiTheme="minorHAnsi" w:cstheme="minorBidi"/>
            <w:noProof/>
            <w:sz w:val="22"/>
            <w:szCs w:val="22"/>
          </w:rPr>
          <w:tab/>
        </w:r>
        <w:r w:rsidR="00414CC4" w:rsidRPr="007F5C44">
          <w:rPr>
            <w:rStyle w:val="Hyperlink"/>
            <w:noProof/>
          </w:rPr>
          <w:t>Biodiversity</w:t>
        </w:r>
        <w:r w:rsidR="00414CC4">
          <w:rPr>
            <w:noProof/>
            <w:webHidden/>
          </w:rPr>
          <w:tab/>
        </w:r>
        <w:r w:rsidR="00414CC4">
          <w:rPr>
            <w:noProof/>
            <w:webHidden/>
          </w:rPr>
          <w:fldChar w:fldCharType="begin"/>
        </w:r>
        <w:r w:rsidR="00414CC4">
          <w:rPr>
            <w:noProof/>
            <w:webHidden/>
          </w:rPr>
          <w:instrText xml:space="preserve"> PAGEREF _Toc53406545 \h </w:instrText>
        </w:r>
        <w:r w:rsidR="00414CC4">
          <w:rPr>
            <w:noProof/>
            <w:webHidden/>
          </w:rPr>
        </w:r>
        <w:r w:rsidR="00414CC4">
          <w:rPr>
            <w:noProof/>
            <w:webHidden/>
          </w:rPr>
          <w:fldChar w:fldCharType="separate"/>
        </w:r>
        <w:r w:rsidR="00414CC4">
          <w:rPr>
            <w:noProof/>
            <w:webHidden/>
          </w:rPr>
          <w:t>6</w:t>
        </w:r>
        <w:r w:rsidR="00414CC4">
          <w:rPr>
            <w:noProof/>
            <w:webHidden/>
          </w:rPr>
          <w:fldChar w:fldCharType="end"/>
        </w:r>
      </w:hyperlink>
    </w:p>
    <w:p w14:paraId="11663519" w14:textId="53E18AA2" w:rsidR="00414CC4" w:rsidRDefault="002F1993">
      <w:pPr>
        <w:pStyle w:val="TOC1"/>
        <w:rPr>
          <w:rFonts w:asciiTheme="minorHAnsi" w:eastAsiaTheme="minorEastAsia" w:hAnsiTheme="minorHAnsi" w:cstheme="minorBidi"/>
          <w:noProof/>
          <w:sz w:val="22"/>
          <w:szCs w:val="22"/>
        </w:rPr>
      </w:pPr>
      <w:hyperlink w:anchor="_Toc53406546" w:history="1">
        <w:r w:rsidR="00414CC4" w:rsidRPr="007F5C44">
          <w:rPr>
            <w:rStyle w:val="Hyperlink"/>
            <w:b/>
            <w:noProof/>
          </w:rPr>
          <w:t>6</w:t>
        </w:r>
        <w:r w:rsidR="00414CC4">
          <w:rPr>
            <w:rFonts w:asciiTheme="minorHAnsi" w:eastAsiaTheme="minorEastAsia" w:hAnsiTheme="minorHAnsi" w:cstheme="minorBidi"/>
            <w:noProof/>
            <w:sz w:val="22"/>
            <w:szCs w:val="22"/>
          </w:rPr>
          <w:tab/>
        </w:r>
        <w:r w:rsidR="00414CC4" w:rsidRPr="007F5C44">
          <w:rPr>
            <w:rStyle w:val="Hyperlink"/>
            <w:noProof/>
          </w:rPr>
          <w:t>Land Capability</w:t>
        </w:r>
        <w:r w:rsidR="00414CC4">
          <w:rPr>
            <w:noProof/>
            <w:webHidden/>
          </w:rPr>
          <w:tab/>
        </w:r>
        <w:r w:rsidR="00414CC4">
          <w:rPr>
            <w:noProof/>
            <w:webHidden/>
          </w:rPr>
          <w:fldChar w:fldCharType="begin"/>
        </w:r>
        <w:r w:rsidR="00414CC4">
          <w:rPr>
            <w:noProof/>
            <w:webHidden/>
          </w:rPr>
          <w:instrText xml:space="preserve"> PAGEREF _Toc53406546 \h </w:instrText>
        </w:r>
        <w:r w:rsidR="00414CC4">
          <w:rPr>
            <w:noProof/>
            <w:webHidden/>
          </w:rPr>
        </w:r>
        <w:r w:rsidR="00414CC4">
          <w:rPr>
            <w:noProof/>
            <w:webHidden/>
          </w:rPr>
          <w:fldChar w:fldCharType="separate"/>
        </w:r>
        <w:r w:rsidR="00414CC4">
          <w:rPr>
            <w:noProof/>
            <w:webHidden/>
          </w:rPr>
          <w:t>8</w:t>
        </w:r>
        <w:r w:rsidR="00414CC4">
          <w:rPr>
            <w:noProof/>
            <w:webHidden/>
          </w:rPr>
          <w:fldChar w:fldCharType="end"/>
        </w:r>
      </w:hyperlink>
    </w:p>
    <w:p w14:paraId="190FCDDC" w14:textId="5CC58FFE" w:rsidR="00414CC4" w:rsidRDefault="002F1993">
      <w:pPr>
        <w:pStyle w:val="TOC1"/>
        <w:rPr>
          <w:rFonts w:asciiTheme="minorHAnsi" w:eastAsiaTheme="minorEastAsia" w:hAnsiTheme="minorHAnsi" w:cstheme="minorBidi"/>
          <w:noProof/>
          <w:sz w:val="22"/>
          <w:szCs w:val="22"/>
        </w:rPr>
      </w:pPr>
      <w:hyperlink w:anchor="_Toc53406547" w:history="1">
        <w:r w:rsidR="00414CC4" w:rsidRPr="007F5C44">
          <w:rPr>
            <w:rStyle w:val="Hyperlink"/>
            <w:b/>
            <w:noProof/>
          </w:rPr>
          <w:t>7</w:t>
        </w:r>
        <w:r w:rsidR="00414CC4">
          <w:rPr>
            <w:rFonts w:asciiTheme="minorHAnsi" w:eastAsiaTheme="minorEastAsia" w:hAnsiTheme="minorHAnsi" w:cstheme="minorBidi"/>
            <w:noProof/>
            <w:sz w:val="22"/>
            <w:szCs w:val="22"/>
          </w:rPr>
          <w:tab/>
        </w:r>
        <w:r w:rsidR="00414CC4" w:rsidRPr="007F5C44">
          <w:rPr>
            <w:rStyle w:val="Hyperlink"/>
            <w:noProof/>
          </w:rPr>
          <w:t>Transport</w:t>
        </w:r>
        <w:r w:rsidR="00414CC4">
          <w:rPr>
            <w:noProof/>
            <w:webHidden/>
          </w:rPr>
          <w:tab/>
        </w:r>
        <w:r w:rsidR="00414CC4">
          <w:rPr>
            <w:noProof/>
            <w:webHidden/>
          </w:rPr>
          <w:fldChar w:fldCharType="begin"/>
        </w:r>
        <w:r w:rsidR="00414CC4">
          <w:rPr>
            <w:noProof/>
            <w:webHidden/>
          </w:rPr>
          <w:instrText xml:space="preserve"> PAGEREF _Toc53406547 \h </w:instrText>
        </w:r>
        <w:r w:rsidR="00414CC4">
          <w:rPr>
            <w:noProof/>
            <w:webHidden/>
          </w:rPr>
        </w:r>
        <w:r w:rsidR="00414CC4">
          <w:rPr>
            <w:noProof/>
            <w:webHidden/>
          </w:rPr>
          <w:fldChar w:fldCharType="separate"/>
        </w:r>
        <w:r w:rsidR="00414CC4">
          <w:rPr>
            <w:noProof/>
            <w:webHidden/>
          </w:rPr>
          <w:t>10</w:t>
        </w:r>
        <w:r w:rsidR="00414CC4">
          <w:rPr>
            <w:noProof/>
            <w:webHidden/>
          </w:rPr>
          <w:fldChar w:fldCharType="end"/>
        </w:r>
      </w:hyperlink>
    </w:p>
    <w:p w14:paraId="0E59393B" w14:textId="3C5E1235" w:rsidR="00414CC4" w:rsidRDefault="002F1993">
      <w:pPr>
        <w:pStyle w:val="TOC2"/>
        <w:rPr>
          <w:rFonts w:asciiTheme="minorHAnsi" w:eastAsiaTheme="minorEastAsia" w:hAnsiTheme="minorHAnsi" w:cstheme="minorBidi"/>
          <w:noProof/>
          <w:sz w:val="22"/>
          <w:szCs w:val="22"/>
        </w:rPr>
      </w:pPr>
      <w:hyperlink w:anchor="_Toc53406548" w:history="1">
        <w:r w:rsidR="00414CC4" w:rsidRPr="007F5C44">
          <w:rPr>
            <w:rStyle w:val="Hyperlink"/>
            <w:rFonts w:ascii="VIC SemiBold" w:hAnsi="VIC SemiBold"/>
            <w:noProof/>
          </w:rPr>
          <w:t>7.1</w:t>
        </w:r>
        <w:r w:rsidR="00414CC4">
          <w:rPr>
            <w:rFonts w:asciiTheme="minorHAnsi" w:eastAsiaTheme="minorEastAsia" w:hAnsiTheme="minorHAnsi" w:cstheme="minorBidi"/>
            <w:noProof/>
            <w:sz w:val="22"/>
            <w:szCs w:val="22"/>
          </w:rPr>
          <w:tab/>
        </w:r>
        <w:r w:rsidR="00414CC4" w:rsidRPr="007F5C44">
          <w:rPr>
            <w:rStyle w:val="Hyperlink"/>
            <w:noProof/>
          </w:rPr>
          <w:t>Traffic network assessment</w:t>
        </w:r>
        <w:r w:rsidR="00414CC4">
          <w:rPr>
            <w:noProof/>
            <w:webHidden/>
          </w:rPr>
          <w:tab/>
        </w:r>
        <w:r w:rsidR="00414CC4">
          <w:rPr>
            <w:noProof/>
            <w:webHidden/>
          </w:rPr>
          <w:fldChar w:fldCharType="begin"/>
        </w:r>
        <w:r w:rsidR="00414CC4">
          <w:rPr>
            <w:noProof/>
            <w:webHidden/>
          </w:rPr>
          <w:instrText xml:space="preserve"> PAGEREF _Toc53406548 \h </w:instrText>
        </w:r>
        <w:r w:rsidR="00414CC4">
          <w:rPr>
            <w:noProof/>
            <w:webHidden/>
          </w:rPr>
        </w:r>
        <w:r w:rsidR="00414CC4">
          <w:rPr>
            <w:noProof/>
            <w:webHidden/>
          </w:rPr>
          <w:fldChar w:fldCharType="separate"/>
        </w:r>
        <w:r w:rsidR="00414CC4">
          <w:rPr>
            <w:noProof/>
            <w:webHidden/>
          </w:rPr>
          <w:t>10</w:t>
        </w:r>
        <w:r w:rsidR="00414CC4">
          <w:rPr>
            <w:noProof/>
            <w:webHidden/>
          </w:rPr>
          <w:fldChar w:fldCharType="end"/>
        </w:r>
      </w:hyperlink>
    </w:p>
    <w:p w14:paraId="0FF54AC7" w14:textId="7FB049A9" w:rsidR="00414CC4" w:rsidRDefault="002F1993">
      <w:pPr>
        <w:pStyle w:val="TOC2"/>
        <w:rPr>
          <w:rFonts w:asciiTheme="minorHAnsi" w:eastAsiaTheme="minorEastAsia" w:hAnsiTheme="minorHAnsi" w:cstheme="minorBidi"/>
          <w:noProof/>
          <w:sz w:val="22"/>
          <w:szCs w:val="22"/>
        </w:rPr>
      </w:pPr>
      <w:hyperlink w:anchor="_Toc53406549" w:history="1">
        <w:r w:rsidR="00414CC4" w:rsidRPr="007F5C44">
          <w:rPr>
            <w:rStyle w:val="Hyperlink"/>
            <w:rFonts w:ascii="VIC SemiBold" w:hAnsi="VIC SemiBold"/>
            <w:noProof/>
          </w:rPr>
          <w:t>7.2</w:t>
        </w:r>
        <w:r w:rsidR="00414CC4">
          <w:rPr>
            <w:rFonts w:asciiTheme="minorHAnsi" w:eastAsiaTheme="minorEastAsia" w:hAnsiTheme="minorHAnsi" w:cstheme="minorBidi"/>
            <w:noProof/>
            <w:sz w:val="22"/>
            <w:szCs w:val="22"/>
          </w:rPr>
          <w:tab/>
        </w:r>
        <w:r w:rsidR="00414CC4" w:rsidRPr="007F5C44">
          <w:rPr>
            <w:rStyle w:val="Hyperlink"/>
            <w:noProof/>
          </w:rPr>
          <w:t>Public and active transport</w:t>
        </w:r>
        <w:r w:rsidR="00414CC4">
          <w:rPr>
            <w:noProof/>
            <w:webHidden/>
          </w:rPr>
          <w:tab/>
        </w:r>
        <w:r w:rsidR="00414CC4">
          <w:rPr>
            <w:noProof/>
            <w:webHidden/>
          </w:rPr>
          <w:fldChar w:fldCharType="begin"/>
        </w:r>
        <w:r w:rsidR="00414CC4">
          <w:rPr>
            <w:noProof/>
            <w:webHidden/>
          </w:rPr>
          <w:instrText xml:space="preserve"> PAGEREF _Toc53406549 \h </w:instrText>
        </w:r>
        <w:r w:rsidR="00414CC4">
          <w:rPr>
            <w:noProof/>
            <w:webHidden/>
          </w:rPr>
        </w:r>
        <w:r w:rsidR="00414CC4">
          <w:rPr>
            <w:noProof/>
            <w:webHidden/>
          </w:rPr>
          <w:fldChar w:fldCharType="separate"/>
        </w:r>
        <w:r w:rsidR="00414CC4">
          <w:rPr>
            <w:noProof/>
            <w:webHidden/>
          </w:rPr>
          <w:t>12</w:t>
        </w:r>
        <w:r w:rsidR="00414CC4">
          <w:rPr>
            <w:noProof/>
            <w:webHidden/>
          </w:rPr>
          <w:fldChar w:fldCharType="end"/>
        </w:r>
      </w:hyperlink>
    </w:p>
    <w:p w14:paraId="50426C90" w14:textId="0FBD7909" w:rsidR="00414CC4" w:rsidRDefault="002F1993">
      <w:pPr>
        <w:pStyle w:val="TOC1"/>
        <w:rPr>
          <w:rFonts w:asciiTheme="minorHAnsi" w:eastAsiaTheme="minorEastAsia" w:hAnsiTheme="minorHAnsi" w:cstheme="minorBidi"/>
          <w:noProof/>
          <w:sz w:val="22"/>
          <w:szCs w:val="22"/>
        </w:rPr>
      </w:pPr>
      <w:hyperlink w:anchor="_Toc53406550" w:history="1">
        <w:r w:rsidR="00414CC4" w:rsidRPr="007F5C44">
          <w:rPr>
            <w:rStyle w:val="Hyperlink"/>
            <w:b/>
            <w:noProof/>
          </w:rPr>
          <w:t>8</w:t>
        </w:r>
        <w:r w:rsidR="00414CC4">
          <w:rPr>
            <w:rFonts w:asciiTheme="minorHAnsi" w:eastAsiaTheme="minorEastAsia" w:hAnsiTheme="minorHAnsi" w:cstheme="minorBidi"/>
            <w:noProof/>
            <w:sz w:val="22"/>
            <w:szCs w:val="22"/>
          </w:rPr>
          <w:tab/>
        </w:r>
        <w:r w:rsidR="00414CC4" w:rsidRPr="007F5C44">
          <w:rPr>
            <w:rStyle w:val="Hyperlink"/>
            <w:noProof/>
          </w:rPr>
          <w:t>Community Infrastructure</w:t>
        </w:r>
        <w:r w:rsidR="00414CC4">
          <w:rPr>
            <w:noProof/>
            <w:webHidden/>
          </w:rPr>
          <w:tab/>
        </w:r>
        <w:r w:rsidR="00414CC4">
          <w:rPr>
            <w:noProof/>
            <w:webHidden/>
          </w:rPr>
          <w:fldChar w:fldCharType="begin"/>
        </w:r>
        <w:r w:rsidR="00414CC4">
          <w:rPr>
            <w:noProof/>
            <w:webHidden/>
          </w:rPr>
          <w:instrText xml:space="preserve"> PAGEREF _Toc53406550 \h </w:instrText>
        </w:r>
        <w:r w:rsidR="00414CC4">
          <w:rPr>
            <w:noProof/>
            <w:webHidden/>
          </w:rPr>
        </w:r>
        <w:r w:rsidR="00414CC4">
          <w:rPr>
            <w:noProof/>
            <w:webHidden/>
          </w:rPr>
          <w:fldChar w:fldCharType="separate"/>
        </w:r>
        <w:r w:rsidR="00414CC4">
          <w:rPr>
            <w:noProof/>
            <w:webHidden/>
          </w:rPr>
          <w:t>14</w:t>
        </w:r>
        <w:r w:rsidR="00414CC4">
          <w:rPr>
            <w:noProof/>
            <w:webHidden/>
          </w:rPr>
          <w:fldChar w:fldCharType="end"/>
        </w:r>
      </w:hyperlink>
    </w:p>
    <w:p w14:paraId="1F4BB9F7" w14:textId="72AFFBF7" w:rsidR="00414CC4" w:rsidRDefault="002F1993">
      <w:pPr>
        <w:pStyle w:val="TOC1"/>
        <w:rPr>
          <w:rFonts w:asciiTheme="minorHAnsi" w:eastAsiaTheme="minorEastAsia" w:hAnsiTheme="minorHAnsi" w:cstheme="minorBidi"/>
          <w:noProof/>
          <w:sz w:val="22"/>
          <w:szCs w:val="22"/>
        </w:rPr>
      </w:pPr>
      <w:hyperlink w:anchor="_Toc53406551" w:history="1">
        <w:r w:rsidR="00414CC4" w:rsidRPr="007F5C44">
          <w:rPr>
            <w:rStyle w:val="Hyperlink"/>
            <w:b/>
            <w:noProof/>
          </w:rPr>
          <w:t>9</w:t>
        </w:r>
        <w:r w:rsidR="00414CC4">
          <w:rPr>
            <w:rFonts w:asciiTheme="minorHAnsi" w:eastAsiaTheme="minorEastAsia" w:hAnsiTheme="minorHAnsi" w:cstheme="minorBidi"/>
            <w:noProof/>
            <w:sz w:val="22"/>
            <w:szCs w:val="22"/>
          </w:rPr>
          <w:tab/>
        </w:r>
        <w:r w:rsidR="00414CC4" w:rsidRPr="007F5C44">
          <w:rPr>
            <w:rStyle w:val="Hyperlink"/>
            <w:noProof/>
          </w:rPr>
          <w:t>Economy</w:t>
        </w:r>
        <w:r w:rsidR="00414CC4">
          <w:rPr>
            <w:noProof/>
            <w:webHidden/>
          </w:rPr>
          <w:tab/>
        </w:r>
        <w:r w:rsidR="00414CC4">
          <w:rPr>
            <w:noProof/>
            <w:webHidden/>
          </w:rPr>
          <w:fldChar w:fldCharType="begin"/>
        </w:r>
        <w:r w:rsidR="00414CC4">
          <w:rPr>
            <w:noProof/>
            <w:webHidden/>
          </w:rPr>
          <w:instrText xml:space="preserve"> PAGEREF _Toc53406551 \h </w:instrText>
        </w:r>
        <w:r w:rsidR="00414CC4">
          <w:rPr>
            <w:noProof/>
            <w:webHidden/>
          </w:rPr>
        </w:r>
        <w:r w:rsidR="00414CC4">
          <w:rPr>
            <w:noProof/>
            <w:webHidden/>
          </w:rPr>
          <w:fldChar w:fldCharType="separate"/>
        </w:r>
        <w:r w:rsidR="00414CC4">
          <w:rPr>
            <w:noProof/>
            <w:webHidden/>
          </w:rPr>
          <w:t>16</w:t>
        </w:r>
        <w:r w:rsidR="00414CC4">
          <w:rPr>
            <w:noProof/>
            <w:webHidden/>
          </w:rPr>
          <w:fldChar w:fldCharType="end"/>
        </w:r>
      </w:hyperlink>
    </w:p>
    <w:p w14:paraId="3729F08E" w14:textId="7CE0BAD0" w:rsidR="00414CC4" w:rsidRDefault="002F1993">
      <w:pPr>
        <w:pStyle w:val="TOC1"/>
        <w:rPr>
          <w:rFonts w:asciiTheme="minorHAnsi" w:eastAsiaTheme="minorEastAsia" w:hAnsiTheme="minorHAnsi" w:cstheme="minorBidi"/>
          <w:noProof/>
          <w:sz w:val="22"/>
          <w:szCs w:val="22"/>
        </w:rPr>
      </w:pPr>
      <w:hyperlink w:anchor="_Toc53406552" w:history="1">
        <w:r w:rsidR="00414CC4" w:rsidRPr="007F5C44">
          <w:rPr>
            <w:rStyle w:val="Hyperlink"/>
            <w:b/>
            <w:noProof/>
          </w:rPr>
          <w:t>10</w:t>
        </w:r>
        <w:r w:rsidR="00414CC4">
          <w:rPr>
            <w:rFonts w:asciiTheme="minorHAnsi" w:eastAsiaTheme="minorEastAsia" w:hAnsiTheme="minorHAnsi" w:cstheme="minorBidi"/>
            <w:noProof/>
            <w:sz w:val="22"/>
            <w:szCs w:val="22"/>
          </w:rPr>
          <w:tab/>
        </w:r>
        <w:r w:rsidR="00414CC4" w:rsidRPr="007F5C44">
          <w:rPr>
            <w:rStyle w:val="Hyperlink"/>
            <w:noProof/>
          </w:rPr>
          <w:t>Stormwater Drainage</w:t>
        </w:r>
        <w:r w:rsidR="00414CC4">
          <w:rPr>
            <w:noProof/>
            <w:webHidden/>
          </w:rPr>
          <w:tab/>
        </w:r>
        <w:r w:rsidR="00414CC4">
          <w:rPr>
            <w:noProof/>
            <w:webHidden/>
          </w:rPr>
          <w:fldChar w:fldCharType="begin"/>
        </w:r>
        <w:r w:rsidR="00414CC4">
          <w:rPr>
            <w:noProof/>
            <w:webHidden/>
          </w:rPr>
          <w:instrText xml:space="preserve"> PAGEREF _Toc53406552 \h </w:instrText>
        </w:r>
        <w:r w:rsidR="00414CC4">
          <w:rPr>
            <w:noProof/>
            <w:webHidden/>
          </w:rPr>
        </w:r>
        <w:r w:rsidR="00414CC4">
          <w:rPr>
            <w:noProof/>
            <w:webHidden/>
          </w:rPr>
          <w:fldChar w:fldCharType="separate"/>
        </w:r>
        <w:r w:rsidR="00414CC4">
          <w:rPr>
            <w:noProof/>
            <w:webHidden/>
          </w:rPr>
          <w:t>18</w:t>
        </w:r>
        <w:r w:rsidR="00414CC4">
          <w:rPr>
            <w:noProof/>
            <w:webHidden/>
          </w:rPr>
          <w:fldChar w:fldCharType="end"/>
        </w:r>
      </w:hyperlink>
    </w:p>
    <w:p w14:paraId="5EFE376C" w14:textId="6C920EAC" w:rsidR="00414CC4" w:rsidRDefault="002F1993">
      <w:pPr>
        <w:pStyle w:val="TOC1"/>
        <w:rPr>
          <w:rFonts w:asciiTheme="minorHAnsi" w:eastAsiaTheme="minorEastAsia" w:hAnsiTheme="minorHAnsi" w:cstheme="minorBidi"/>
          <w:noProof/>
          <w:sz w:val="22"/>
          <w:szCs w:val="22"/>
        </w:rPr>
      </w:pPr>
      <w:hyperlink w:anchor="_Toc53406553" w:history="1">
        <w:r w:rsidR="00414CC4" w:rsidRPr="007F5C44">
          <w:rPr>
            <w:rStyle w:val="Hyperlink"/>
            <w:b/>
            <w:noProof/>
          </w:rPr>
          <w:t>11</w:t>
        </w:r>
        <w:r w:rsidR="00414CC4">
          <w:rPr>
            <w:rFonts w:asciiTheme="minorHAnsi" w:eastAsiaTheme="minorEastAsia" w:hAnsiTheme="minorHAnsi" w:cstheme="minorBidi"/>
            <w:noProof/>
            <w:sz w:val="22"/>
            <w:szCs w:val="22"/>
          </w:rPr>
          <w:tab/>
        </w:r>
        <w:r w:rsidR="00414CC4" w:rsidRPr="007F5C44">
          <w:rPr>
            <w:rStyle w:val="Hyperlink"/>
            <w:noProof/>
          </w:rPr>
          <w:t>Bushfire</w:t>
        </w:r>
        <w:r w:rsidR="00414CC4">
          <w:rPr>
            <w:noProof/>
            <w:webHidden/>
          </w:rPr>
          <w:tab/>
        </w:r>
        <w:r w:rsidR="00414CC4">
          <w:rPr>
            <w:noProof/>
            <w:webHidden/>
          </w:rPr>
          <w:fldChar w:fldCharType="begin"/>
        </w:r>
        <w:r w:rsidR="00414CC4">
          <w:rPr>
            <w:noProof/>
            <w:webHidden/>
          </w:rPr>
          <w:instrText xml:space="preserve"> PAGEREF _Toc53406553 \h </w:instrText>
        </w:r>
        <w:r w:rsidR="00414CC4">
          <w:rPr>
            <w:noProof/>
            <w:webHidden/>
          </w:rPr>
        </w:r>
        <w:r w:rsidR="00414CC4">
          <w:rPr>
            <w:noProof/>
            <w:webHidden/>
          </w:rPr>
          <w:fldChar w:fldCharType="separate"/>
        </w:r>
        <w:r w:rsidR="00414CC4">
          <w:rPr>
            <w:noProof/>
            <w:webHidden/>
          </w:rPr>
          <w:t>19</w:t>
        </w:r>
        <w:r w:rsidR="00414CC4">
          <w:rPr>
            <w:noProof/>
            <w:webHidden/>
          </w:rPr>
          <w:fldChar w:fldCharType="end"/>
        </w:r>
      </w:hyperlink>
    </w:p>
    <w:p w14:paraId="63E4EF0D" w14:textId="59A12125" w:rsidR="00937364" w:rsidRDefault="00937364" w:rsidP="00937364">
      <w:pPr>
        <w:pStyle w:val="HeadingContents"/>
      </w:pPr>
      <w:r>
        <w:rPr>
          <w:rFonts w:ascii="Calibri" w:hAnsi="Calibri"/>
          <w:sz w:val="22"/>
          <w:lang w:val="en-US" w:eastAsia="en-AU"/>
        </w:rPr>
        <w:fldChar w:fldCharType="end"/>
      </w:r>
      <w:r>
        <w:t>Tables</w:t>
      </w:r>
    </w:p>
    <w:p w14:paraId="4A070947" w14:textId="17DA01FB" w:rsidR="00850117" w:rsidRDefault="00937364">
      <w:pPr>
        <w:pStyle w:val="TableofFigures"/>
        <w:tabs>
          <w:tab w:val="right" w:pos="8488"/>
        </w:tabs>
        <w:rPr>
          <w:rFonts w:asciiTheme="minorHAnsi" w:eastAsiaTheme="minorEastAsia" w:hAnsiTheme="minorHAnsi" w:cstheme="minorBidi"/>
          <w:noProof/>
          <w:sz w:val="22"/>
        </w:rPr>
      </w:pPr>
      <w:r>
        <w:rPr>
          <w:rFonts w:ascii="Calibri" w:hAnsi="Calibri"/>
          <w:caps/>
          <w:sz w:val="22"/>
          <w:lang w:val="en-US"/>
        </w:rPr>
        <w:fldChar w:fldCharType="begin"/>
      </w:r>
      <w:r>
        <w:rPr>
          <w:rFonts w:ascii="Calibri" w:hAnsi="Calibri"/>
          <w:caps/>
          <w:sz w:val="22"/>
          <w:lang w:val="en-US"/>
        </w:rPr>
        <w:instrText xml:space="preserve"> TOC \h \z \c "Table" </w:instrText>
      </w:r>
      <w:r>
        <w:rPr>
          <w:rFonts w:ascii="Calibri" w:hAnsi="Calibri"/>
          <w:caps/>
          <w:sz w:val="22"/>
          <w:lang w:val="en-US"/>
        </w:rPr>
        <w:fldChar w:fldCharType="separate"/>
      </w:r>
      <w:hyperlink w:anchor="_Toc53406614" w:history="1">
        <w:r w:rsidR="00850117" w:rsidRPr="00410998">
          <w:rPr>
            <w:rStyle w:val="Hyperlink"/>
            <w:noProof/>
          </w:rPr>
          <w:t>Table 1 Existing public transport</w:t>
        </w:r>
        <w:r w:rsidR="00850117">
          <w:rPr>
            <w:noProof/>
            <w:webHidden/>
          </w:rPr>
          <w:tab/>
        </w:r>
        <w:r w:rsidR="00850117">
          <w:rPr>
            <w:noProof/>
            <w:webHidden/>
          </w:rPr>
          <w:fldChar w:fldCharType="begin"/>
        </w:r>
        <w:r w:rsidR="00850117">
          <w:rPr>
            <w:noProof/>
            <w:webHidden/>
          </w:rPr>
          <w:instrText xml:space="preserve"> PAGEREF _Toc53406614 \h </w:instrText>
        </w:r>
        <w:r w:rsidR="00850117">
          <w:rPr>
            <w:noProof/>
            <w:webHidden/>
          </w:rPr>
        </w:r>
        <w:r w:rsidR="00850117">
          <w:rPr>
            <w:noProof/>
            <w:webHidden/>
          </w:rPr>
          <w:fldChar w:fldCharType="separate"/>
        </w:r>
        <w:r w:rsidR="00850117">
          <w:rPr>
            <w:noProof/>
            <w:webHidden/>
          </w:rPr>
          <w:t>12</w:t>
        </w:r>
        <w:r w:rsidR="00850117">
          <w:rPr>
            <w:noProof/>
            <w:webHidden/>
          </w:rPr>
          <w:fldChar w:fldCharType="end"/>
        </w:r>
      </w:hyperlink>
    </w:p>
    <w:p w14:paraId="0AFBBE84" w14:textId="26E96DEA" w:rsidR="00850117" w:rsidRDefault="002F1993">
      <w:pPr>
        <w:pStyle w:val="TableofFigures"/>
        <w:tabs>
          <w:tab w:val="right" w:pos="8488"/>
        </w:tabs>
        <w:rPr>
          <w:rFonts w:asciiTheme="minorHAnsi" w:eastAsiaTheme="minorEastAsia" w:hAnsiTheme="minorHAnsi" w:cstheme="minorBidi"/>
          <w:noProof/>
          <w:sz w:val="22"/>
        </w:rPr>
      </w:pPr>
      <w:hyperlink w:anchor="_Toc53406615" w:history="1">
        <w:r w:rsidR="00850117" w:rsidRPr="00410998">
          <w:rPr>
            <w:rStyle w:val="Hyperlink"/>
            <w:noProof/>
          </w:rPr>
          <w:t>Table 2 Comparison of bus services</w:t>
        </w:r>
        <w:r w:rsidR="00850117">
          <w:rPr>
            <w:noProof/>
            <w:webHidden/>
          </w:rPr>
          <w:tab/>
        </w:r>
        <w:r w:rsidR="00850117">
          <w:rPr>
            <w:noProof/>
            <w:webHidden/>
          </w:rPr>
          <w:fldChar w:fldCharType="begin"/>
        </w:r>
        <w:r w:rsidR="00850117">
          <w:rPr>
            <w:noProof/>
            <w:webHidden/>
          </w:rPr>
          <w:instrText xml:space="preserve"> PAGEREF _Toc53406615 \h </w:instrText>
        </w:r>
        <w:r w:rsidR="00850117">
          <w:rPr>
            <w:noProof/>
            <w:webHidden/>
          </w:rPr>
        </w:r>
        <w:r w:rsidR="00850117">
          <w:rPr>
            <w:noProof/>
            <w:webHidden/>
          </w:rPr>
          <w:fldChar w:fldCharType="separate"/>
        </w:r>
        <w:r w:rsidR="00850117">
          <w:rPr>
            <w:noProof/>
            <w:webHidden/>
          </w:rPr>
          <w:t>12</w:t>
        </w:r>
        <w:r w:rsidR="00850117">
          <w:rPr>
            <w:noProof/>
            <w:webHidden/>
          </w:rPr>
          <w:fldChar w:fldCharType="end"/>
        </w:r>
      </w:hyperlink>
    </w:p>
    <w:p w14:paraId="72B156E6" w14:textId="76C879A2" w:rsidR="00937364" w:rsidRDefault="00937364" w:rsidP="00937364">
      <w:pPr>
        <w:pStyle w:val="HeadingContents"/>
      </w:pPr>
      <w:r>
        <w:rPr>
          <w:rFonts w:ascii="Calibri" w:hAnsi="Calibri"/>
          <w:sz w:val="22"/>
          <w:szCs w:val="22"/>
          <w:lang w:val="en-US"/>
        </w:rPr>
        <w:fldChar w:fldCharType="end"/>
      </w:r>
      <w:r>
        <w:t>Figures</w:t>
      </w:r>
    </w:p>
    <w:p w14:paraId="3ECFBE2D" w14:textId="3396A289" w:rsidR="00850117" w:rsidRDefault="00937364">
      <w:pPr>
        <w:pStyle w:val="TableofFigures"/>
        <w:tabs>
          <w:tab w:val="right" w:pos="8488"/>
        </w:tabs>
        <w:rPr>
          <w:rFonts w:asciiTheme="minorHAnsi" w:eastAsiaTheme="minorEastAsia" w:hAnsiTheme="minorHAnsi" w:cstheme="minorBidi"/>
          <w:noProof/>
          <w:sz w:val="22"/>
        </w:rPr>
      </w:pPr>
      <w:r>
        <w:fldChar w:fldCharType="begin"/>
      </w:r>
      <w:r>
        <w:instrText xml:space="preserve"> TOC \h \z \c "Figure" </w:instrText>
      </w:r>
      <w:r>
        <w:fldChar w:fldCharType="separate"/>
      </w:r>
      <w:hyperlink w:anchor="_Toc53406605" w:history="1">
        <w:r w:rsidR="00850117" w:rsidRPr="004D11ED">
          <w:rPr>
            <w:rStyle w:val="Hyperlink"/>
            <w:noProof/>
          </w:rPr>
          <w:t>Figure 1 Regional context</w:t>
        </w:r>
        <w:r w:rsidR="00850117">
          <w:rPr>
            <w:noProof/>
            <w:webHidden/>
          </w:rPr>
          <w:tab/>
        </w:r>
        <w:r w:rsidR="00850117">
          <w:rPr>
            <w:noProof/>
            <w:webHidden/>
          </w:rPr>
          <w:fldChar w:fldCharType="begin"/>
        </w:r>
        <w:r w:rsidR="00850117">
          <w:rPr>
            <w:noProof/>
            <w:webHidden/>
          </w:rPr>
          <w:instrText xml:space="preserve"> PAGEREF _Toc53406605 \h </w:instrText>
        </w:r>
        <w:r w:rsidR="00850117">
          <w:rPr>
            <w:noProof/>
            <w:webHidden/>
          </w:rPr>
        </w:r>
        <w:r w:rsidR="00850117">
          <w:rPr>
            <w:noProof/>
            <w:webHidden/>
          </w:rPr>
          <w:fldChar w:fldCharType="separate"/>
        </w:r>
        <w:r w:rsidR="00850117">
          <w:rPr>
            <w:noProof/>
            <w:webHidden/>
          </w:rPr>
          <w:t>3</w:t>
        </w:r>
        <w:r w:rsidR="00850117">
          <w:rPr>
            <w:noProof/>
            <w:webHidden/>
          </w:rPr>
          <w:fldChar w:fldCharType="end"/>
        </w:r>
      </w:hyperlink>
    </w:p>
    <w:p w14:paraId="42BF8EAD" w14:textId="03CEB91A" w:rsidR="00850117" w:rsidRDefault="002F1993">
      <w:pPr>
        <w:pStyle w:val="TableofFigures"/>
        <w:tabs>
          <w:tab w:val="right" w:pos="8488"/>
        </w:tabs>
        <w:rPr>
          <w:rFonts w:asciiTheme="minorHAnsi" w:eastAsiaTheme="minorEastAsia" w:hAnsiTheme="minorHAnsi" w:cstheme="minorBidi"/>
          <w:noProof/>
          <w:sz w:val="22"/>
        </w:rPr>
      </w:pPr>
      <w:hyperlink w:anchor="_Toc53406606" w:history="1">
        <w:r w:rsidR="00850117" w:rsidRPr="004D11ED">
          <w:rPr>
            <w:rStyle w:val="Hyperlink"/>
            <w:noProof/>
          </w:rPr>
          <w:t>Figure 2 G21 Regional Growth Plan planned growth</w:t>
        </w:r>
        <w:r w:rsidR="00850117">
          <w:rPr>
            <w:noProof/>
            <w:webHidden/>
          </w:rPr>
          <w:tab/>
        </w:r>
        <w:r w:rsidR="00850117">
          <w:rPr>
            <w:noProof/>
            <w:webHidden/>
          </w:rPr>
          <w:fldChar w:fldCharType="begin"/>
        </w:r>
        <w:r w:rsidR="00850117">
          <w:rPr>
            <w:noProof/>
            <w:webHidden/>
          </w:rPr>
          <w:instrText xml:space="preserve"> PAGEREF _Toc53406606 \h </w:instrText>
        </w:r>
        <w:r w:rsidR="00850117">
          <w:rPr>
            <w:noProof/>
            <w:webHidden/>
          </w:rPr>
        </w:r>
        <w:r w:rsidR="00850117">
          <w:rPr>
            <w:noProof/>
            <w:webHidden/>
          </w:rPr>
          <w:fldChar w:fldCharType="separate"/>
        </w:r>
        <w:r w:rsidR="00850117">
          <w:rPr>
            <w:noProof/>
            <w:webHidden/>
          </w:rPr>
          <w:t>4</w:t>
        </w:r>
        <w:r w:rsidR="00850117">
          <w:rPr>
            <w:noProof/>
            <w:webHidden/>
          </w:rPr>
          <w:fldChar w:fldCharType="end"/>
        </w:r>
      </w:hyperlink>
    </w:p>
    <w:p w14:paraId="49D163E1" w14:textId="639CE6B9" w:rsidR="00850117" w:rsidRDefault="002F1993">
      <w:pPr>
        <w:pStyle w:val="TableofFigures"/>
        <w:tabs>
          <w:tab w:val="right" w:pos="8488"/>
        </w:tabs>
        <w:rPr>
          <w:rFonts w:asciiTheme="minorHAnsi" w:eastAsiaTheme="minorEastAsia" w:hAnsiTheme="minorHAnsi" w:cstheme="minorBidi"/>
          <w:noProof/>
          <w:sz w:val="22"/>
        </w:rPr>
      </w:pPr>
      <w:hyperlink w:anchor="_Toc53406607" w:history="1">
        <w:r w:rsidR="00850117" w:rsidRPr="004D11ED">
          <w:rPr>
            <w:rStyle w:val="Hyperlink"/>
            <w:noProof/>
          </w:rPr>
          <w:t>Figure 3 Growth Plan Investigation Area</w:t>
        </w:r>
        <w:r w:rsidR="00850117">
          <w:rPr>
            <w:noProof/>
            <w:webHidden/>
          </w:rPr>
          <w:tab/>
        </w:r>
        <w:r w:rsidR="00850117">
          <w:rPr>
            <w:noProof/>
            <w:webHidden/>
          </w:rPr>
          <w:fldChar w:fldCharType="begin"/>
        </w:r>
        <w:r w:rsidR="00850117">
          <w:rPr>
            <w:noProof/>
            <w:webHidden/>
          </w:rPr>
          <w:instrText xml:space="preserve"> PAGEREF _Toc53406607 \h </w:instrText>
        </w:r>
        <w:r w:rsidR="00850117">
          <w:rPr>
            <w:noProof/>
            <w:webHidden/>
          </w:rPr>
        </w:r>
        <w:r w:rsidR="00850117">
          <w:rPr>
            <w:noProof/>
            <w:webHidden/>
          </w:rPr>
          <w:fldChar w:fldCharType="separate"/>
        </w:r>
        <w:r w:rsidR="00850117">
          <w:rPr>
            <w:noProof/>
            <w:webHidden/>
          </w:rPr>
          <w:t>5</w:t>
        </w:r>
        <w:r w:rsidR="00850117">
          <w:rPr>
            <w:noProof/>
            <w:webHidden/>
          </w:rPr>
          <w:fldChar w:fldCharType="end"/>
        </w:r>
      </w:hyperlink>
    </w:p>
    <w:p w14:paraId="00F19133" w14:textId="6F38B85C" w:rsidR="00850117" w:rsidRDefault="002F1993">
      <w:pPr>
        <w:pStyle w:val="TableofFigures"/>
        <w:tabs>
          <w:tab w:val="right" w:pos="8488"/>
        </w:tabs>
        <w:rPr>
          <w:rFonts w:asciiTheme="minorHAnsi" w:eastAsiaTheme="minorEastAsia" w:hAnsiTheme="minorHAnsi" w:cstheme="minorBidi"/>
          <w:noProof/>
          <w:sz w:val="22"/>
        </w:rPr>
      </w:pPr>
      <w:hyperlink w:anchor="_Toc53406608" w:history="1">
        <w:r w:rsidR="00850117" w:rsidRPr="004D11ED">
          <w:rPr>
            <w:rStyle w:val="Hyperlink"/>
            <w:noProof/>
          </w:rPr>
          <w:t>Figure 4 Modelled Ecological Vegetation Classes</w:t>
        </w:r>
        <w:r w:rsidR="00850117">
          <w:rPr>
            <w:noProof/>
            <w:webHidden/>
          </w:rPr>
          <w:tab/>
        </w:r>
        <w:r w:rsidR="00850117">
          <w:rPr>
            <w:noProof/>
            <w:webHidden/>
          </w:rPr>
          <w:fldChar w:fldCharType="begin"/>
        </w:r>
        <w:r w:rsidR="00850117">
          <w:rPr>
            <w:noProof/>
            <w:webHidden/>
          </w:rPr>
          <w:instrText xml:space="preserve"> PAGEREF _Toc53406608 \h </w:instrText>
        </w:r>
        <w:r w:rsidR="00850117">
          <w:rPr>
            <w:noProof/>
            <w:webHidden/>
          </w:rPr>
        </w:r>
        <w:r w:rsidR="00850117">
          <w:rPr>
            <w:noProof/>
            <w:webHidden/>
          </w:rPr>
          <w:fldChar w:fldCharType="separate"/>
        </w:r>
        <w:r w:rsidR="00850117">
          <w:rPr>
            <w:noProof/>
            <w:webHidden/>
          </w:rPr>
          <w:t>7</w:t>
        </w:r>
        <w:r w:rsidR="00850117">
          <w:rPr>
            <w:noProof/>
            <w:webHidden/>
          </w:rPr>
          <w:fldChar w:fldCharType="end"/>
        </w:r>
      </w:hyperlink>
    </w:p>
    <w:p w14:paraId="4E5BF890" w14:textId="7562BE98" w:rsidR="00850117" w:rsidRDefault="002F1993">
      <w:pPr>
        <w:pStyle w:val="TableofFigures"/>
        <w:tabs>
          <w:tab w:val="right" w:pos="8488"/>
        </w:tabs>
        <w:rPr>
          <w:rFonts w:asciiTheme="minorHAnsi" w:eastAsiaTheme="minorEastAsia" w:hAnsiTheme="minorHAnsi" w:cstheme="minorBidi"/>
          <w:noProof/>
          <w:sz w:val="22"/>
        </w:rPr>
      </w:pPr>
      <w:hyperlink w:anchor="_Toc53406609" w:history="1">
        <w:r w:rsidR="00850117" w:rsidRPr="004D11ED">
          <w:rPr>
            <w:rStyle w:val="Hyperlink"/>
            <w:noProof/>
          </w:rPr>
          <w:t>Figure 5 Potential for contamination</w:t>
        </w:r>
        <w:r w:rsidR="00850117">
          <w:rPr>
            <w:noProof/>
            <w:webHidden/>
          </w:rPr>
          <w:tab/>
        </w:r>
        <w:r w:rsidR="00850117">
          <w:rPr>
            <w:noProof/>
            <w:webHidden/>
          </w:rPr>
          <w:fldChar w:fldCharType="begin"/>
        </w:r>
        <w:r w:rsidR="00850117">
          <w:rPr>
            <w:noProof/>
            <w:webHidden/>
          </w:rPr>
          <w:instrText xml:space="preserve"> PAGEREF _Toc53406609 \h </w:instrText>
        </w:r>
        <w:r w:rsidR="00850117">
          <w:rPr>
            <w:noProof/>
            <w:webHidden/>
          </w:rPr>
        </w:r>
        <w:r w:rsidR="00850117">
          <w:rPr>
            <w:noProof/>
            <w:webHidden/>
          </w:rPr>
          <w:fldChar w:fldCharType="separate"/>
        </w:r>
        <w:r w:rsidR="00850117">
          <w:rPr>
            <w:noProof/>
            <w:webHidden/>
          </w:rPr>
          <w:t>9</w:t>
        </w:r>
        <w:r w:rsidR="00850117">
          <w:rPr>
            <w:noProof/>
            <w:webHidden/>
          </w:rPr>
          <w:fldChar w:fldCharType="end"/>
        </w:r>
      </w:hyperlink>
    </w:p>
    <w:p w14:paraId="395B9E81" w14:textId="6362DB08" w:rsidR="00850117" w:rsidRDefault="002F1993">
      <w:pPr>
        <w:pStyle w:val="TableofFigures"/>
        <w:tabs>
          <w:tab w:val="right" w:pos="8488"/>
        </w:tabs>
        <w:rPr>
          <w:rFonts w:asciiTheme="minorHAnsi" w:eastAsiaTheme="minorEastAsia" w:hAnsiTheme="minorHAnsi" w:cstheme="minorBidi"/>
          <w:noProof/>
          <w:sz w:val="22"/>
        </w:rPr>
      </w:pPr>
      <w:hyperlink w:anchor="_Toc53406610" w:history="1">
        <w:r w:rsidR="00850117" w:rsidRPr="004D11ED">
          <w:rPr>
            <w:rStyle w:val="Hyperlink"/>
            <w:noProof/>
          </w:rPr>
          <w:t>Figure 6 Five corridor options</w:t>
        </w:r>
        <w:r w:rsidR="00850117">
          <w:rPr>
            <w:noProof/>
            <w:webHidden/>
          </w:rPr>
          <w:tab/>
        </w:r>
        <w:r w:rsidR="00850117">
          <w:rPr>
            <w:noProof/>
            <w:webHidden/>
          </w:rPr>
          <w:fldChar w:fldCharType="begin"/>
        </w:r>
        <w:r w:rsidR="00850117">
          <w:rPr>
            <w:noProof/>
            <w:webHidden/>
          </w:rPr>
          <w:instrText xml:space="preserve"> PAGEREF _Toc53406610 \h </w:instrText>
        </w:r>
        <w:r w:rsidR="00850117">
          <w:rPr>
            <w:noProof/>
            <w:webHidden/>
          </w:rPr>
        </w:r>
        <w:r w:rsidR="00850117">
          <w:rPr>
            <w:noProof/>
            <w:webHidden/>
          </w:rPr>
          <w:fldChar w:fldCharType="separate"/>
        </w:r>
        <w:r w:rsidR="00850117">
          <w:rPr>
            <w:noProof/>
            <w:webHidden/>
          </w:rPr>
          <w:t>11</w:t>
        </w:r>
        <w:r w:rsidR="00850117">
          <w:rPr>
            <w:noProof/>
            <w:webHidden/>
          </w:rPr>
          <w:fldChar w:fldCharType="end"/>
        </w:r>
      </w:hyperlink>
    </w:p>
    <w:p w14:paraId="0ADC9947" w14:textId="7DC94870" w:rsidR="00850117" w:rsidRDefault="002F1993">
      <w:pPr>
        <w:pStyle w:val="TableofFigures"/>
        <w:tabs>
          <w:tab w:val="right" w:pos="8488"/>
        </w:tabs>
        <w:rPr>
          <w:rFonts w:asciiTheme="minorHAnsi" w:eastAsiaTheme="minorEastAsia" w:hAnsiTheme="minorHAnsi" w:cstheme="minorBidi"/>
          <w:noProof/>
          <w:sz w:val="22"/>
        </w:rPr>
      </w:pPr>
      <w:hyperlink w:anchor="_Toc53406611" w:history="1">
        <w:r w:rsidR="00850117" w:rsidRPr="004D11ED">
          <w:rPr>
            <w:rStyle w:val="Hyperlink"/>
            <w:noProof/>
          </w:rPr>
          <w:t>Figure 7 Evaluation of route option</w:t>
        </w:r>
        <w:r w:rsidR="00850117">
          <w:rPr>
            <w:noProof/>
            <w:webHidden/>
          </w:rPr>
          <w:tab/>
        </w:r>
        <w:r w:rsidR="00850117">
          <w:rPr>
            <w:noProof/>
            <w:webHidden/>
          </w:rPr>
          <w:fldChar w:fldCharType="begin"/>
        </w:r>
        <w:r w:rsidR="00850117">
          <w:rPr>
            <w:noProof/>
            <w:webHidden/>
          </w:rPr>
          <w:instrText xml:space="preserve"> PAGEREF _Toc53406611 \h </w:instrText>
        </w:r>
        <w:r w:rsidR="00850117">
          <w:rPr>
            <w:noProof/>
            <w:webHidden/>
          </w:rPr>
        </w:r>
        <w:r w:rsidR="00850117">
          <w:rPr>
            <w:noProof/>
            <w:webHidden/>
          </w:rPr>
          <w:fldChar w:fldCharType="separate"/>
        </w:r>
        <w:r w:rsidR="00850117">
          <w:rPr>
            <w:noProof/>
            <w:webHidden/>
          </w:rPr>
          <w:t>11</w:t>
        </w:r>
        <w:r w:rsidR="00850117">
          <w:rPr>
            <w:noProof/>
            <w:webHidden/>
          </w:rPr>
          <w:fldChar w:fldCharType="end"/>
        </w:r>
      </w:hyperlink>
    </w:p>
    <w:p w14:paraId="4BF0E72C" w14:textId="2F9A7307" w:rsidR="00850117" w:rsidRDefault="002F1993">
      <w:pPr>
        <w:pStyle w:val="TableofFigures"/>
        <w:tabs>
          <w:tab w:val="right" w:pos="8488"/>
        </w:tabs>
        <w:rPr>
          <w:rFonts w:asciiTheme="minorHAnsi" w:eastAsiaTheme="minorEastAsia" w:hAnsiTheme="minorHAnsi" w:cstheme="minorBidi"/>
          <w:noProof/>
          <w:sz w:val="22"/>
        </w:rPr>
      </w:pPr>
      <w:hyperlink w:anchor="_Toc53406612" w:history="1">
        <w:r w:rsidR="00850117" w:rsidRPr="004D11ED">
          <w:rPr>
            <w:rStyle w:val="Hyperlink"/>
            <w:noProof/>
          </w:rPr>
          <w:t>Figure 8 Concept drainage assets</w:t>
        </w:r>
        <w:r w:rsidR="00850117">
          <w:rPr>
            <w:noProof/>
            <w:webHidden/>
          </w:rPr>
          <w:tab/>
        </w:r>
        <w:r w:rsidR="00850117">
          <w:rPr>
            <w:noProof/>
            <w:webHidden/>
          </w:rPr>
          <w:fldChar w:fldCharType="begin"/>
        </w:r>
        <w:r w:rsidR="00850117">
          <w:rPr>
            <w:noProof/>
            <w:webHidden/>
          </w:rPr>
          <w:instrText xml:space="preserve"> PAGEREF _Toc53406612 \h </w:instrText>
        </w:r>
        <w:r w:rsidR="00850117">
          <w:rPr>
            <w:noProof/>
            <w:webHidden/>
          </w:rPr>
        </w:r>
        <w:r w:rsidR="00850117">
          <w:rPr>
            <w:noProof/>
            <w:webHidden/>
          </w:rPr>
          <w:fldChar w:fldCharType="separate"/>
        </w:r>
        <w:r w:rsidR="00850117">
          <w:rPr>
            <w:noProof/>
            <w:webHidden/>
          </w:rPr>
          <w:t>18</w:t>
        </w:r>
        <w:r w:rsidR="00850117">
          <w:rPr>
            <w:noProof/>
            <w:webHidden/>
          </w:rPr>
          <w:fldChar w:fldCharType="end"/>
        </w:r>
      </w:hyperlink>
    </w:p>
    <w:p w14:paraId="73E16D88" w14:textId="42B2AF29" w:rsidR="00850117" w:rsidRDefault="002F1993">
      <w:pPr>
        <w:pStyle w:val="TableofFigures"/>
        <w:tabs>
          <w:tab w:val="right" w:pos="8488"/>
        </w:tabs>
        <w:rPr>
          <w:rFonts w:asciiTheme="minorHAnsi" w:eastAsiaTheme="minorEastAsia" w:hAnsiTheme="minorHAnsi" w:cstheme="minorBidi"/>
          <w:noProof/>
          <w:sz w:val="22"/>
        </w:rPr>
      </w:pPr>
      <w:hyperlink w:anchor="_Toc53406613" w:history="1">
        <w:r w:rsidR="00850117" w:rsidRPr="004D11ED">
          <w:rPr>
            <w:rStyle w:val="Hyperlink"/>
            <w:noProof/>
          </w:rPr>
          <w:t>Figure 9 BAL 12.5 separation distances</w:t>
        </w:r>
        <w:r w:rsidR="00850117">
          <w:rPr>
            <w:noProof/>
            <w:webHidden/>
          </w:rPr>
          <w:tab/>
        </w:r>
        <w:r w:rsidR="00850117">
          <w:rPr>
            <w:noProof/>
            <w:webHidden/>
          </w:rPr>
          <w:fldChar w:fldCharType="begin"/>
        </w:r>
        <w:r w:rsidR="00850117">
          <w:rPr>
            <w:noProof/>
            <w:webHidden/>
          </w:rPr>
          <w:instrText xml:space="preserve"> PAGEREF _Toc53406613 \h </w:instrText>
        </w:r>
        <w:r w:rsidR="00850117">
          <w:rPr>
            <w:noProof/>
            <w:webHidden/>
          </w:rPr>
        </w:r>
        <w:r w:rsidR="00850117">
          <w:rPr>
            <w:noProof/>
            <w:webHidden/>
          </w:rPr>
          <w:fldChar w:fldCharType="separate"/>
        </w:r>
        <w:r w:rsidR="00850117">
          <w:rPr>
            <w:noProof/>
            <w:webHidden/>
          </w:rPr>
          <w:t>20</w:t>
        </w:r>
        <w:r w:rsidR="00850117">
          <w:rPr>
            <w:noProof/>
            <w:webHidden/>
          </w:rPr>
          <w:fldChar w:fldCharType="end"/>
        </w:r>
      </w:hyperlink>
    </w:p>
    <w:p w14:paraId="28430274" w14:textId="2A33DF7C" w:rsidR="00937364" w:rsidRDefault="00937364" w:rsidP="00937364">
      <w:r>
        <w:fldChar w:fldCharType="end"/>
      </w:r>
    </w:p>
    <w:p w14:paraId="1FA77820" w14:textId="64BDEF32" w:rsidR="008654AB" w:rsidRDefault="008654AB" w:rsidP="00633DB4">
      <w:pPr>
        <w:pStyle w:val="List3dash"/>
        <w:numPr>
          <w:ilvl w:val="0"/>
          <w:numId w:val="0"/>
        </w:numPr>
      </w:pPr>
      <w:r>
        <w:t xml:space="preserve"> </w:t>
      </w:r>
    </w:p>
    <w:p w14:paraId="76B81F31" w14:textId="77777777" w:rsidR="00937364" w:rsidRDefault="00937364" w:rsidP="00937364">
      <w:r>
        <w:br w:type="page"/>
      </w:r>
    </w:p>
    <w:p w14:paraId="207794C0" w14:textId="77777777" w:rsidR="00937364" w:rsidRDefault="00937364" w:rsidP="00987CB7">
      <w:pPr>
        <w:sectPr w:rsidR="00937364" w:rsidSect="00337B9D">
          <w:headerReference w:type="even" r:id="rId12"/>
          <w:headerReference w:type="default" r:id="rId13"/>
          <w:footerReference w:type="even" r:id="rId14"/>
          <w:footerReference w:type="default" r:id="rId15"/>
          <w:pgSz w:w="11901" w:h="16846" w:code="9"/>
          <w:pgMar w:top="1701" w:right="1418" w:bottom="851" w:left="1985" w:header="284" w:footer="0" w:gutter="0"/>
          <w:cols w:space="720"/>
          <w:docGrid w:linePitch="299"/>
        </w:sectPr>
      </w:pPr>
    </w:p>
    <w:p w14:paraId="2692508F" w14:textId="4EE3CEB7" w:rsidR="00937364" w:rsidRDefault="0047222D" w:rsidP="00937364">
      <w:pPr>
        <w:pStyle w:val="Heading1"/>
        <w:spacing w:line="240" w:lineRule="auto"/>
      </w:pPr>
      <w:bookmarkStart w:id="1" w:name="_Toc53406538"/>
      <w:r>
        <w:lastRenderedPageBreak/>
        <w:t>Executive Summary</w:t>
      </w:r>
      <w:bookmarkEnd w:id="1"/>
    </w:p>
    <w:p w14:paraId="27A1EAAE" w14:textId="77777777" w:rsidR="00633DB4" w:rsidRDefault="00633DB4" w:rsidP="00633DB4">
      <w:r w:rsidRPr="0056555E">
        <w:t xml:space="preserve">The Victorian Planning Authority (VPA) in partnership with </w:t>
      </w:r>
      <w:r>
        <w:t xml:space="preserve">Golden Plains Shire </w:t>
      </w:r>
      <w:r w:rsidRPr="0056555E">
        <w:t xml:space="preserve">Council (Council) </w:t>
      </w:r>
      <w:r>
        <w:t xml:space="preserve">has prepared </w:t>
      </w:r>
      <w:r w:rsidRPr="0056555E">
        <w:t xml:space="preserve">the </w:t>
      </w:r>
      <w:r>
        <w:rPr>
          <w:i/>
        </w:rPr>
        <w:t xml:space="preserve">Bannockburn Growth Plan </w:t>
      </w:r>
      <w:r>
        <w:rPr>
          <w:iCs/>
        </w:rPr>
        <w:t>(Growth Plan)</w:t>
      </w:r>
      <w:r w:rsidRPr="0056555E">
        <w:t xml:space="preserve"> </w:t>
      </w:r>
      <w:r>
        <w:t xml:space="preserve">to guide the sustainable growth of the town to the year </w:t>
      </w:r>
      <w:r w:rsidRPr="0039119A">
        <w:t>2050</w:t>
      </w:r>
      <w:r>
        <w:t xml:space="preserve">. A draft planning scheme amendment has been prepared to implement the Growth Plan as a Background Document and support a number of changes to the Planning Policy Framework (PPF) of the </w:t>
      </w:r>
      <w:r w:rsidRPr="008E09E7">
        <w:rPr>
          <w:i/>
          <w:iCs/>
        </w:rPr>
        <w:t>Golden Plains Planning Scheme</w:t>
      </w:r>
      <w:r>
        <w:t xml:space="preserve">.   </w:t>
      </w:r>
    </w:p>
    <w:p w14:paraId="041EAB65" w14:textId="481BFC25" w:rsidR="00633DB4" w:rsidRDefault="00633DB4" w:rsidP="00633DB4">
      <w:r w:rsidRPr="0056555E">
        <w:t xml:space="preserve">This </w:t>
      </w:r>
      <w:r>
        <w:rPr>
          <w:i/>
        </w:rPr>
        <w:t>Background</w:t>
      </w:r>
      <w:r w:rsidRPr="0056555E">
        <w:rPr>
          <w:i/>
        </w:rPr>
        <w:t xml:space="preserve"> Report </w:t>
      </w:r>
      <w:r>
        <w:t>outlines</w:t>
      </w:r>
      <w:r w:rsidRPr="0056555E">
        <w:t xml:space="preserve"> </w:t>
      </w:r>
      <w:r>
        <w:t>information that supports the Growth Plan and draft amendment</w:t>
      </w:r>
      <w:r w:rsidRPr="00124011">
        <w:t>.</w:t>
      </w:r>
      <w:r>
        <w:t xml:space="preserve"> The report summarises technical information and recommendations provided by technical consultants and outlines how this has informed the Growth Plan and draft amendment.</w:t>
      </w:r>
    </w:p>
    <w:p w14:paraId="74A4EAFC" w14:textId="32A829ED" w:rsidR="00633DB4" w:rsidRDefault="00633DB4" w:rsidP="00633DB4">
      <w:pPr>
        <w:pStyle w:val="Heading1"/>
      </w:pPr>
      <w:bookmarkStart w:id="2" w:name="_Toc36805476"/>
      <w:bookmarkStart w:id="3" w:name="_Toc53406539"/>
      <w:r>
        <w:lastRenderedPageBreak/>
        <w:t>Introduction</w:t>
      </w:r>
      <w:bookmarkEnd w:id="2"/>
      <w:bookmarkEnd w:id="3"/>
    </w:p>
    <w:p w14:paraId="489970D6" w14:textId="77777777" w:rsidR="00DD0540" w:rsidRDefault="00DD0540" w:rsidP="00DD0540">
      <w:r>
        <w:t>The VPA in partnership with Council has prepared the Growth Plan, a high-level and broad strategy that:</w:t>
      </w:r>
    </w:p>
    <w:p w14:paraId="418A9E6E" w14:textId="77777777" w:rsidR="00DD0540" w:rsidRPr="00DD0540" w:rsidRDefault="00DD0540" w:rsidP="00DD0540">
      <w:pPr>
        <w:pStyle w:val="List1bullet"/>
      </w:pPr>
      <w:r>
        <w:t>S</w:t>
      </w:r>
      <w:r w:rsidRPr="0072161A">
        <w:t xml:space="preserve">et out </w:t>
      </w:r>
      <w:r w:rsidRPr="00DD0540">
        <w:t>the future vision for sustainable growth and land use planning in Bannockburn</w:t>
      </w:r>
    </w:p>
    <w:p w14:paraId="7DECAFE2" w14:textId="77777777" w:rsidR="00DD0540" w:rsidRPr="00DD0540" w:rsidRDefault="00DD0540" w:rsidP="00DD0540">
      <w:pPr>
        <w:pStyle w:val="List1bullet"/>
      </w:pPr>
      <w:r w:rsidRPr="00DD0540">
        <w:t>Identifies future residential and employment areas to ensure adequate land supply for the next 30 years.</w:t>
      </w:r>
    </w:p>
    <w:p w14:paraId="7C246DB4" w14:textId="77777777" w:rsidR="00DD0540" w:rsidRPr="00DD0540" w:rsidRDefault="00DD0540" w:rsidP="00DD0540">
      <w:pPr>
        <w:pStyle w:val="List1bullet"/>
      </w:pPr>
      <w:r w:rsidRPr="00DD0540">
        <w:t>Identifies the key considerations for further detailed planning and development of growth areas.</w:t>
      </w:r>
    </w:p>
    <w:p w14:paraId="1C91954B" w14:textId="77777777" w:rsidR="00DD0540" w:rsidRPr="00DD0540" w:rsidRDefault="00DD0540" w:rsidP="00DD0540">
      <w:pPr>
        <w:pStyle w:val="List1bullet"/>
      </w:pPr>
      <w:r w:rsidRPr="00DD0540">
        <w:t>Defines key projects and infrastructure to deliver to support growth.</w:t>
      </w:r>
    </w:p>
    <w:p w14:paraId="18191E50" w14:textId="77777777" w:rsidR="00DD0540" w:rsidRPr="001A27B5" w:rsidRDefault="00DD0540" w:rsidP="00DD0540">
      <w:pPr>
        <w:pStyle w:val="List1bullet"/>
      </w:pPr>
      <w:r w:rsidRPr="00DD0540">
        <w:t>Provides a more certain</w:t>
      </w:r>
      <w:r w:rsidRPr="0072161A">
        <w:t xml:space="preserve"> environment for both public and private investment decisions</w:t>
      </w:r>
      <w:r w:rsidRPr="001A27B5">
        <w:t>.</w:t>
      </w:r>
    </w:p>
    <w:p w14:paraId="16ACA228" w14:textId="77777777" w:rsidR="00DD0540" w:rsidRDefault="00DD0540" w:rsidP="00DD0540">
      <w:r w:rsidRPr="0056555E">
        <w:t>The Growth Plan will be used to coordinate, guide and inform the preparation and consi</w:t>
      </w:r>
      <w:r>
        <w:t>deration of future, more detailed</w:t>
      </w:r>
      <w:r w:rsidRPr="0056555E">
        <w:t xml:space="preserve"> local plans and planning permit applications.</w:t>
      </w:r>
    </w:p>
    <w:p w14:paraId="785D343F" w14:textId="47F950DA" w:rsidR="00633DB4" w:rsidRDefault="00DD0540" w:rsidP="00DD0540">
      <w:r>
        <w:t xml:space="preserve">The current strategic plan for Bannockburn is the </w:t>
      </w:r>
      <w:r>
        <w:rPr>
          <w:i/>
        </w:rPr>
        <w:t xml:space="preserve">Bannockburn Urban Design Framework </w:t>
      </w:r>
      <w:r>
        <w:rPr>
          <w:iCs/>
        </w:rPr>
        <w:t>(</w:t>
      </w:r>
      <w:r>
        <w:t xml:space="preserve">Parsons Brinckerhoff, 2011). </w:t>
      </w:r>
      <w:r w:rsidRPr="00A950FC">
        <w:t xml:space="preserve">Since </w:t>
      </w:r>
      <w:r>
        <w:t>2011</w:t>
      </w:r>
      <w:r w:rsidRPr="00A950FC">
        <w:t xml:space="preserve">, Bannockburn has </w:t>
      </w:r>
      <w:r>
        <w:t>exceeded its forecasted growth, with proportional growth rates above the averages for both regional Victoria and the G21 Region Alliance (G21)</w:t>
      </w:r>
      <w:r>
        <w:rPr>
          <w:rStyle w:val="FootnoteReference"/>
          <w:sz w:val="22"/>
        </w:rPr>
        <w:footnoteReference w:id="2"/>
      </w:r>
      <w:r>
        <w:t>. Golden Plains Shire is expected to continue to grow at high rates in the future, with most of this Growth focused in Bannockburn</w:t>
      </w:r>
      <w:r>
        <w:rPr>
          <w:rStyle w:val="FootnoteReference"/>
          <w:sz w:val="22"/>
        </w:rPr>
        <w:footnoteReference w:id="3"/>
      </w:r>
      <w:r w:rsidRPr="00A950FC">
        <w:t xml:space="preserve">. </w:t>
      </w:r>
      <w:r>
        <w:t>The</w:t>
      </w:r>
      <w:r w:rsidRPr="00A950FC">
        <w:t xml:space="preserve"> Growth Plan will serve as an update to the </w:t>
      </w:r>
      <w:r>
        <w:t xml:space="preserve">2011 </w:t>
      </w:r>
      <w:r w:rsidRPr="00A950FC">
        <w:t>Urban Design Framework</w:t>
      </w:r>
      <w:r>
        <w:t>.</w:t>
      </w:r>
    </w:p>
    <w:p w14:paraId="6ACB9339" w14:textId="77777777" w:rsidR="00B22519" w:rsidRDefault="00B22519" w:rsidP="00B22519">
      <w:pPr>
        <w:pStyle w:val="Heading2"/>
      </w:pPr>
      <w:bookmarkStart w:id="4" w:name="_Toc36805477"/>
      <w:bookmarkStart w:id="5" w:name="_Toc53406540"/>
      <w:r>
        <w:t>About Bannockburn</w:t>
      </w:r>
      <w:bookmarkEnd w:id="4"/>
      <w:bookmarkEnd w:id="5"/>
    </w:p>
    <w:p w14:paraId="1EDBEDA4" w14:textId="77777777" w:rsidR="00B22519" w:rsidRDefault="00B22519" w:rsidP="00B22519">
      <w:pPr>
        <w:rPr>
          <w:lang w:eastAsia="en-US"/>
        </w:rPr>
      </w:pPr>
      <w:r w:rsidRPr="000D72F0">
        <w:rPr>
          <w:lang w:eastAsia="en-US"/>
        </w:rPr>
        <w:t>Bannockburn is a rapidly growing town approximately 22</w:t>
      </w:r>
      <w:r>
        <w:rPr>
          <w:lang w:eastAsia="en-US"/>
        </w:rPr>
        <w:t xml:space="preserve">km </w:t>
      </w:r>
      <w:r w:rsidRPr="000D72F0">
        <w:rPr>
          <w:lang w:eastAsia="en-US"/>
        </w:rPr>
        <w:t xml:space="preserve">from Geelong, providing residents with opportunities to enjoy a rural lifestyle while still having </w:t>
      </w:r>
      <w:r>
        <w:rPr>
          <w:lang w:eastAsia="en-US"/>
        </w:rPr>
        <w:t>convenient</w:t>
      </w:r>
      <w:r w:rsidRPr="000D72F0">
        <w:rPr>
          <w:lang w:eastAsia="en-US"/>
        </w:rPr>
        <w:t xml:space="preserve"> access to service and employment opportunities.</w:t>
      </w:r>
      <w:r>
        <w:rPr>
          <w:lang w:eastAsia="en-US"/>
        </w:rPr>
        <w:t xml:space="preserve"> </w:t>
      </w:r>
    </w:p>
    <w:p w14:paraId="763870D6" w14:textId="77777777" w:rsidR="00B22519" w:rsidRPr="000D72F0" w:rsidRDefault="00B22519" w:rsidP="00B22519">
      <w:pPr>
        <w:rPr>
          <w:lang w:eastAsia="en-US"/>
        </w:rPr>
      </w:pPr>
      <w:r w:rsidRPr="000D72F0">
        <w:rPr>
          <w:lang w:eastAsia="en-US"/>
        </w:rPr>
        <w:t>The Wadawurrung people</w:t>
      </w:r>
      <w:r>
        <w:rPr>
          <w:lang w:eastAsia="en-US"/>
        </w:rPr>
        <w:t>s</w:t>
      </w:r>
      <w:r w:rsidRPr="000D72F0">
        <w:rPr>
          <w:lang w:eastAsia="en-US"/>
        </w:rPr>
        <w:t xml:space="preserve"> are the </w:t>
      </w:r>
      <w:r>
        <w:rPr>
          <w:lang w:eastAsia="en-US"/>
        </w:rPr>
        <w:t>Traditional</w:t>
      </w:r>
      <w:r w:rsidRPr="000D72F0">
        <w:rPr>
          <w:lang w:eastAsia="en-US"/>
        </w:rPr>
        <w:t xml:space="preserve"> </w:t>
      </w:r>
      <w:r>
        <w:rPr>
          <w:lang w:eastAsia="en-US"/>
        </w:rPr>
        <w:t>O</w:t>
      </w:r>
      <w:r w:rsidRPr="000D72F0">
        <w:rPr>
          <w:lang w:eastAsia="en-US"/>
        </w:rPr>
        <w:t>wners of the land on which Bannockburn is situated</w:t>
      </w:r>
      <w:r>
        <w:rPr>
          <w:lang w:eastAsia="en-US"/>
        </w:rPr>
        <w:t xml:space="preserve">, </w:t>
      </w:r>
      <w:r w:rsidRPr="000D72F0">
        <w:rPr>
          <w:lang w:eastAsia="en-US"/>
        </w:rPr>
        <w:t xml:space="preserve">represented by the </w:t>
      </w:r>
      <w:r>
        <w:rPr>
          <w:lang w:eastAsia="en-US"/>
        </w:rPr>
        <w:t>Wadawurrung Traditional Owners</w:t>
      </w:r>
      <w:r w:rsidRPr="000D72F0">
        <w:rPr>
          <w:lang w:eastAsia="en-US"/>
        </w:rPr>
        <w:t xml:space="preserve"> Aboriginal Corporation</w:t>
      </w:r>
      <w:r>
        <w:rPr>
          <w:lang w:eastAsia="en-US"/>
        </w:rPr>
        <w:t xml:space="preserve">. </w:t>
      </w:r>
    </w:p>
    <w:p w14:paraId="6E4DADC9" w14:textId="77777777" w:rsidR="00B22519" w:rsidRDefault="00B22519" w:rsidP="00B22519">
      <w:pPr>
        <w:rPr>
          <w:lang w:eastAsia="en-US"/>
        </w:rPr>
      </w:pPr>
      <w:r>
        <w:rPr>
          <w:lang w:eastAsia="en-US"/>
        </w:rPr>
        <w:t xml:space="preserve">Bannockburn is the largest town in Golden Plains Shire and provides services and amenities for a network of southern settlements including Teesdale, Inverleigh, Lethbridge, Batesford and Gheringhap. </w:t>
      </w:r>
    </w:p>
    <w:p w14:paraId="3510F587" w14:textId="77777777" w:rsidR="00B22519" w:rsidRDefault="00B22519" w:rsidP="00B22519">
      <w:r>
        <w:t xml:space="preserve">The Bannockburn regional context is outlined in </w:t>
      </w:r>
      <w:r w:rsidRPr="00D46997">
        <w:rPr>
          <w:b/>
          <w:bCs/>
        </w:rPr>
        <w:t>Figure 1</w:t>
      </w:r>
      <w:r>
        <w:t xml:space="preserve">. </w:t>
      </w:r>
    </w:p>
    <w:p w14:paraId="1EC4BE23" w14:textId="6D61F014" w:rsidR="00CB05DF" w:rsidRDefault="00CB05DF" w:rsidP="00CB05DF">
      <w:pPr>
        <w:pStyle w:val="Caption"/>
      </w:pPr>
      <w:bookmarkStart w:id="6" w:name="_Toc53406605"/>
      <w:r>
        <w:lastRenderedPageBreak/>
        <w:t xml:space="preserve">Figure </w:t>
      </w:r>
      <w:r w:rsidR="002F1993">
        <w:fldChar w:fldCharType="begin"/>
      </w:r>
      <w:r w:rsidR="002F1993">
        <w:instrText xml:space="preserve"> SEQ Figure \* ARABIC </w:instrText>
      </w:r>
      <w:r w:rsidR="002F1993">
        <w:fldChar w:fldCharType="separate"/>
      </w:r>
      <w:r w:rsidR="00881B08">
        <w:rPr>
          <w:noProof/>
        </w:rPr>
        <w:t>1</w:t>
      </w:r>
      <w:r w:rsidR="002F1993">
        <w:rPr>
          <w:noProof/>
        </w:rPr>
        <w:fldChar w:fldCharType="end"/>
      </w:r>
      <w:r>
        <w:t xml:space="preserve"> </w:t>
      </w:r>
      <w:r w:rsidRPr="00D6751C">
        <w:rPr>
          <w:color w:val="auto"/>
        </w:rPr>
        <w:t>Regional context</w:t>
      </w:r>
      <w:bookmarkEnd w:id="6"/>
    </w:p>
    <w:p w14:paraId="7CBF0320" w14:textId="77777777" w:rsidR="00CB05DF" w:rsidRPr="00D6751C" w:rsidRDefault="00CB05DF" w:rsidP="00CB05DF">
      <w:r>
        <w:rPr>
          <w:noProof/>
        </w:rPr>
        <w:drawing>
          <wp:inline distT="0" distB="0" distL="0" distR="0" wp14:anchorId="46E7EE97" wp14:editId="4AB8FC62">
            <wp:extent cx="5989229" cy="3695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08475" cy="3707576"/>
                    </a:xfrm>
                    <a:prstGeom prst="rect">
                      <a:avLst/>
                    </a:prstGeom>
                  </pic:spPr>
                </pic:pic>
              </a:graphicData>
            </a:graphic>
          </wp:inline>
        </w:drawing>
      </w:r>
    </w:p>
    <w:p w14:paraId="429F94CF" w14:textId="6D2A1B0C" w:rsidR="00DD0540" w:rsidRDefault="004A504E" w:rsidP="002E746C">
      <w:pPr>
        <w:pStyle w:val="Heading1"/>
      </w:pPr>
      <w:bookmarkStart w:id="7" w:name="_Toc53406541"/>
      <w:r>
        <w:lastRenderedPageBreak/>
        <w:t>Strategic Context</w:t>
      </w:r>
      <w:bookmarkEnd w:id="7"/>
    </w:p>
    <w:p w14:paraId="537725FF" w14:textId="77777777" w:rsidR="00282CC9" w:rsidRDefault="00282CC9" w:rsidP="00282CC9">
      <w:pPr>
        <w:pStyle w:val="Heading2"/>
      </w:pPr>
      <w:bookmarkStart w:id="8" w:name="_Toc49433727"/>
      <w:bookmarkStart w:id="9" w:name="_Toc53406542"/>
      <w:r>
        <w:t>State Policy</w:t>
      </w:r>
      <w:bookmarkEnd w:id="8"/>
      <w:bookmarkEnd w:id="9"/>
    </w:p>
    <w:p w14:paraId="1CF97DF5" w14:textId="77777777" w:rsidR="00282CC9" w:rsidRDefault="00282CC9" w:rsidP="00282CC9">
      <w:pPr>
        <w:pStyle w:val="Heading3"/>
      </w:pPr>
      <w:r>
        <w:t xml:space="preserve">G21 Regional Growth Plan </w:t>
      </w:r>
    </w:p>
    <w:p w14:paraId="2A61DD12" w14:textId="77777777" w:rsidR="00282CC9" w:rsidRDefault="00282CC9" w:rsidP="00282CC9">
      <w:pPr>
        <w:rPr>
          <w:lang w:eastAsia="en-US"/>
        </w:rPr>
      </w:pPr>
      <w:r w:rsidRPr="00FE29AB">
        <w:rPr>
          <w:lang w:eastAsia="en-US"/>
        </w:rPr>
        <w:t xml:space="preserve">Bannockburn is identified as </w:t>
      </w:r>
      <w:r>
        <w:rPr>
          <w:lang w:eastAsia="en-US"/>
        </w:rPr>
        <w:t xml:space="preserve">a Regional Centre in the North West Gateway of the G21 region. The </w:t>
      </w:r>
      <w:r w:rsidRPr="001948A6">
        <w:rPr>
          <w:i/>
          <w:iCs/>
          <w:lang w:eastAsia="en-US"/>
        </w:rPr>
        <w:t>G21 Regional Growth Plan</w:t>
      </w:r>
      <w:r>
        <w:rPr>
          <w:lang w:eastAsia="en-US"/>
        </w:rPr>
        <w:t xml:space="preserve"> (2013) acknowledges Bannockburn’s provision of larger lifestyle lots and relatively affordable housing options. Settlements such as Bannockburn play an important role in supporting surrounding rural communities and productive farming activity.</w:t>
      </w:r>
    </w:p>
    <w:p w14:paraId="076AD6CE" w14:textId="77777777" w:rsidR="00282CC9" w:rsidRDefault="00282CC9" w:rsidP="00282CC9">
      <w:pPr>
        <w:rPr>
          <w:lang w:eastAsia="en-US"/>
        </w:rPr>
      </w:pPr>
      <w:r>
        <w:rPr>
          <w:lang w:eastAsia="en-US"/>
        </w:rPr>
        <w:t xml:space="preserve">See </w:t>
      </w:r>
      <w:r w:rsidRPr="00F46ECC">
        <w:rPr>
          <w:b/>
          <w:bCs/>
          <w:lang w:eastAsia="en-US"/>
        </w:rPr>
        <w:t>Figure 2</w:t>
      </w:r>
      <w:r>
        <w:rPr>
          <w:lang w:eastAsia="en-US"/>
        </w:rPr>
        <w:t xml:space="preserve"> for a map of the G21 region and planned growth. </w:t>
      </w:r>
    </w:p>
    <w:p w14:paraId="28BF5974" w14:textId="6CBF4258" w:rsidR="00282CC9" w:rsidRDefault="00282CC9" w:rsidP="00282CC9">
      <w:pPr>
        <w:pStyle w:val="Caption"/>
        <w:rPr>
          <w:lang w:eastAsia="en-US"/>
        </w:rPr>
      </w:pPr>
      <w:bookmarkStart w:id="10" w:name="_Toc53406606"/>
      <w:r>
        <w:t xml:space="preserve">Figure </w:t>
      </w:r>
      <w:r w:rsidRPr="00F46ECC">
        <w:rPr>
          <w:color w:val="auto"/>
        </w:rPr>
        <w:fldChar w:fldCharType="begin"/>
      </w:r>
      <w:r w:rsidRPr="00F46ECC">
        <w:rPr>
          <w:color w:val="auto"/>
        </w:rPr>
        <w:instrText xml:space="preserve"> SEQ Figure \* ARABIC </w:instrText>
      </w:r>
      <w:r w:rsidRPr="00F46ECC">
        <w:rPr>
          <w:color w:val="auto"/>
        </w:rPr>
        <w:fldChar w:fldCharType="separate"/>
      </w:r>
      <w:r w:rsidR="00881B08">
        <w:rPr>
          <w:noProof/>
          <w:color w:val="auto"/>
        </w:rPr>
        <w:t>2</w:t>
      </w:r>
      <w:r w:rsidRPr="00F46ECC">
        <w:rPr>
          <w:color w:val="auto"/>
        </w:rPr>
        <w:fldChar w:fldCharType="end"/>
      </w:r>
      <w:r w:rsidRPr="00F46ECC">
        <w:rPr>
          <w:color w:val="auto"/>
        </w:rPr>
        <w:t xml:space="preserve"> G21 Regional Growth Plan </w:t>
      </w:r>
      <w:r w:rsidR="009263F3">
        <w:rPr>
          <w:color w:val="auto"/>
        </w:rPr>
        <w:t>planned growth</w:t>
      </w:r>
      <w:bookmarkEnd w:id="10"/>
    </w:p>
    <w:p w14:paraId="4FD78EF5" w14:textId="77777777" w:rsidR="00282CC9" w:rsidRDefault="00282CC9" w:rsidP="00282CC9">
      <w:pPr>
        <w:rPr>
          <w:lang w:eastAsia="en-US"/>
        </w:rPr>
      </w:pPr>
      <w:r>
        <w:rPr>
          <w:noProof/>
        </w:rPr>
        <w:drawing>
          <wp:inline distT="0" distB="0" distL="0" distR="0" wp14:anchorId="387BB307" wp14:editId="7C8FF1A6">
            <wp:extent cx="5576570" cy="4417695"/>
            <wp:effectExtent l="0" t="0" r="508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76570" cy="4417695"/>
                    </a:xfrm>
                    <a:prstGeom prst="rect">
                      <a:avLst/>
                    </a:prstGeom>
                  </pic:spPr>
                </pic:pic>
              </a:graphicData>
            </a:graphic>
          </wp:inline>
        </w:drawing>
      </w:r>
    </w:p>
    <w:p w14:paraId="1B94225A" w14:textId="77777777" w:rsidR="00282CC9" w:rsidRDefault="00282CC9" w:rsidP="00282CC9">
      <w:pPr>
        <w:pStyle w:val="Heading2"/>
      </w:pPr>
      <w:bookmarkStart w:id="11" w:name="_Toc49433728"/>
      <w:bookmarkStart w:id="12" w:name="_Toc53406543"/>
      <w:r>
        <w:t>Local policy</w:t>
      </w:r>
      <w:bookmarkEnd w:id="11"/>
      <w:bookmarkEnd w:id="12"/>
    </w:p>
    <w:p w14:paraId="035C8BD5" w14:textId="323829F2" w:rsidR="004A504E" w:rsidRDefault="00282CC9" w:rsidP="00282CC9">
      <w:pPr>
        <w:rPr>
          <w:lang w:eastAsia="en-US"/>
        </w:rPr>
      </w:pPr>
      <w:r w:rsidRPr="000D72F0">
        <w:rPr>
          <w:lang w:eastAsia="en-US"/>
        </w:rPr>
        <w:t>The Golden Plains Shire Planning Scheme emphasises the central role that Geelong and Ballar</w:t>
      </w:r>
      <w:r>
        <w:rPr>
          <w:lang w:eastAsia="en-US"/>
        </w:rPr>
        <w:t>a</w:t>
      </w:r>
      <w:r w:rsidRPr="000D72F0">
        <w:rPr>
          <w:lang w:eastAsia="en-US"/>
        </w:rPr>
        <w:t>t play in the region. Ballar</w:t>
      </w:r>
      <w:r>
        <w:rPr>
          <w:lang w:eastAsia="en-US"/>
        </w:rPr>
        <w:t>a</w:t>
      </w:r>
      <w:r w:rsidRPr="000D72F0">
        <w:rPr>
          <w:lang w:eastAsia="en-US"/>
        </w:rPr>
        <w:t>t is to be a main centre for regional growth, services and employment. Geelong, being Victoria’s second city’ also should be revitalised and strengthened as a major regional city. Bannockburn is one of the district towns which have been identified for growth as well, however, for these smaller townships, maintaining the agricultural component is important.</w:t>
      </w:r>
    </w:p>
    <w:p w14:paraId="2FADE7C8" w14:textId="3A62089D" w:rsidR="00282CC9" w:rsidRDefault="00250703" w:rsidP="00282CC9">
      <w:pPr>
        <w:pStyle w:val="Heading1"/>
      </w:pPr>
      <w:bookmarkStart w:id="13" w:name="_Toc53406544"/>
      <w:r>
        <w:lastRenderedPageBreak/>
        <w:t>Study Area</w:t>
      </w:r>
      <w:bookmarkEnd w:id="13"/>
    </w:p>
    <w:p w14:paraId="54A50E6C" w14:textId="77777777" w:rsidR="00097894" w:rsidRDefault="00097894" w:rsidP="008236A7">
      <w:pPr>
        <w:suppressAutoHyphens w:val="0"/>
        <w:autoSpaceDE w:val="0"/>
        <w:autoSpaceDN w:val="0"/>
        <w:adjustRightInd w:val="0"/>
        <w:spacing w:before="0" w:line="240" w:lineRule="auto"/>
        <w:jc w:val="left"/>
        <w:rPr>
          <w:lang w:eastAsia="en-US"/>
        </w:rPr>
      </w:pPr>
    </w:p>
    <w:p w14:paraId="51FEE91F" w14:textId="0DCEE147" w:rsidR="008236A7" w:rsidRPr="00E26C12" w:rsidRDefault="008236A7" w:rsidP="008236A7">
      <w:pPr>
        <w:suppressAutoHyphens w:val="0"/>
        <w:autoSpaceDE w:val="0"/>
        <w:autoSpaceDN w:val="0"/>
        <w:adjustRightInd w:val="0"/>
        <w:spacing w:before="0" w:line="240" w:lineRule="auto"/>
        <w:jc w:val="left"/>
        <w:rPr>
          <w:lang w:eastAsia="en-US"/>
        </w:rPr>
      </w:pPr>
      <w:r w:rsidRPr="00E26C12">
        <w:rPr>
          <w:lang w:eastAsia="en-US"/>
        </w:rPr>
        <w:t xml:space="preserve">The Growth Plan Investigation Area </w:t>
      </w:r>
      <w:r>
        <w:rPr>
          <w:lang w:eastAsia="en-US"/>
        </w:rPr>
        <w:t>(</w:t>
      </w:r>
      <w:r w:rsidRPr="00097894">
        <w:rPr>
          <w:b/>
          <w:bCs/>
          <w:lang w:eastAsia="en-US"/>
        </w:rPr>
        <w:t>Figure 3</w:t>
      </w:r>
      <w:r>
        <w:rPr>
          <w:lang w:eastAsia="en-US"/>
        </w:rPr>
        <w:t xml:space="preserve">) </w:t>
      </w:r>
      <w:r w:rsidRPr="00E26C12">
        <w:rPr>
          <w:lang w:eastAsia="en-US"/>
        </w:rPr>
        <w:t>was derived from the identification</w:t>
      </w:r>
      <w:r>
        <w:rPr>
          <w:lang w:eastAsia="en-US"/>
        </w:rPr>
        <w:t xml:space="preserve"> </w:t>
      </w:r>
      <w:r w:rsidRPr="00E26C12">
        <w:rPr>
          <w:lang w:eastAsia="en-US"/>
        </w:rPr>
        <w:t>of development constraints. These constraints are identified on</w:t>
      </w:r>
      <w:r>
        <w:rPr>
          <w:lang w:eastAsia="en-US"/>
        </w:rPr>
        <w:t xml:space="preserve"> </w:t>
      </w:r>
      <w:r w:rsidRPr="00E26C12">
        <w:rPr>
          <w:lang w:eastAsia="en-US"/>
        </w:rPr>
        <w:t>and described below:</w:t>
      </w:r>
    </w:p>
    <w:p w14:paraId="3B4235C9" w14:textId="77777777" w:rsidR="008236A7" w:rsidRPr="008236A7" w:rsidRDefault="008236A7" w:rsidP="008236A7">
      <w:pPr>
        <w:pStyle w:val="List1bullet"/>
      </w:pPr>
      <w:r w:rsidRPr="008236A7">
        <w:t>Connectivity constraints imposed by Bruce’s Creek.</w:t>
      </w:r>
    </w:p>
    <w:p w14:paraId="76162C98" w14:textId="77777777" w:rsidR="008236A7" w:rsidRPr="008236A7" w:rsidRDefault="008236A7" w:rsidP="008236A7">
      <w:pPr>
        <w:pStyle w:val="List1bullet"/>
      </w:pPr>
      <w:r w:rsidRPr="008236A7">
        <w:t>Midland Highway and the railway line.</w:t>
      </w:r>
    </w:p>
    <w:p w14:paraId="4BB9B57C" w14:textId="77777777" w:rsidR="008236A7" w:rsidRPr="008236A7" w:rsidRDefault="008236A7" w:rsidP="008236A7">
      <w:pPr>
        <w:pStyle w:val="List1bullet"/>
      </w:pPr>
      <w:r w:rsidRPr="008236A7">
        <w:t>Barwon Water infrastructure.</w:t>
      </w:r>
    </w:p>
    <w:p w14:paraId="2E74300A" w14:textId="77777777" w:rsidR="008236A7" w:rsidRPr="008236A7" w:rsidRDefault="008236A7" w:rsidP="008236A7">
      <w:pPr>
        <w:pStyle w:val="List1bullet"/>
      </w:pPr>
      <w:r w:rsidRPr="008236A7">
        <w:t>Bannockburn Flora and Fauna Reserve.</w:t>
      </w:r>
    </w:p>
    <w:p w14:paraId="3A63A8E1" w14:textId="77777777" w:rsidR="008236A7" w:rsidRPr="008236A7" w:rsidRDefault="008236A7" w:rsidP="008236A7">
      <w:pPr>
        <w:pStyle w:val="List1bullet"/>
      </w:pPr>
      <w:r w:rsidRPr="008236A7">
        <w:t>Rural Activity Zone identifying quality farmland.</w:t>
      </w:r>
    </w:p>
    <w:p w14:paraId="1C5290E3" w14:textId="77777777" w:rsidR="008236A7" w:rsidRPr="008236A7" w:rsidRDefault="008236A7" w:rsidP="008236A7">
      <w:pPr>
        <w:pStyle w:val="List1bullet"/>
      </w:pPr>
      <w:r w:rsidRPr="008236A7">
        <w:t>Non-urban break between Gheringhap and Bannockburn.</w:t>
      </w:r>
    </w:p>
    <w:p w14:paraId="268D2371" w14:textId="77777777" w:rsidR="008236A7" w:rsidRPr="00E26C12" w:rsidRDefault="008236A7" w:rsidP="008236A7">
      <w:pPr>
        <w:pStyle w:val="List1bullet"/>
        <w:rPr>
          <w:lang w:eastAsia="en-US"/>
        </w:rPr>
      </w:pPr>
      <w:r w:rsidRPr="008236A7">
        <w:t>Buffer from proposed</w:t>
      </w:r>
      <w:r w:rsidRPr="00E26C12">
        <w:rPr>
          <w:lang w:eastAsia="en-US"/>
        </w:rPr>
        <w:t xml:space="preserve"> employment uses at Gheringhap.</w:t>
      </w:r>
    </w:p>
    <w:p w14:paraId="0F956AC3" w14:textId="77777777" w:rsidR="008236A7" w:rsidRDefault="008236A7" w:rsidP="008236A7">
      <w:pPr>
        <w:suppressAutoHyphens w:val="0"/>
        <w:autoSpaceDE w:val="0"/>
        <w:autoSpaceDN w:val="0"/>
        <w:adjustRightInd w:val="0"/>
        <w:spacing w:before="0" w:line="240" w:lineRule="auto"/>
        <w:jc w:val="left"/>
        <w:rPr>
          <w:lang w:eastAsia="en-US"/>
        </w:rPr>
      </w:pPr>
    </w:p>
    <w:p w14:paraId="722D83F8" w14:textId="77777777" w:rsidR="008236A7" w:rsidRPr="00E26C12" w:rsidRDefault="008236A7" w:rsidP="008236A7">
      <w:pPr>
        <w:suppressAutoHyphens w:val="0"/>
        <w:autoSpaceDE w:val="0"/>
        <w:autoSpaceDN w:val="0"/>
        <w:adjustRightInd w:val="0"/>
        <w:spacing w:before="0" w:line="240" w:lineRule="auto"/>
        <w:jc w:val="left"/>
        <w:rPr>
          <w:lang w:eastAsia="en-US"/>
        </w:rPr>
      </w:pPr>
      <w:r w:rsidRPr="00E26C12">
        <w:rPr>
          <w:lang w:eastAsia="en-US"/>
        </w:rPr>
        <w:t>Each growth direction was also assessed in the Strategic Desktop</w:t>
      </w:r>
      <w:r>
        <w:rPr>
          <w:lang w:eastAsia="en-US"/>
        </w:rPr>
        <w:t xml:space="preserve"> </w:t>
      </w:r>
      <w:r w:rsidRPr="00E26C12">
        <w:rPr>
          <w:lang w:eastAsia="en-US"/>
        </w:rPr>
        <w:t>Bushfire Risk Assessment (2020) to understand the bushfire risk</w:t>
      </w:r>
      <w:r>
        <w:rPr>
          <w:lang w:eastAsia="en-US"/>
        </w:rPr>
        <w:t xml:space="preserve"> </w:t>
      </w:r>
      <w:r w:rsidRPr="00E26C12">
        <w:rPr>
          <w:lang w:eastAsia="en-US"/>
        </w:rPr>
        <w:t>associated with potential growth directions. The assessment concluded</w:t>
      </w:r>
      <w:r>
        <w:rPr>
          <w:lang w:eastAsia="en-US"/>
        </w:rPr>
        <w:t xml:space="preserve"> </w:t>
      </w:r>
      <w:r w:rsidRPr="00E26C12">
        <w:rPr>
          <w:lang w:eastAsia="en-US"/>
        </w:rPr>
        <w:t>that development in the north and west would have a similar bushfire</w:t>
      </w:r>
      <w:r>
        <w:rPr>
          <w:lang w:eastAsia="en-US"/>
        </w:rPr>
        <w:t xml:space="preserve"> </w:t>
      </w:r>
      <w:r w:rsidRPr="00E26C12">
        <w:rPr>
          <w:lang w:eastAsia="en-US"/>
        </w:rPr>
        <w:t>risk to the south. The east was identified as having a lower risk</w:t>
      </w:r>
    </w:p>
    <w:p w14:paraId="572CA5B9" w14:textId="77777777" w:rsidR="008236A7" w:rsidRDefault="008236A7" w:rsidP="008236A7">
      <w:pPr>
        <w:suppressAutoHyphens w:val="0"/>
        <w:autoSpaceDE w:val="0"/>
        <w:autoSpaceDN w:val="0"/>
        <w:adjustRightInd w:val="0"/>
        <w:spacing w:before="0" w:line="240" w:lineRule="auto"/>
        <w:jc w:val="left"/>
        <w:rPr>
          <w:lang w:eastAsia="en-US"/>
        </w:rPr>
      </w:pPr>
    </w:p>
    <w:p w14:paraId="66DE81F2" w14:textId="77777777" w:rsidR="008236A7" w:rsidRDefault="008236A7" w:rsidP="008236A7">
      <w:pPr>
        <w:suppressAutoHyphens w:val="0"/>
        <w:autoSpaceDE w:val="0"/>
        <w:autoSpaceDN w:val="0"/>
        <w:adjustRightInd w:val="0"/>
        <w:spacing w:before="0" w:line="240" w:lineRule="auto"/>
        <w:jc w:val="left"/>
        <w:rPr>
          <w:lang w:eastAsia="en-US"/>
        </w:rPr>
      </w:pPr>
      <w:r w:rsidRPr="00E26C12">
        <w:rPr>
          <w:lang w:eastAsia="en-US"/>
        </w:rPr>
        <w:t>The Growth Plan Investigation Area provided a boundary for the</w:t>
      </w:r>
      <w:r>
        <w:rPr>
          <w:lang w:eastAsia="en-US"/>
        </w:rPr>
        <w:t xml:space="preserve"> </w:t>
      </w:r>
      <w:r w:rsidRPr="00E26C12">
        <w:rPr>
          <w:lang w:eastAsia="en-US"/>
        </w:rPr>
        <w:t>completion of technical work and targeted engagement with key</w:t>
      </w:r>
      <w:r>
        <w:rPr>
          <w:lang w:eastAsia="en-US"/>
        </w:rPr>
        <w:t xml:space="preserve"> </w:t>
      </w:r>
      <w:r w:rsidRPr="00E26C12">
        <w:rPr>
          <w:lang w:eastAsia="en-US"/>
        </w:rPr>
        <w:t>agencies to determine the allocation of growth areas.</w:t>
      </w:r>
    </w:p>
    <w:p w14:paraId="012C15A8" w14:textId="77777777" w:rsidR="008236A7" w:rsidRDefault="008236A7" w:rsidP="008236A7">
      <w:pPr>
        <w:suppressAutoHyphens w:val="0"/>
        <w:autoSpaceDE w:val="0"/>
        <w:autoSpaceDN w:val="0"/>
        <w:adjustRightInd w:val="0"/>
        <w:spacing w:before="0" w:line="240" w:lineRule="auto"/>
        <w:jc w:val="left"/>
        <w:rPr>
          <w:lang w:eastAsia="en-US"/>
        </w:rPr>
      </w:pPr>
    </w:p>
    <w:p w14:paraId="1347815C" w14:textId="77777777" w:rsidR="008236A7" w:rsidRDefault="008236A7" w:rsidP="008236A7">
      <w:pPr>
        <w:suppressAutoHyphens w:val="0"/>
        <w:autoSpaceDE w:val="0"/>
        <w:autoSpaceDN w:val="0"/>
        <w:adjustRightInd w:val="0"/>
        <w:spacing w:before="0" w:line="240" w:lineRule="auto"/>
        <w:jc w:val="left"/>
        <w:rPr>
          <w:lang w:eastAsia="en-US"/>
        </w:rPr>
      </w:pPr>
      <w:r>
        <w:rPr>
          <w:lang w:eastAsia="en-US"/>
        </w:rPr>
        <w:t xml:space="preserve">The Growth Plan Investigation Area formed the study area for the majority of the technical studies discussed in this Background Report. </w:t>
      </w:r>
    </w:p>
    <w:p w14:paraId="393A6A29" w14:textId="018B7C05" w:rsidR="008236A7" w:rsidRDefault="008236A7" w:rsidP="008236A7">
      <w:pPr>
        <w:pStyle w:val="Caption"/>
        <w:rPr>
          <w:lang w:eastAsia="en-US"/>
        </w:rPr>
      </w:pPr>
      <w:bookmarkStart w:id="14" w:name="_Toc53406607"/>
      <w:r>
        <w:t xml:space="preserve">Figure </w:t>
      </w:r>
      <w:r w:rsidR="002F1993">
        <w:fldChar w:fldCharType="begin"/>
      </w:r>
      <w:r w:rsidR="002F1993">
        <w:instrText xml:space="preserve"> SEQ Figure \* ARABIC </w:instrText>
      </w:r>
      <w:r w:rsidR="002F1993">
        <w:fldChar w:fldCharType="separate"/>
      </w:r>
      <w:r w:rsidR="00881B08">
        <w:rPr>
          <w:noProof/>
        </w:rPr>
        <w:t>3</w:t>
      </w:r>
      <w:r w:rsidR="002F1993">
        <w:rPr>
          <w:noProof/>
        </w:rPr>
        <w:fldChar w:fldCharType="end"/>
      </w:r>
      <w:r>
        <w:t xml:space="preserve"> </w:t>
      </w:r>
      <w:r w:rsidRPr="008830D0">
        <w:rPr>
          <w:color w:val="auto"/>
        </w:rPr>
        <w:t>Growth Plan Investigation Area</w:t>
      </w:r>
      <w:bookmarkEnd w:id="14"/>
    </w:p>
    <w:p w14:paraId="11076DAB" w14:textId="77777777" w:rsidR="008236A7" w:rsidRPr="00E26C12" w:rsidRDefault="008236A7" w:rsidP="008236A7">
      <w:pPr>
        <w:suppressAutoHyphens w:val="0"/>
        <w:autoSpaceDE w:val="0"/>
        <w:autoSpaceDN w:val="0"/>
        <w:adjustRightInd w:val="0"/>
        <w:spacing w:before="0" w:line="240" w:lineRule="auto"/>
        <w:jc w:val="left"/>
        <w:rPr>
          <w:lang w:eastAsia="en-US"/>
        </w:rPr>
      </w:pPr>
      <w:r>
        <w:rPr>
          <w:noProof/>
        </w:rPr>
        <w:drawing>
          <wp:inline distT="0" distB="0" distL="0" distR="0" wp14:anchorId="6506EEEB" wp14:editId="5608973E">
            <wp:extent cx="5576570" cy="3936365"/>
            <wp:effectExtent l="0" t="0" r="508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76570" cy="3936365"/>
                    </a:xfrm>
                    <a:prstGeom prst="rect">
                      <a:avLst/>
                    </a:prstGeom>
                  </pic:spPr>
                </pic:pic>
              </a:graphicData>
            </a:graphic>
          </wp:inline>
        </w:drawing>
      </w:r>
    </w:p>
    <w:p w14:paraId="5DF13192" w14:textId="77777777" w:rsidR="00250703" w:rsidRPr="00250703" w:rsidRDefault="00250703" w:rsidP="00250703">
      <w:pPr>
        <w:rPr>
          <w:lang w:eastAsia="en-US"/>
        </w:rPr>
      </w:pPr>
    </w:p>
    <w:p w14:paraId="17890109" w14:textId="6B75F5DA" w:rsidR="00937364" w:rsidRDefault="00BB2AEA" w:rsidP="001E3B39">
      <w:pPr>
        <w:pStyle w:val="Heading1"/>
        <w:tabs>
          <w:tab w:val="left" w:pos="2880"/>
        </w:tabs>
        <w:spacing w:line="240" w:lineRule="auto"/>
      </w:pPr>
      <w:bookmarkStart w:id="15" w:name="_Toc53406545"/>
      <w:r>
        <w:lastRenderedPageBreak/>
        <w:t>Biodiversity</w:t>
      </w:r>
      <w:bookmarkEnd w:id="15"/>
    </w:p>
    <w:p w14:paraId="45EAAAC8" w14:textId="77777777" w:rsidR="004E043D" w:rsidRDefault="004E043D" w:rsidP="004E043D">
      <w:pPr>
        <w:rPr>
          <w:lang w:eastAsia="en-US"/>
        </w:rPr>
      </w:pPr>
      <w:r>
        <w:rPr>
          <w:lang w:eastAsia="en-US"/>
        </w:rPr>
        <w:t xml:space="preserve">Ecology and Heritage Partners Pty Ltd prepared the </w:t>
      </w:r>
      <w:r>
        <w:rPr>
          <w:i/>
          <w:iCs/>
          <w:lang w:eastAsia="en-US"/>
        </w:rPr>
        <w:t xml:space="preserve">Bannockburn Growth Area Biodiversity Assessment </w:t>
      </w:r>
      <w:r>
        <w:rPr>
          <w:lang w:eastAsia="en-US"/>
        </w:rPr>
        <w:t xml:space="preserve">(March 2020). This involved a desktop assessment of biodiversity values in the study area and ground truthing (from publicly accessible land) to verify findings from the desktop assessment. </w:t>
      </w:r>
      <w:r w:rsidRPr="008851DF">
        <w:rPr>
          <w:b/>
          <w:bCs/>
          <w:lang w:eastAsia="en-US"/>
        </w:rPr>
        <w:t>Figure 4</w:t>
      </w:r>
      <w:r>
        <w:rPr>
          <w:lang w:eastAsia="en-US"/>
        </w:rPr>
        <w:t xml:space="preserve"> identifies the Modelled Ecological Vegetation Classes (EVC) that apply in the study area. </w:t>
      </w:r>
    </w:p>
    <w:p w14:paraId="56A6855C" w14:textId="017F0830" w:rsidR="004E043D" w:rsidRDefault="004E043D" w:rsidP="004E043D">
      <w:pPr>
        <w:rPr>
          <w:lang w:eastAsia="en-US"/>
        </w:rPr>
      </w:pPr>
      <w:r>
        <w:rPr>
          <w:lang w:eastAsia="en-US"/>
        </w:rPr>
        <w:t>Key findings include</w:t>
      </w:r>
      <w:r w:rsidR="007651DC">
        <w:rPr>
          <w:lang w:eastAsia="en-US"/>
        </w:rPr>
        <w:t>d</w:t>
      </w:r>
      <w:r>
        <w:rPr>
          <w:lang w:eastAsia="en-US"/>
        </w:rPr>
        <w:t>:</w:t>
      </w:r>
    </w:p>
    <w:p w14:paraId="4D56F7EF" w14:textId="77777777" w:rsidR="004E043D" w:rsidRPr="00967E6B" w:rsidRDefault="004E043D" w:rsidP="004E043D">
      <w:pPr>
        <w:rPr>
          <w:b/>
          <w:bCs/>
          <w:lang w:eastAsia="en-US"/>
        </w:rPr>
      </w:pPr>
      <w:r w:rsidRPr="00967E6B">
        <w:rPr>
          <w:b/>
          <w:bCs/>
          <w:lang w:eastAsia="en-US"/>
        </w:rPr>
        <w:t>Significant flora</w:t>
      </w:r>
    </w:p>
    <w:p w14:paraId="1C7259AD" w14:textId="77777777" w:rsidR="004E043D" w:rsidRDefault="004E043D" w:rsidP="004E043D">
      <w:pPr>
        <w:pStyle w:val="List1bullet"/>
        <w:rPr>
          <w:lang w:eastAsia="en-US"/>
        </w:rPr>
      </w:pPr>
      <w:r w:rsidRPr="004E043D">
        <w:t>Identified</w:t>
      </w:r>
      <w:r>
        <w:rPr>
          <w:lang w:eastAsia="en-US"/>
        </w:rPr>
        <w:t xml:space="preserve"> in other technical work (Trengrove, 2017):</w:t>
      </w:r>
    </w:p>
    <w:p w14:paraId="69E7111F" w14:textId="0F308063" w:rsidR="004E043D" w:rsidRDefault="004E043D" w:rsidP="004E043D">
      <w:pPr>
        <w:pStyle w:val="List1bullet"/>
        <w:numPr>
          <w:ilvl w:val="1"/>
          <w:numId w:val="25"/>
        </w:numPr>
        <w:rPr>
          <w:lang w:eastAsia="en-US"/>
        </w:rPr>
      </w:pPr>
      <w:r w:rsidRPr="00497780">
        <w:rPr>
          <w:lang w:eastAsia="en-US"/>
        </w:rPr>
        <w:t xml:space="preserve">Melbourne Yellow-gum </w:t>
      </w:r>
      <w:r w:rsidRPr="00497780">
        <w:rPr>
          <w:i/>
          <w:iCs/>
          <w:lang w:eastAsia="en-US"/>
        </w:rPr>
        <w:t>Eucalyptus leucoxylon</w:t>
      </w:r>
      <w:r w:rsidRPr="00497780">
        <w:rPr>
          <w:lang w:eastAsia="en-US"/>
        </w:rPr>
        <w:t xml:space="preserve"> subsp. </w:t>
      </w:r>
      <w:r w:rsidRPr="00497780">
        <w:rPr>
          <w:i/>
          <w:iCs/>
          <w:lang w:eastAsia="en-US"/>
        </w:rPr>
        <w:t>connata</w:t>
      </w:r>
      <w:r w:rsidRPr="00497780">
        <w:rPr>
          <w:lang w:eastAsia="en-US"/>
        </w:rPr>
        <w:t xml:space="preserve"> </w:t>
      </w:r>
      <w:r>
        <w:rPr>
          <w:lang w:eastAsia="en-US"/>
        </w:rPr>
        <w:t>(</w:t>
      </w:r>
      <w:r w:rsidRPr="00497780">
        <w:rPr>
          <w:lang w:eastAsia="en-US"/>
        </w:rPr>
        <w:t>threatened under the FFG Act</w:t>
      </w:r>
      <w:r>
        <w:rPr>
          <w:lang w:eastAsia="en-US"/>
        </w:rPr>
        <w:t>). Moderate to high likelihood of presence elsewhere in the study area.</w:t>
      </w:r>
    </w:p>
    <w:p w14:paraId="6088B2D8" w14:textId="77777777" w:rsidR="004E043D" w:rsidRDefault="004E043D" w:rsidP="004E043D">
      <w:pPr>
        <w:pStyle w:val="List1bullet"/>
        <w:rPr>
          <w:lang w:eastAsia="en-US"/>
        </w:rPr>
      </w:pPr>
      <w:r>
        <w:rPr>
          <w:lang w:eastAsia="en-US"/>
        </w:rPr>
        <w:t xml:space="preserve">Identified during </w:t>
      </w:r>
      <w:r w:rsidRPr="004E043D">
        <w:t>ground</w:t>
      </w:r>
      <w:r>
        <w:rPr>
          <w:lang w:eastAsia="en-US"/>
        </w:rPr>
        <w:t xml:space="preserve"> truthing:</w:t>
      </w:r>
    </w:p>
    <w:p w14:paraId="7741E77A" w14:textId="77777777" w:rsidR="004E043D" w:rsidRPr="00497780" w:rsidRDefault="004E043D" w:rsidP="004E043D">
      <w:pPr>
        <w:pStyle w:val="List1bullet"/>
        <w:numPr>
          <w:ilvl w:val="1"/>
          <w:numId w:val="25"/>
        </w:numPr>
        <w:rPr>
          <w:lang w:eastAsia="en-US"/>
        </w:rPr>
      </w:pPr>
      <w:r w:rsidRPr="00497780">
        <w:rPr>
          <w:lang w:eastAsia="en-US"/>
        </w:rPr>
        <w:t xml:space="preserve">Black Wattle </w:t>
      </w:r>
      <w:r>
        <w:rPr>
          <w:lang w:eastAsia="en-US"/>
        </w:rPr>
        <w:t>(protected under the FFG Act)</w:t>
      </w:r>
    </w:p>
    <w:p w14:paraId="365A1973" w14:textId="77777777" w:rsidR="004E043D" w:rsidRDefault="004E043D" w:rsidP="004E043D">
      <w:pPr>
        <w:pStyle w:val="List1bullet"/>
        <w:numPr>
          <w:ilvl w:val="1"/>
          <w:numId w:val="25"/>
        </w:numPr>
        <w:rPr>
          <w:lang w:eastAsia="en-US"/>
        </w:rPr>
      </w:pPr>
      <w:r w:rsidRPr="00497780">
        <w:rPr>
          <w:lang w:eastAsia="en-US"/>
        </w:rPr>
        <w:t xml:space="preserve">Golden Wattle </w:t>
      </w:r>
      <w:r>
        <w:rPr>
          <w:lang w:eastAsia="en-US"/>
        </w:rPr>
        <w:t>(protected under the FFG Act)</w:t>
      </w:r>
    </w:p>
    <w:p w14:paraId="398F1A6F" w14:textId="77777777" w:rsidR="004E043D" w:rsidRDefault="004E043D" w:rsidP="004E043D">
      <w:pPr>
        <w:pStyle w:val="List1bullet"/>
        <w:rPr>
          <w:lang w:eastAsia="en-US"/>
        </w:rPr>
      </w:pPr>
      <w:r>
        <w:rPr>
          <w:lang w:eastAsia="en-US"/>
        </w:rPr>
        <w:t xml:space="preserve">Potential </w:t>
      </w:r>
      <w:r w:rsidRPr="004E043D">
        <w:t>to</w:t>
      </w:r>
      <w:r>
        <w:rPr>
          <w:lang w:eastAsia="en-US"/>
        </w:rPr>
        <w:t xml:space="preserve"> occur within the study area:</w:t>
      </w:r>
    </w:p>
    <w:p w14:paraId="41F5DD01" w14:textId="77777777" w:rsidR="004E043D" w:rsidRDefault="004E043D" w:rsidP="004E043D">
      <w:pPr>
        <w:pStyle w:val="List1bullet"/>
        <w:numPr>
          <w:ilvl w:val="1"/>
          <w:numId w:val="25"/>
        </w:numPr>
        <w:rPr>
          <w:lang w:eastAsia="en-US"/>
        </w:rPr>
      </w:pPr>
      <w:r>
        <w:rPr>
          <w:lang w:eastAsia="en-US"/>
        </w:rPr>
        <w:t>Nationally significant:</w:t>
      </w:r>
    </w:p>
    <w:p w14:paraId="102C508C" w14:textId="77777777" w:rsidR="004E043D" w:rsidRPr="003C7FB3" w:rsidRDefault="004E043D" w:rsidP="004E043D">
      <w:pPr>
        <w:pStyle w:val="List1bullet"/>
        <w:numPr>
          <w:ilvl w:val="2"/>
          <w:numId w:val="25"/>
        </w:numPr>
        <w:rPr>
          <w:lang w:eastAsia="en-US"/>
        </w:rPr>
      </w:pPr>
      <w:r>
        <w:rPr>
          <w:lang w:eastAsia="en-US"/>
        </w:rPr>
        <w:t xml:space="preserve">Spiny Rice Flower </w:t>
      </w:r>
    </w:p>
    <w:p w14:paraId="0F1AD4E4" w14:textId="77777777" w:rsidR="004E043D" w:rsidRDefault="004E043D" w:rsidP="004E043D">
      <w:pPr>
        <w:pStyle w:val="List1bullet"/>
        <w:numPr>
          <w:ilvl w:val="2"/>
          <w:numId w:val="25"/>
        </w:numPr>
        <w:rPr>
          <w:lang w:eastAsia="en-US"/>
        </w:rPr>
      </w:pPr>
      <w:r>
        <w:rPr>
          <w:lang w:eastAsia="en-US"/>
        </w:rPr>
        <w:t xml:space="preserve">Button Wrinklewort </w:t>
      </w:r>
    </w:p>
    <w:p w14:paraId="1365F3FD" w14:textId="77777777" w:rsidR="004E043D" w:rsidRDefault="004E043D" w:rsidP="004E043D">
      <w:pPr>
        <w:pStyle w:val="List1bullet"/>
        <w:numPr>
          <w:ilvl w:val="2"/>
          <w:numId w:val="25"/>
        </w:numPr>
        <w:rPr>
          <w:lang w:eastAsia="en-US"/>
        </w:rPr>
      </w:pPr>
      <w:r>
        <w:rPr>
          <w:lang w:eastAsia="en-US"/>
        </w:rPr>
        <w:t xml:space="preserve">Large-headed Fireweed </w:t>
      </w:r>
    </w:p>
    <w:p w14:paraId="494DFD7D" w14:textId="77777777" w:rsidR="004E043D" w:rsidRPr="003C7FB3" w:rsidRDefault="004E043D" w:rsidP="004E043D">
      <w:pPr>
        <w:pStyle w:val="List1bullet"/>
        <w:numPr>
          <w:ilvl w:val="2"/>
          <w:numId w:val="25"/>
        </w:numPr>
        <w:rPr>
          <w:lang w:eastAsia="en-US"/>
        </w:rPr>
      </w:pPr>
      <w:r>
        <w:rPr>
          <w:lang w:eastAsia="en-US"/>
        </w:rPr>
        <w:t xml:space="preserve">Matted Flax-lily </w:t>
      </w:r>
    </w:p>
    <w:p w14:paraId="50027050" w14:textId="77777777" w:rsidR="004E043D" w:rsidRDefault="004E043D" w:rsidP="004E043D">
      <w:pPr>
        <w:pStyle w:val="List1bullet"/>
        <w:numPr>
          <w:ilvl w:val="2"/>
          <w:numId w:val="25"/>
        </w:numPr>
        <w:rPr>
          <w:lang w:eastAsia="en-US"/>
        </w:rPr>
      </w:pPr>
      <w:r w:rsidRPr="003C7FB3">
        <w:rPr>
          <w:lang w:eastAsia="en-US"/>
        </w:rPr>
        <w:t>Adamson’s Blown-grass</w:t>
      </w:r>
      <w:r w:rsidRPr="002A42D7">
        <w:rPr>
          <w:i/>
          <w:iCs/>
          <w:lang w:eastAsia="en-US"/>
        </w:rPr>
        <w:t xml:space="preserve"> </w:t>
      </w:r>
    </w:p>
    <w:p w14:paraId="089B86FB" w14:textId="77777777" w:rsidR="004E043D" w:rsidRDefault="004E043D" w:rsidP="004E043D">
      <w:pPr>
        <w:pStyle w:val="List1bullet"/>
        <w:numPr>
          <w:ilvl w:val="1"/>
          <w:numId w:val="25"/>
        </w:numPr>
        <w:rPr>
          <w:lang w:eastAsia="en-US"/>
        </w:rPr>
      </w:pPr>
      <w:r>
        <w:rPr>
          <w:lang w:eastAsia="en-US"/>
        </w:rPr>
        <w:t>State significant:</w:t>
      </w:r>
    </w:p>
    <w:p w14:paraId="5195FD76" w14:textId="77777777" w:rsidR="004E043D" w:rsidRDefault="004E043D" w:rsidP="004E043D">
      <w:pPr>
        <w:pStyle w:val="List1bullet"/>
        <w:numPr>
          <w:ilvl w:val="2"/>
          <w:numId w:val="25"/>
        </w:numPr>
        <w:rPr>
          <w:lang w:eastAsia="en-US"/>
        </w:rPr>
      </w:pPr>
      <w:r>
        <w:rPr>
          <w:lang w:eastAsia="en-US"/>
        </w:rPr>
        <w:t xml:space="preserve">Cut-leaf Burr Daisy </w:t>
      </w:r>
    </w:p>
    <w:p w14:paraId="02296D24" w14:textId="77777777" w:rsidR="004E043D" w:rsidRDefault="004E043D" w:rsidP="004E043D">
      <w:pPr>
        <w:pStyle w:val="List1bullet"/>
        <w:numPr>
          <w:ilvl w:val="2"/>
          <w:numId w:val="25"/>
        </w:numPr>
        <w:rPr>
          <w:lang w:eastAsia="en-US"/>
        </w:rPr>
      </w:pPr>
      <w:r>
        <w:rPr>
          <w:lang w:eastAsia="en-US"/>
        </w:rPr>
        <w:t xml:space="preserve">Small Scurf-pea </w:t>
      </w:r>
    </w:p>
    <w:p w14:paraId="0A4CA651" w14:textId="77777777" w:rsidR="004E043D" w:rsidRPr="002A42D7" w:rsidRDefault="004E043D" w:rsidP="004E043D">
      <w:pPr>
        <w:pStyle w:val="List1bullet"/>
        <w:numPr>
          <w:ilvl w:val="2"/>
          <w:numId w:val="25"/>
        </w:numPr>
        <w:rPr>
          <w:lang w:eastAsia="en-US"/>
        </w:rPr>
      </w:pPr>
      <w:r>
        <w:rPr>
          <w:lang w:eastAsia="en-US"/>
        </w:rPr>
        <w:t xml:space="preserve">Hairy Tails </w:t>
      </w:r>
    </w:p>
    <w:p w14:paraId="399539A9" w14:textId="77777777" w:rsidR="004E043D" w:rsidRPr="00967E6B" w:rsidRDefault="004E043D" w:rsidP="004E043D">
      <w:pPr>
        <w:pStyle w:val="List1bullet"/>
        <w:numPr>
          <w:ilvl w:val="0"/>
          <w:numId w:val="0"/>
        </w:numPr>
        <w:rPr>
          <w:b/>
          <w:bCs/>
          <w:lang w:eastAsia="en-US"/>
        </w:rPr>
      </w:pPr>
      <w:r w:rsidRPr="00967E6B">
        <w:rPr>
          <w:b/>
          <w:bCs/>
          <w:lang w:eastAsia="en-US"/>
        </w:rPr>
        <w:t>Significant fauna</w:t>
      </w:r>
    </w:p>
    <w:p w14:paraId="2CD1D6C3" w14:textId="77777777" w:rsidR="004E043D" w:rsidRDefault="004E043D" w:rsidP="004E043D">
      <w:pPr>
        <w:pStyle w:val="List1bullet"/>
        <w:rPr>
          <w:lang w:eastAsia="en-US"/>
        </w:rPr>
      </w:pPr>
      <w:r>
        <w:rPr>
          <w:lang w:eastAsia="en-US"/>
        </w:rPr>
        <w:t xml:space="preserve">Potential to </w:t>
      </w:r>
      <w:r w:rsidRPr="004E043D">
        <w:t>occur</w:t>
      </w:r>
      <w:r>
        <w:rPr>
          <w:lang w:eastAsia="en-US"/>
        </w:rPr>
        <w:t xml:space="preserve"> within the study area:</w:t>
      </w:r>
    </w:p>
    <w:p w14:paraId="0928C13F" w14:textId="77777777" w:rsidR="004E043D" w:rsidRDefault="004E043D" w:rsidP="004E043D">
      <w:pPr>
        <w:pStyle w:val="List1bullet"/>
        <w:numPr>
          <w:ilvl w:val="1"/>
          <w:numId w:val="25"/>
        </w:numPr>
        <w:rPr>
          <w:lang w:eastAsia="en-US"/>
        </w:rPr>
      </w:pPr>
      <w:r>
        <w:rPr>
          <w:lang w:eastAsia="en-US"/>
        </w:rPr>
        <w:t>Nationally significant:</w:t>
      </w:r>
    </w:p>
    <w:p w14:paraId="7B8A4F85" w14:textId="77777777" w:rsidR="004E043D" w:rsidRDefault="004E043D" w:rsidP="004E043D">
      <w:pPr>
        <w:pStyle w:val="List1bullet"/>
        <w:numPr>
          <w:ilvl w:val="2"/>
          <w:numId w:val="25"/>
        </w:numPr>
        <w:rPr>
          <w:lang w:eastAsia="en-US"/>
        </w:rPr>
      </w:pPr>
      <w:r>
        <w:rPr>
          <w:lang w:eastAsia="en-US"/>
        </w:rPr>
        <w:t xml:space="preserve">Golden Sun Moth </w:t>
      </w:r>
    </w:p>
    <w:p w14:paraId="0419A605" w14:textId="77777777" w:rsidR="004E043D" w:rsidRDefault="004E043D" w:rsidP="004E043D">
      <w:pPr>
        <w:pStyle w:val="List1bullet"/>
        <w:numPr>
          <w:ilvl w:val="2"/>
          <w:numId w:val="25"/>
        </w:numPr>
        <w:rPr>
          <w:lang w:eastAsia="en-US"/>
        </w:rPr>
      </w:pPr>
      <w:r>
        <w:rPr>
          <w:lang w:eastAsia="en-US"/>
        </w:rPr>
        <w:t xml:space="preserve">Striped Legless Lizard </w:t>
      </w:r>
    </w:p>
    <w:p w14:paraId="6702B54D" w14:textId="77777777" w:rsidR="004E043D" w:rsidRDefault="004E043D" w:rsidP="004E043D">
      <w:pPr>
        <w:pStyle w:val="List1bullet"/>
        <w:numPr>
          <w:ilvl w:val="2"/>
          <w:numId w:val="25"/>
        </w:numPr>
        <w:rPr>
          <w:lang w:eastAsia="en-US"/>
        </w:rPr>
      </w:pPr>
      <w:r>
        <w:rPr>
          <w:lang w:eastAsia="en-US"/>
        </w:rPr>
        <w:t xml:space="preserve">Growling Grass Frog </w:t>
      </w:r>
    </w:p>
    <w:p w14:paraId="6DF2409C" w14:textId="77777777" w:rsidR="004E043D" w:rsidRPr="00967E6B" w:rsidRDefault="004E043D" w:rsidP="004E043D">
      <w:pPr>
        <w:pStyle w:val="List1bullet"/>
        <w:numPr>
          <w:ilvl w:val="0"/>
          <w:numId w:val="0"/>
        </w:numPr>
        <w:rPr>
          <w:b/>
          <w:bCs/>
          <w:lang w:eastAsia="en-US"/>
        </w:rPr>
      </w:pPr>
      <w:r w:rsidRPr="00967E6B">
        <w:rPr>
          <w:b/>
          <w:bCs/>
          <w:lang w:eastAsia="en-US"/>
        </w:rPr>
        <w:t>Communities</w:t>
      </w:r>
    </w:p>
    <w:p w14:paraId="01A58142" w14:textId="77777777" w:rsidR="004E043D" w:rsidRDefault="004E043D" w:rsidP="004E043D">
      <w:pPr>
        <w:pStyle w:val="List1bullet"/>
        <w:rPr>
          <w:lang w:eastAsia="en-US"/>
        </w:rPr>
      </w:pPr>
      <w:r>
        <w:rPr>
          <w:lang w:eastAsia="en-US"/>
        </w:rPr>
        <w:t xml:space="preserve">Potential to occur within </w:t>
      </w:r>
      <w:r w:rsidRPr="004E043D">
        <w:t>the</w:t>
      </w:r>
      <w:r>
        <w:rPr>
          <w:lang w:eastAsia="en-US"/>
        </w:rPr>
        <w:t xml:space="preserve"> study area:</w:t>
      </w:r>
    </w:p>
    <w:p w14:paraId="455C79B3" w14:textId="77777777" w:rsidR="004E043D" w:rsidRDefault="004E043D" w:rsidP="004E043D">
      <w:pPr>
        <w:pStyle w:val="List1bullet"/>
        <w:numPr>
          <w:ilvl w:val="1"/>
          <w:numId w:val="25"/>
        </w:numPr>
        <w:rPr>
          <w:lang w:eastAsia="en-US"/>
        </w:rPr>
      </w:pPr>
      <w:r>
        <w:rPr>
          <w:lang w:eastAsia="en-US"/>
        </w:rPr>
        <w:t>Nationally significant:</w:t>
      </w:r>
    </w:p>
    <w:p w14:paraId="07B58EC4" w14:textId="77777777" w:rsidR="004E043D" w:rsidRDefault="004E043D" w:rsidP="004E043D">
      <w:pPr>
        <w:pStyle w:val="List1bullet"/>
        <w:numPr>
          <w:ilvl w:val="2"/>
          <w:numId w:val="25"/>
        </w:numPr>
        <w:rPr>
          <w:lang w:eastAsia="en-US"/>
        </w:rPr>
      </w:pPr>
      <w:r w:rsidRPr="003C7FB3">
        <w:rPr>
          <w:lang w:eastAsia="en-US"/>
        </w:rPr>
        <w:t>Grassy Eucalypt Woodland of the Victorian Volcanic Plain</w:t>
      </w:r>
    </w:p>
    <w:p w14:paraId="5B329FC3" w14:textId="77777777" w:rsidR="004E043D" w:rsidRDefault="004E043D" w:rsidP="004E043D">
      <w:pPr>
        <w:pStyle w:val="List1bullet"/>
        <w:numPr>
          <w:ilvl w:val="2"/>
          <w:numId w:val="25"/>
        </w:numPr>
        <w:rPr>
          <w:lang w:eastAsia="en-US"/>
        </w:rPr>
      </w:pPr>
      <w:r w:rsidRPr="003C7FB3">
        <w:rPr>
          <w:lang w:eastAsia="en-US"/>
        </w:rPr>
        <w:t>Natural Temperate Grassland of the Victorian Volcanic Plain</w:t>
      </w:r>
      <w:r>
        <w:rPr>
          <w:lang w:eastAsia="en-US"/>
        </w:rPr>
        <w:t xml:space="preserve"> (low quality)</w:t>
      </w:r>
    </w:p>
    <w:p w14:paraId="4027DC46" w14:textId="77777777" w:rsidR="004E043D" w:rsidRDefault="004E043D" w:rsidP="004E043D">
      <w:pPr>
        <w:pStyle w:val="List1bullet"/>
        <w:numPr>
          <w:ilvl w:val="2"/>
          <w:numId w:val="25"/>
        </w:numPr>
        <w:rPr>
          <w:lang w:eastAsia="en-US"/>
        </w:rPr>
      </w:pPr>
      <w:r>
        <w:rPr>
          <w:lang w:eastAsia="en-US"/>
        </w:rPr>
        <w:t>Seasonal Herbaceous Wetlands (modelled wetland in south-west section of the study area)</w:t>
      </w:r>
    </w:p>
    <w:p w14:paraId="543A3A80" w14:textId="77777777" w:rsidR="004E043D" w:rsidRDefault="004E043D" w:rsidP="004E043D">
      <w:pPr>
        <w:pStyle w:val="List1bullet"/>
        <w:numPr>
          <w:ilvl w:val="1"/>
          <w:numId w:val="25"/>
        </w:numPr>
        <w:rPr>
          <w:lang w:eastAsia="en-US"/>
        </w:rPr>
      </w:pPr>
      <w:r>
        <w:rPr>
          <w:lang w:eastAsia="en-US"/>
        </w:rPr>
        <w:t>State significant:</w:t>
      </w:r>
    </w:p>
    <w:p w14:paraId="58E32EDE" w14:textId="77777777" w:rsidR="004E043D" w:rsidRDefault="004E043D" w:rsidP="004E043D">
      <w:pPr>
        <w:pStyle w:val="List1bullet"/>
        <w:numPr>
          <w:ilvl w:val="2"/>
          <w:numId w:val="25"/>
        </w:numPr>
        <w:rPr>
          <w:lang w:eastAsia="en-US"/>
        </w:rPr>
      </w:pPr>
      <w:r w:rsidRPr="003C7FB3">
        <w:rPr>
          <w:lang w:eastAsia="en-US"/>
        </w:rPr>
        <w:t>Western (Basalt) Plains Grassland</w:t>
      </w:r>
    </w:p>
    <w:p w14:paraId="1E89E9D8" w14:textId="77777777" w:rsidR="004E043D" w:rsidRDefault="004E043D" w:rsidP="004E043D">
      <w:pPr>
        <w:pStyle w:val="List1bullet"/>
        <w:numPr>
          <w:ilvl w:val="2"/>
          <w:numId w:val="25"/>
        </w:numPr>
        <w:rPr>
          <w:lang w:eastAsia="en-US"/>
        </w:rPr>
      </w:pPr>
      <w:r w:rsidRPr="003C7FB3">
        <w:rPr>
          <w:lang w:eastAsia="en-US"/>
        </w:rPr>
        <w:t>Western Basalt Plains (River Red Gum) Grassy Woodland</w:t>
      </w:r>
    </w:p>
    <w:p w14:paraId="2BDCCC3A" w14:textId="77777777" w:rsidR="004E043D" w:rsidRDefault="004E043D" w:rsidP="004E043D">
      <w:pPr>
        <w:rPr>
          <w:lang w:eastAsia="en-US"/>
        </w:rPr>
      </w:pPr>
      <w:r>
        <w:rPr>
          <w:lang w:eastAsia="en-US"/>
        </w:rPr>
        <w:lastRenderedPageBreak/>
        <w:t>In summary:</w:t>
      </w:r>
    </w:p>
    <w:p w14:paraId="50938EDB" w14:textId="77777777" w:rsidR="004E043D" w:rsidRPr="000E0F86" w:rsidRDefault="004E043D" w:rsidP="004E043D">
      <w:pPr>
        <w:pStyle w:val="ListParagraph"/>
        <w:numPr>
          <w:ilvl w:val="0"/>
          <w:numId w:val="43"/>
        </w:numPr>
        <w:suppressAutoHyphens w:val="0"/>
        <w:spacing w:before="0" w:after="200"/>
        <w:jc w:val="left"/>
        <w:rPr>
          <w:rStyle w:val="Strong"/>
        </w:rPr>
      </w:pPr>
      <w:r w:rsidRPr="000E0F86">
        <w:rPr>
          <w:rStyle w:val="Strong"/>
        </w:rPr>
        <w:t>There is both state and nationally significant biodiversity present in the study area.</w:t>
      </w:r>
    </w:p>
    <w:p w14:paraId="47DC53D4" w14:textId="77777777" w:rsidR="004E043D" w:rsidRDefault="004E043D" w:rsidP="004E043D">
      <w:pPr>
        <w:pStyle w:val="ListParagraph"/>
        <w:numPr>
          <w:ilvl w:val="0"/>
          <w:numId w:val="43"/>
        </w:numPr>
        <w:suppressAutoHyphens w:val="0"/>
        <w:spacing w:before="0" w:after="200"/>
        <w:jc w:val="left"/>
        <w:rPr>
          <w:rStyle w:val="Strong"/>
        </w:rPr>
      </w:pPr>
      <w:r w:rsidRPr="000E0F86">
        <w:rPr>
          <w:rStyle w:val="Strong"/>
        </w:rPr>
        <w:t>Further assessments by a suitably qualified ecologist are required to understand the quality of native vegetation within the study area as well as determine the presence or absence of significant flora and fauna species.</w:t>
      </w:r>
    </w:p>
    <w:p w14:paraId="6A88D7E9" w14:textId="77777777" w:rsidR="004E043D" w:rsidRPr="000E0F86" w:rsidRDefault="004E043D" w:rsidP="004E043D">
      <w:pPr>
        <w:pStyle w:val="ListParagraph"/>
        <w:numPr>
          <w:ilvl w:val="0"/>
          <w:numId w:val="43"/>
        </w:numPr>
        <w:suppressAutoHyphens w:val="0"/>
        <w:spacing w:before="0" w:after="200"/>
        <w:jc w:val="left"/>
        <w:rPr>
          <w:rStyle w:val="Strong"/>
        </w:rPr>
      </w:pPr>
      <w:r>
        <w:rPr>
          <w:rStyle w:val="Strong"/>
        </w:rPr>
        <w:t xml:space="preserve">This matter will be further addressed as part of the detailed planning for the proposed growth areas. </w:t>
      </w:r>
    </w:p>
    <w:p w14:paraId="1ECFF511" w14:textId="277CC9AA" w:rsidR="004E043D" w:rsidRPr="00836663" w:rsidRDefault="004E043D" w:rsidP="004E043D">
      <w:pPr>
        <w:pStyle w:val="Caption"/>
        <w:rPr>
          <w:color w:val="auto"/>
        </w:rPr>
      </w:pPr>
      <w:bookmarkStart w:id="16" w:name="_Toc53406608"/>
      <w:r>
        <w:t xml:space="preserve">Figure </w:t>
      </w:r>
      <w:r w:rsidR="002F1993">
        <w:fldChar w:fldCharType="begin"/>
      </w:r>
      <w:r w:rsidR="002F1993">
        <w:instrText xml:space="preserve"> SEQ Figure \* ARABIC </w:instrText>
      </w:r>
      <w:r w:rsidR="002F1993">
        <w:fldChar w:fldCharType="separate"/>
      </w:r>
      <w:r w:rsidR="00881B08">
        <w:rPr>
          <w:noProof/>
        </w:rPr>
        <w:t>4</w:t>
      </w:r>
      <w:r w:rsidR="002F1993">
        <w:rPr>
          <w:noProof/>
        </w:rPr>
        <w:fldChar w:fldCharType="end"/>
      </w:r>
      <w:r>
        <w:t xml:space="preserve"> </w:t>
      </w:r>
      <w:r w:rsidRPr="00836663">
        <w:rPr>
          <w:color w:val="auto"/>
        </w:rPr>
        <w:t>Modelled Ecological Vegetation Classes</w:t>
      </w:r>
      <w:bookmarkEnd w:id="16"/>
    </w:p>
    <w:p w14:paraId="2AF94479" w14:textId="77777777" w:rsidR="004E043D" w:rsidRPr="00EA3292" w:rsidRDefault="004E043D" w:rsidP="004E043D">
      <w:r>
        <w:rPr>
          <w:noProof/>
        </w:rPr>
        <w:drawing>
          <wp:inline distT="0" distB="0" distL="0" distR="0" wp14:anchorId="37C4B1BF" wp14:editId="0FE3B36C">
            <wp:extent cx="5576570" cy="393192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76570" cy="3931920"/>
                    </a:xfrm>
                    <a:prstGeom prst="rect">
                      <a:avLst/>
                    </a:prstGeom>
                  </pic:spPr>
                </pic:pic>
              </a:graphicData>
            </a:graphic>
          </wp:inline>
        </w:drawing>
      </w:r>
    </w:p>
    <w:p w14:paraId="276592D9" w14:textId="77777777" w:rsidR="00BB2AEA" w:rsidRPr="00BB2AEA" w:rsidRDefault="00BB2AEA" w:rsidP="00BB2AEA">
      <w:pPr>
        <w:rPr>
          <w:lang w:eastAsia="en-US"/>
        </w:rPr>
      </w:pPr>
    </w:p>
    <w:p w14:paraId="7DF9725C" w14:textId="641418CD" w:rsidR="00543609" w:rsidRDefault="00B95652" w:rsidP="004E043D">
      <w:pPr>
        <w:pStyle w:val="Heading1"/>
      </w:pPr>
      <w:bookmarkStart w:id="17" w:name="_Toc53406546"/>
      <w:r>
        <w:lastRenderedPageBreak/>
        <w:t>Land Capability</w:t>
      </w:r>
      <w:bookmarkEnd w:id="17"/>
    </w:p>
    <w:p w14:paraId="055BC034" w14:textId="665B1BE6" w:rsidR="00EC633E" w:rsidRDefault="00EC633E" w:rsidP="00EC633E">
      <w:pPr>
        <w:rPr>
          <w:lang w:eastAsia="en-US"/>
        </w:rPr>
      </w:pPr>
      <w:r>
        <w:rPr>
          <w:lang w:eastAsia="en-US"/>
        </w:rPr>
        <w:t xml:space="preserve">Meinhardt Infrastructure &amp; Environment Pty Ltd prepared the </w:t>
      </w:r>
      <w:r>
        <w:rPr>
          <w:i/>
          <w:iCs/>
        </w:rPr>
        <w:t>Bannockburn Land Capability Assessment (</w:t>
      </w:r>
      <w:r>
        <w:t xml:space="preserve">June </w:t>
      </w:r>
      <w:r w:rsidRPr="00F310BF">
        <w:t>2020</w:t>
      </w:r>
      <w:r>
        <w:rPr>
          <w:i/>
          <w:iCs/>
        </w:rPr>
        <w:t>)</w:t>
      </w:r>
      <w:r w:rsidR="007651DC">
        <w:rPr>
          <w:lang w:eastAsia="en-US"/>
        </w:rPr>
        <w:t>. This assessment included the completion of a</w:t>
      </w:r>
      <w:r>
        <w:rPr>
          <w:lang w:eastAsia="en-US"/>
        </w:rPr>
        <w:t xml:space="preserve"> desktop assessment to determine the capability of residential, commercial and industrial land uses in the study area based upon potential environmental contamination, hydrological and geological features. </w:t>
      </w:r>
      <w:r w:rsidR="00BD129D">
        <w:rPr>
          <w:lang w:eastAsia="en-US"/>
        </w:rPr>
        <w:t xml:space="preserve"> </w:t>
      </w:r>
    </w:p>
    <w:p w14:paraId="2BE92D0F" w14:textId="2B1C8DF7" w:rsidR="00EC633E" w:rsidRDefault="00EC633E" w:rsidP="00EC633E">
      <w:pPr>
        <w:rPr>
          <w:lang w:eastAsia="en-US"/>
        </w:rPr>
      </w:pPr>
      <w:r>
        <w:rPr>
          <w:lang w:eastAsia="en-US"/>
        </w:rPr>
        <w:t>Key findings include</w:t>
      </w:r>
      <w:r w:rsidR="007651DC">
        <w:rPr>
          <w:lang w:eastAsia="en-US"/>
        </w:rPr>
        <w:t>d</w:t>
      </w:r>
      <w:r>
        <w:rPr>
          <w:lang w:eastAsia="en-US"/>
        </w:rPr>
        <w:t>:</w:t>
      </w:r>
    </w:p>
    <w:p w14:paraId="2B726BB2" w14:textId="77777777" w:rsidR="00EC633E" w:rsidRDefault="00EC633E" w:rsidP="00EC633E">
      <w:pPr>
        <w:rPr>
          <w:u w:val="single"/>
          <w:lang w:eastAsia="en-US"/>
        </w:rPr>
      </w:pPr>
      <w:r w:rsidRPr="0076151F">
        <w:rPr>
          <w:b/>
          <w:bCs/>
          <w:lang w:eastAsia="en-US"/>
        </w:rPr>
        <w:t>Geology</w:t>
      </w:r>
      <w:r>
        <w:rPr>
          <w:u w:val="single"/>
          <w:lang w:eastAsia="en-US"/>
        </w:rPr>
        <w:t>:</w:t>
      </w:r>
    </w:p>
    <w:p w14:paraId="5F9A5DEF" w14:textId="77777777" w:rsidR="00EC633E" w:rsidRPr="00EC633E" w:rsidRDefault="00EC633E" w:rsidP="00EC633E">
      <w:pPr>
        <w:pStyle w:val="List1bullet"/>
      </w:pPr>
      <w:r w:rsidRPr="00EC633E">
        <w:t>Topography suggests development should be set back from Bruce’s Creek.</w:t>
      </w:r>
    </w:p>
    <w:p w14:paraId="40128499" w14:textId="77777777" w:rsidR="00EC633E" w:rsidRPr="00733142" w:rsidRDefault="00EC633E" w:rsidP="00EC633E">
      <w:pPr>
        <w:pStyle w:val="List1bullet"/>
        <w:rPr>
          <w:lang w:eastAsia="en-US"/>
        </w:rPr>
      </w:pPr>
      <w:r w:rsidRPr="00EC633E">
        <w:t>Geotechnic</w:t>
      </w:r>
      <w:r>
        <w:rPr>
          <w:lang w:eastAsia="en-US"/>
        </w:rPr>
        <w:t>al restraints, slope stability, bearing capacity, and erosion should all be considered prior to development.</w:t>
      </w:r>
    </w:p>
    <w:p w14:paraId="2175B534" w14:textId="77777777" w:rsidR="00EC633E" w:rsidRPr="0076151F" w:rsidRDefault="00EC633E" w:rsidP="00EC633E">
      <w:pPr>
        <w:pStyle w:val="List1bullet"/>
        <w:numPr>
          <w:ilvl w:val="0"/>
          <w:numId w:val="0"/>
        </w:numPr>
        <w:rPr>
          <w:b/>
          <w:bCs/>
          <w:lang w:eastAsia="en-US"/>
        </w:rPr>
      </w:pPr>
      <w:r w:rsidRPr="0076151F">
        <w:rPr>
          <w:b/>
          <w:bCs/>
          <w:lang w:eastAsia="en-US"/>
        </w:rPr>
        <w:t>Contamination:</w:t>
      </w:r>
    </w:p>
    <w:p w14:paraId="3BB55AA4" w14:textId="77777777" w:rsidR="00EC633E" w:rsidRDefault="00EC633E" w:rsidP="00EC633E">
      <w:pPr>
        <w:pStyle w:val="List1bullet"/>
        <w:rPr>
          <w:lang w:eastAsia="en-US"/>
        </w:rPr>
      </w:pPr>
      <w:r>
        <w:rPr>
          <w:lang w:eastAsia="en-US"/>
        </w:rPr>
        <w:t xml:space="preserve">Potentially </w:t>
      </w:r>
      <w:r w:rsidRPr="00EC633E">
        <w:t>contaminating</w:t>
      </w:r>
      <w:r>
        <w:rPr>
          <w:lang w:eastAsia="en-US"/>
        </w:rPr>
        <w:t xml:space="preserve"> activities in the area included:</w:t>
      </w:r>
    </w:p>
    <w:p w14:paraId="37631BBF" w14:textId="77777777" w:rsidR="00EC633E" w:rsidRDefault="00EC633E" w:rsidP="00EC633E">
      <w:pPr>
        <w:pStyle w:val="List1bullet"/>
        <w:numPr>
          <w:ilvl w:val="1"/>
          <w:numId w:val="25"/>
        </w:numPr>
        <w:rPr>
          <w:lang w:eastAsia="en-US"/>
        </w:rPr>
      </w:pPr>
      <w:r>
        <w:rPr>
          <w:lang w:eastAsia="en-US"/>
        </w:rPr>
        <w:t>Earthworks / stockpiling / importation and use of possibly uncontrolled fill material;</w:t>
      </w:r>
    </w:p>
    <w:p w14:paraId="702C43E1" w14:textId="77777777" w:rsidR="00EC633E" w:rsidRDefault="00EC633E" w:rsidP="00EC633E">
      <w:pPr>
        <w:pStyle w:val="List1bullet"/>
        <w:numPr>
          <w:ilvl w:val="1"/>
          <w:numId w:val="25"/>
        </w:numPr>
        <w:rPr>
          <w:lang w:eastAsia="en-US"/>
        </w:rPr>
      </w:pPr>
      <w:r>
        <w:rPr>
          <w:lang w:eastAsia="en-US"/>
        </w:rPr>
        <w:t>Structures / buildings with unknown use;</w:t>
      </w:r>
    </w:p>
    <w:p w14:paraId="6D34F23E" w14:textId="77777777" w:rsidR="00EC633E" w:rsidRDefault="00EC633E" w:rsidP="00EC633E">
      <w:pPr>
        <w:pStyle w:val="List1bullet"/>
        <w:numPr>
          <w:ilvl w:val="1"/>
          <w:numId w:val="25"/>
        </w:numPr>
        <w:rPr>
          <w:lang w:eastAsia="en-US"/>
        </w:rPr>
      </w:pPr>
      <w:r>
        <w:rPr>
          <w:lang w:eastAsia="en-US"/>
        </w:rPr>
        <w:t>Storage and maintenance of heavy machinery associated with farming / agricultural practices;</w:t>
      </w:r>
    </w:p>
    <w:p w14:paraId="233E16C2" w14:textId="77777777" w:rsidR="00EC633E" w:rsidRDefault="00EC633E" w:rsidP="00EC633E">
      <w:pPr>
        <w:pStyle w:val="List1bullet"/>
        <w:numPr>
          <w:ilvl w:val="1"/>
          <w:numId w:val="25"/>
        </w:numPr>
        <w:rPr>
          <w:lang w:eastAsia="en-US"/>
        </w:rPr>
      </w:pPr>
      <w:r>
        <w:rPr>
          <w:lang w:eastAsia="en-US"/>
        </w:rPr>
        <w:t>Use of agricultural sprays and irrigations of crops;</w:t>
      </w:r>
    </w:p>
    <w:p w14:paraId="1FFBC90D" w14:textId="77777777" w:rsidR="00EC633E" w:rsidRDefault="00EC633E" w:rsidP="00EC633E">
      <w:pPr>
        <w:pStyle w:val="List1bullet"/>
        <w:numPr>
          <w:ilvl w:val="1"/>
          <w:numId w:val="25"/>
        </w:numPr>
        <w:rPr>
          <w:lang w:eastAsia="en-US"/>
        </w:rPr>
      </w:pPr>
      <w:r>
        <w:rPr>
          <w:lang w:eastAsia="en-US"/>
        </w:rPr>
        <w:t>Storage of chemicals / fuel / oil, chemical mixing;</w:t>
      </w:r>
    </w:p>
    <w:p w14:paraId="195CB085" w14:textId="77777777" w:rsidR="00EC633E" w:rsidRDefault="00EC633E" w:rsidP="00EC633E">
      <w:pPr>
        <w:pStyle w:val="List1bullet"/>
        <w:numPr>
          <w:ilvl w:val="1"/>
          <w:numId w:val="25"/>
        </w:numPr>
        <w:rPr>
          <w:lang w:eastAsia="en-US"/>
        </w:rPr>
      </w:pPr>
      <w:r>
        <w:rPr>
          <w:lang w:eastAsia="en-US"/>
        </w:rPr>
        <w:t>Potential asbestos containing materials (ACM) in structures or buildings, especially those built before 1980.</w:t>
      </w:r>
    </w:p>
    <w:p w14:paraId="13ECAC05" w14:textId="77777777" w:rsidR="00EC633E" w:rsidRDefault="00EC633E" w:rsidP="00EC633E">
      <w:pPr>
        <w:pStyle w:val="List1bullet"/>
        <w:numPr>
          <w:ilvl w:val="1"/>
          <w:numId w:val="25"/>
        </w:numPr>
        <w:rPr>
          <w:lang w:eastAsia="en-US"/>
        </w:rPr>
      </w:pPr>
      <w:r>
        <w:rPr>
          <w:lang w:eastAsia="en-US"/>
        </w:rPr>
        <w:t>Livestock grazing</w:t>
      </w:r>
    </w:p>
    <w:p w14:paraId="798FFD27" w14:textId="77777777" w:rsidR="00EC633E" w:rsidRPr="00EC633E" w:rsidRDefault="00EC633E" w:rsidP="00EC633E">
      <w:pPr>
        <w:pStyle w:val="List1bullet"/>
      </w:pPr>
      <w:r>
        <w:rPr>
          <w:lang w:eastAsia="en-US"/>
        </w:rPr>
        <w:t xml:space="preserve">28 out of </w:t>
      </w:r>
      <w:r w:rsidRPr="00EC633E">
        <w:t xml:space="preserve">30 properties were rated as having ‘Low’ potential for contamination, with the remaining 2 rated as having a ‘Medium’ potential (see </w:t>
      </w:r>
      <w:r w:rsidRPr="007651DC">
        <w:rPr>
          <w:b/>
          <w:bCs/>
        </w:rPr>
        <w:t>Figure 5</w:t>
      </w:r>
      <w:r w:rsidRPr="00EC633E">
        <w:t>).</w:t>
      </w:r>
    </w:p>
    <w:p w14:paraId="23EFA9FF" w14:textId="77777777" w:rsidR="00EC633E" w:rsidRDefault="00EC633E" w:rsidP="00EC633E">
      <w:pPr>
        <w:pStyle w:val="List1bullet"/>
        <w:rPr>
          <w:lang w:eastAsia="en-US"/>
        </w:rPr>
      </w:pPr>
      <w:r w:rsidRPr="00EC633E">
        <w:t>Properties ra</w:t>
      </w:r>
      <w:r>
        <w:rPr>
          <w:lang w:eastAsia="en-US"/>
        </w:rPr>
        <w:t>ted as having ‘Medium’ potential for contamination are likely to require a detailed, property specific desktop assessment, and where appropriate, limited investigation and sampling of surface soils.</w:t>
      </w:r>
    </w:p>
    <w:p w14:paraId="3C59539C" w14:textId="77777777" w:rsidR="00EC633E" w:rsidRPr="0076151F" w:rsidRDefault="00EC633E" w:rsidP="00EC633E">
      <w:pPr>
        <w:pStyle w:val="List1bullet"/>
        <w:numPr>
          <w:ilvl w:val="0"/>
          <w:numId w:val="0"/>
        </w:numPr>
        <w:rPr>
          <w:lang w:eastAsia="en-US"/>
        </w:rPr>
      </w:pPr>
      <w:r w:rsidRPr="0076151F">
        <w:rPr>
          <w:b/>
          <w:bCs/>
          <w:lang w:eastAsia="en-US"/>
        </w:rPr>
        <w:t>Potential Contamination of Sites:</w:t>
      </w:r>
    </w:p>
    <w:p w14:paraId="49E95572" w14:textId="77777777" w:rsidR="00EC633E" w:rsidRPr="00EC633E" w:rsidRDefault="00EC633E" w:rsidP="00EC633E">
      <w:pPr>
        <w:pStyle w:val="List1bullet"/>
      </w:pPr>
      <w:r>
        <w:rPr>
          <w:lang w:eastAsia="en-US"/>
        </w:rPr>
        <w:t xml:space="preserve">Further </w:t>
      </w:r>
      <w:r w:rsidRPr="00EC633E">
        <w:t>investigation of potential contamination must be undertaken for ‘Medium’ rated properties.</w:t>
      </w:r>
    </w:p>
    <w:p w14:paraId="177FE516" w14:textId="77777777" w:rsidR="00EC633E" w:rsidRPr="00EC633E" w:rsidRDefault="00EC633E" w:rsidP="00EC633E">
      <w:pPr>
        <w:pStyle w:val="List1bullet"/>
      </w:pPr>
      <w:r w:rsidRPr="00EC633E">
        <w:t>Targeted site investigations should be undertaken where potentially contaminating land uses are known to have occurred.</w:t>
      </w:r>
    </w:p>
    <w:p w14:paraId="20843B56" w14:textId="77777777" w:rsidR="00EC633E" w:rsidRPr="00EC633E" w:rsidRDefault="00EC633E" w:rsidP="00EC633E">
      <w:pPr>
        <w:pStyle w:val="List1bullet"/>
      </w:pPr>
      <w:r w:rsidRPr="00EC633E">
        <w:t>Further review and inspection may be required for ‘Low’ rated properties, including discussions with landowners to enhance understanding of potential contamination.</w:t>
      </w:r>
    </w:p>
    <w:p w14:paraId="0BE50A84" w14:textId="77777777" w:rsidR="00EC633E" w:rsidRDefault="00EC633E" w:rsidP="00EC633E">
      <w:pPr>
        <w:pStyle w:val="List1bullet"/>
        <w:rPr>
          <w:lang w:eastAsia="en-US"/>
        </w:rPr>
      </w:pPr>
      <w:r w:rsidRPr="00EC633E">
        <w:t>During development</w:t>
      </w:r>
      <w:r>
        <w:rPr>
          <w:lang w:eastAsia="en-US"/>
        </w:rPr>
        <w:t>, any contaminated soil must be treated as Prescribed Industrial Waste and removed from the site.</w:t>
      </w:r>
    </w:p>
    <w:p w14:paraId="6CD12D3C" w14:textId="77777777" w:rsidR="00EC633E" w:rsidRPr="0076151F" w:rsidRDefault="00EC633E" w:rsidP="00EC633E">
      <w:pPr>
        <w:pStyle w:val="List1bullet"/>
        <w:numPr>
          <w:ilvl w:val="0"/>
          <w:numId w:val="0"/>
        </w:numPr>
        <w:rPr>
          <w:b/>
          <w:bCs/>
          <w:lang w:eastAsia="en-US"/>
        </w:rPr>
      </w:pPr>
      <w:r w:rsidRPr="0076151F">
        <w:rPr>
          <w:b/>
          <w:bCs/>
          <w:lang w:eastAsia="en-US"/>
        </w:rPr>
        <w:t>Broiler Farms:</w:t>
      </w:r>
    </w:p>
    <w:p w14:paraId="2FC15B59" w14:textId="77777777" w:rsidR="00EC633E" w:rsidRDefault="00EC633E" w:rsidP="00EC633E">
      <w:pPr>
        <w:pStyle w:val="List1bullet"/>
        <w:rPr>
          <w:lang w:eastAsia="en-US"/>
        </w:rPr>
      </w:pPr>
      <w:r>
        <w:rPr>
          <w:lang w:eastAsia="en-US"/>
        </w:rPr>
        <w:t xml:space="preserve">Size, </w:t>
      </w:r>
      <w:r w:rsidRPr="00EC633E">
        <w:t>location</w:t>
      </w:r>
      <w:r>
        <w:rPr>
          <w:lang w:eastAsia="en-US"/>
        </w:rPr>
        <w:t xml:space="preserve"> and distance of broiler sheds from site should be considered in developments within the growth area to ensure appropriate setback/separation distances are maintained.</w:t>
      </w:r>
    </w:p>
    <w:p w14:paraId="27DA253F" w14:textId="77777777" w:rsidR="00EC633E" w:rsidRPr="0076151F" w:rsidRDefault="00EC633E" w:rsidP="00EC633E">
      <w:pPr>
        <w:pStyle w:val="List1bullet"/>
        <w:numPr>
          <w:ilvl w:val="0"/>
          <w:numId w:val="0"/>
        </w:numPr>
        <w:rPr>
          <w:b/>
          <w:bCs/>
          <w:lang w:eastAsia="en-US"/>
        </w:rPr>
      </w:pPr>
      <w:r w:rsidRPr="0076151F">
        <w:rPr>
          <w:b/>
          <w:bCs/>
          <w:lang w:eastAsia="en-US"/>
        </w:rPr>
        <w:t>Hydrology &amp; Hydrogeology:</w:t>
      </w:r>
    </w:p>
    <w:p w14:paraId="4AEA7160" w14:textId="34AAE2E7" w:rsidR="00EC633E" w:rsidRPr="00EC633E" w:rsidRDefault="00EC633E" w:rsidP="00EC633E">
      <w:pPr>
        <w:pStyle w:val="List1bullet"/>
        <w:rPr>
          <w:lang w:eastAsia="en-US"/>
        </w:rPr>
      </w:pPr>
      <w:r>
        <w:rPr>
          <w:lang w:eastAsia="en-US"/>
        </w:rPr>
        <w:t xml:space="preserve">Identified surface water features in area will require surveys to provide details of drainage patterns. </w:t>
      </w:r>
      <w:r w:rsidRPr="00EC633E">
        <w:t>Drainage</w:t>
      </w:r>
      <w:r>
        <w:rPr>
          <w:lang w:eastAsia="en-US"/>
        </w:rPr>
        <w:t xml:space="preserve"> paths need to be maintained, diverted or an alternative provided to ensure all areas remain appropriately drained during and after development.</w:t>
      </w:r>
    </w:p>
    <w:p w14:paraId="1F0C5FD2" w14:textId="77777777" w:rsidR="00EC633E" w:rsidRPr="0076151F" w:rsidRDefault="00EC633E" w:rsidP="00EC633E">
      <w:pPr>
        <w:pStyle w:val="List1bullet"/>
        <w:numPr>
          <w:ilvl w:val="0"/>
          <w:numId w:val="0"/>
        </w:numPr>
        <w:rPr>
          <w:b/>
          <w:bCs/>
          <w:lang w:eastAsia="en-US"/>
        </w:rPr>
      </w:pPr>
      <w:r w:rsidRPr="0076151F">
        <w:rPr>
          <w:b/>
          <w:bCs/>
          <w:lang w:eastAsia="en-US"/>
        </w:rPr>
        <w:t>Hazardous Materials:</w:t>
      </w:r>
    </w:p>
    <w:p w14:paraId="38C4BD00" w14:textId="77777777" w:rsidR="00EC633E" w:rsidRDefault="00EC633E" w:rsidP="00EC633E">
      <w:pPr>
        <w:pStyle w:val="List1bullet"/>
        <w:rPr>
          <w:lang w:eastAsia="en-US"/>
        </w:rPr>
      </w:pPr>
      <w:r>
        <w:rPr>
          <w:lang w:eastAsia="en-US"/>
        </w:rPr>
        <w:t>Hazardous materials surveys should be carried out for structures within area identified for future demolition or relocation. Inspection by qualified asbestos specialist should be considered at properties contained pre-1980 structures.</w:t>
      </w:r>
    </w:p>
    <w:p w14:paraId="6E938E4D" w14:textId="77777777" w:rsidR="00EC633E" w:rsidRPr="0076151F" w:rsidRDefault="00EC633E" w:rsidP="00EC633E">
      <w:pPr>
        <w:pStyle w:val="List1bullet"/>
        <w:numPr>
          <w:ilvl w:val="0"/>
          <w:numId w:val="0"/>
        </w:numPr>
        <w:rPr>
          <w:b/>
          <w:bCs/>
          <w:lang w:eastAsia="en-US"/>
        </w:rPr>
      </w:pPr>
      <w:r w:rsidRPr="0076151F">
        <w:rPr>
          <w:b/>
          <w:bCs/>
          <w:lang w:eastAsia="en-US"/>
        </w:rPr>
        <w:lastRenderedPageBreak/>
        <w:t>Ecological Restraints:</w:t>
      </w:r>
    </w:p>
    <w:p w14:paraId="2DC70FFE" w14:textId="77777777" w:rsidR="00EC633E" w:rsidRPr="00EC633E" w:rsidRDefault="00EC633E" w:rsidP="00EC633E">
      <w:pPr>
        <w:pStyle w:val="List1bullet"/>
      </w:pPr>
      <w:r>
        <w:rPr>
          <w:lang w:eastAsia="en-US"/>
        </w:rPr>
        <w:t xml:space="preserve">Many </w:t>
      </w:r>
      <w:r w:rsidRPr="00EC633E">
        <w:t>properties noted as containing native vegetation and / or potential to contain Groundwater Dependent and Ecosystems Inflow Dependent Ecosystems. Ecological surveys should be conducted prior to development of these areas.</w:t>
      </w:r>
    </w:p>
    <w:p w14:paraId="48BD4C07" w14:textId="77777777" w:rsidR="00EC633E" w:rsidRDefault="00EC633E" w:rsidP="00EC633E">
      <w:pPr>
        <w:pStyle w:val="List1bullet"/>
        <w:rPr>
          <w:lang w:eastAsia="en-US"/>
        </w:rPr>
      </w:pPr>
      <w:r w:rsidRPr="00EC633E">
        <w:t>Water Sensitive</w:t>
      </w:r>
      <w:r>
        <w:rPr>
          <w:lang w:eastAsia="en-US"/>
        </w:rPr>
        <w:t xml:space="preserve"> Urban Design (WSUD) initiatives should be considered to minimise disruption to Bruce’s Creek ecology.</w:t>
      </w:r>
    </w:p>
    <w:p w14:paraId="211A90B2" w14:textId="77777777" w:rsidR="00EC633E" w:rsidRPr="00F13BDB" w:rsidRDefault="00EC633E" w:rsidP="00EC633E">
      <w:pPr>
        <w:pStyle w:val="List1bullet"/>
        <w:numPr>
          <w:ilvl w:val="0"/>
          <w:numId w:val="0"/>
        </w:numPr>
        <w:rPr>
          <w:b/>
          <w:bCs/>
          <w:lang w:eastAsia="en-US"/>
        </w:rPr>
      </w:pPr>
      <w:r w:rsidRPr="00F13BDB">
        <w:rPr>
          <w:b/>
          <w:bCs/>
          <w:lang w:eastAsia="en-US"/>
        </w:rPr>
        <w:t>Cultural Heritage Restraints:</w:t>
      </w:r>
    </w:p>
    <w:p w14:paraId="132DC293" w14:textId="77777777" w:rsidR="00EC633E" w:rsidRPr="00EC633E" w:rsidRDefault="00EC633E" w:rsidP="00EC633E">
      <w:pPr>
        <w:pStyle w:val="List1bullet"/>
      </w:pPr>
      <w:r>
        <w:rPr>
          <w:lang w:eastAsia="en-US"/>
        </w:rPr>
        <w:t xml:space="preserve">Nine properties were </w:t>
      </w:r>
      <w:r w:rsidRPr="00EC633E">
        <w:t>noted as containing Cultural Heritage Sensitivity Areas.</w:t>
      </w:r>
    </w:p>
    <w:p w14:paraId="5D8E46EF" w14:textId="77777777" w:rsidR="00EC633E" w:rsidRDefault="00EC633E" w:rsidP="00EC633E">
      <w:pPr>
        <w:pStyle w:val="List1bullet"/>
        <w:rPr>
          <w:lang w:eastAsia="en-US"/>
        </w:rPr>
      </w:pPr>
      <w:r w:rsidRPr="00EC633E">
        <w:t>Further investigation recommended to determine if development of these areas will trigger requirement for a Cultu</w:t>
      </w:r>
      <w:r>
        <w:rPr>
          <w:lang w:eastAsia="en-US"/>
        </w:rPr>
        <w:t>ral Heritage Management Plan.</w:t>
      </w:r>
    </w:p>
    <w:p w14:paraId="36442E3E" w14:textId="77777777" w:rsidR="00EC633E" w:rsidRPr="00F13BDB" w:rsidRDefault="00EC633E" w:rsidP="00EC633E">
      <w:pPr>
        <w:pStyle w:val="List1bullet"/>
        <w:numPr>
          <w:ilvl w:val="0"/>
          <w:numId w:val="0"/>
        </w:numPr>
        <w:rPr>
          <w:b/>
          <w:bCs/>
          <w:lang w:eastAsia="en-US"/>
        </w:rPr>
      </w:pPr>
      <w:r w:rsidRPr="00F13BDB">
        <w:rPr>
          <w:b/>
          <w:bCs/>
          <w:lang w:eastAsia="en-US"/>
        </w:rPr>
        <w:t>Geotechnical Assessments:</w:t>
      </w:r>
    </w:p>
    <w:p w14:paraId="70AEDE2E" w14:textId="77777777" w:rsidR="00EC633E" w:rsidRDefault="00EC633E" w:rsidP="00EC633E">
      <w:pPr>
        <w:pStyle w:val="List1bullet"/>
        <w:rPr>
          <w:lang w:eastAsia="en-US"/>
        </w:rPr>
      </w:pPr>
      <w:r>
        <w:rPr>
          <w:lang w:eastAsia="en-US"/>
        </w:rPr>
        <w:t xml:space="preserve">Detailed </w:t>
      </w:r>
      <w:r w:rsidRPr="00EC633E">
        <w:t>geotechnical</w:t>
      </w:r>
      <w:r>
        <w:rPr>
          <w:lang w:eastAsia="en-US"/>
        </w:rPr>
        <w:t xml:space="preserve"> assessments should be completed prior to detailed design stage for any development in area. It is understood that this would be triggered at subdivision stage.</w:t>
      </w:r>
    </w:p>
    <w:p w14:paraId="7F8E8CDC" w14:textId="45A3350A" w:rsidR="00EC633E" w:rsidRDefault="00EC633E" w:rsidP="00EC633E">
      <w:pPr>
        <w:pStyle w:val="Caption"/>
        <w:rPr>
          <w:lang w:eastAsia="en-US"/>
        </w:rPr>
      </w:pPr>
      <w:bookmarkStart w:id="18" w:name="_Toc53406609"/>
      <w:r>
        <w:t xml:space="preserve">Figure </w:t>
      </w:r>
      <w:r w:rsidR="002F1993">
        <w:fldChar w:fldCharType="begin"/>
      </w:r>
      <w:r w:rsidR="002F1993">
        <w:instrText xml:space="preserve"> SEQ Figure \* ARABIC </w:instrText>
      </w:r>
      <w:r w:rsidR="002F1993">
        <w:fldChar w:fldCharType="separate"/>
      </w:r>
      <w:r w:rsidR="00881B08">
        <w:rPr>
          <w:noProof/>
        </w:rPr>
        <w:t>5</w:t>
      </w:r>
      <w:r w:rsidR="002F1993">
        <w:rPr>
          <w:noProof/>
        </w:rPr>
        <w:fldChar w:fldCharType="end"/>
      </w:r>
      <w:r>
        <w:t xml:space="preserve"> </w:t>
      </w:r>
      <w:r w:rsidRPr="001E5AA0">
        <w:rPr>
          <w:color w:val="auto"/>
        </w:rPr>
        <w:t>Potential for contamination</w:t>
      </w:r>
      <w:bookmarkEnd w:id="18"/>
      <w:r w:rsidRPr="001E5AA0">
        <w:rPr>
          <w:color w:val="auto"/>
        </w:rPr>
        <w:t xml:space="preserve"> </w:t>
      </w:r>
    </w:p>
    <w:p w14:paraId="1ABEC165" w14:textId="77777777" w:rsidR="00EC633E" w:rsidRDefault="00EC633E" w:rsidP="00EC633E">
      <w:pPr>
        <w:pStyle w:val="List1bullet"/>
        <w:numPr>
          <w:ilvl w:val="0"/>
          <w:numId w:val="0"/>
        </w:numPr>
        <w:rPr>
          <w:lang w:eastAsia="en-US"/>
        </w:rPr>
      </w:pPr>
      <w:r>
        <w:rPr>
          <w:noProof/>
        </w:rPr>
        <w:drawing>
          <wp:inline distT="0" distB="0" distL="0" distR="0" wp14:anchorId="0DDBA56D" wp14:editId="3E660F81">
            <wp:extent cx="5576569" cy="3947160"/>
            <wp:effectExtent l="0" t="0" r="5080" b="0"/>
            <wp:docPr id="13633495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76569" cy="3947160"/>
                    </a:xfrm>
                    <a:prstGeom prst="rect">
                      <a:avLst/>
                    </a:prstGeom>
                  </pic:spPr>
                </pic:pic>
              </a:graphicData>
            </a:graphic>
          </wp:inline>
        </w:drawing>
      </w:r>
    </w:p>
    <w:p w14:paraId="230E01B5" w14:textId="77777777" w:rsidR="00EC633E" w:rsidRDefault="00EC633E" w:rsidP="00EC633E">
      <w:pPr>
        <w:rPr>
          <w:lang w:eastAsia="en-US"/>
        </w:rPr>
      </w:pPr>
      <w:r>
        <w:rPr>
          <w:lang w:eastAsia="en-US"/>
        </w:rPr>
        <w:t>In summary:</w:t>
      </w:r>
    </w:p>
    <w:p w14:paraId="6B643134" w14:textId="77777777" w:rsidR="00EC633E" w:rsidRPr="00485A7C" w:rsidRDefault="00EC633E" w:rsidP="00EC633E">
      <w:pPr>
        <w:pStyle w:val="ListParagraph"/>
        <w:numPr>
          <w:ilvl w:val="0"/>
          <w:numId w:val="43"/>
        </w:numPr>
        <w:suppressAutoHyphens w:val="0"/>
        <w:spacing w:before="0" w:after="200"/>
        <w:jc w:val="left"/>
        <w:rPr>
          <w:rStyle w:val="Strong"/>
        </w:rPr>
      </w:pPr>
      <w:r w:rsidRPr="00485A7C">
        <w:rPr>
          <w:rStyle w:val="Strong"/>
        </w:rPr>
        <w:t>The majority of land parcels have a ‘low’ rating for potential contamination.</w:t>
      </w:r>
    </w:p>
    <w:p w14:paraId="7DC0776C" w14:textId="77777777" w:rsidR="00EC633E" w:rsidRPr="00485A7C" w:rsidRDefault="00EC633E" w:rsidP="00EC633E">
      <w:pPr>
        <w:pStyle w:val="ListParagraph"/>
        <w:numPr>
          <w:ilvl w:val="0"/>
          <w:numId w:val="43"/>
        </w:numPr>
        <w:suppressAutoHyphens w:val="0"/>
        <w:spacing w:before="0" w:after="200"/>
        <w:jc w:val="left"/>
        <w:rPr>
          <w:rStyle w:val="Strong"/>
        </w:rPr>
      </w:pPr>
      <w:r w:rsidRPr="00485A7C">
        <w:rPr>
          <w:rStyle w:val="Strong"/>
        </w:rPr>
        <w:t xml:space="preserve">Two parcels have a ‘medium’ rating for potential contamination. These parcels will likely require a detailed property specific assessment. </w:t>
      </w:r>
    </w:p>
    <w:p w14:paraId="5BB25ADA" w14:textId="77777777" w:rsidR="00EC633E" w:rsidRPr="000E0F86" w:rsidRDefault="00EC633E" w:rsidP="00EC633E">
      <w:pPr>
        <w:pStyle w:val="ListParagraph"/>
        <w:numPr>
          <w:ilvl w:val="0"/>
          <w:numId w:val="43"/>
        </w:numPr>
        <w:suppressAutoHyphens w:val="0"/>
        <w:spacing w:before="0" w:after="200"/>
        <w:jc w:val="left"/>
        <w:rPr>
          <w:rStyle w:val="Strong"/>
        </w:rPr>
      </w:pPr>
      <w:r>
        <w:rPr>
          <w:rStyle w:val="Strong"/>
        </w:rPr>
        <w:t xml:space="preserve">This matter will be further addressed at the planning permit stage.  </w:t>
      </w:r>
    </w:p>
    <w:p w14:paraId="64543755" w14:textId="77777777" w:rsidR="00EC633E" w:rsidRPr="006958BA" w:rsidRDefault="00EC633E" w:rsidP="00EC633E">
      <w:pPr>
        <w:pStyle w:val="ListParagraph"/>
        <w:suppressAutoHyphens w:val="0"/>
        <w:spacing w:before="0" w:after="200"/>
        <w:ind w:left="360"/>
        <w:jc w:val="left"/>
        <w:rPr>
          <w:rStyle w:val="Strong"/>
          <w:highlight w:val="yellow"/>
        </w:rPr>
      </w:pPr>
    </w:p>
    <w:p w14:paraId="72085D31" w14:textId="2185B090" w:rsidR="00B95652" w:rsidRDefault="00544BAA" w:rsidP="00EC633E">
      <w:pPr>
        <w:pStyle w:val="Heading1"/>
      </w:pPr>
      <w:bookmarkStart w:id="19" w:name="_Toc53406547"/>
      <w:r>
        <w:lastRenderedPageBreak/>
        <w:t>Transport</w:t>
      </w:r>
      <w:bookmarkEnd w:id="19"/>
    </w:p>
    <w:p w14:paraId="434A249E" w14:textId="77777777" w:rsidR="0027653B" w:rsidRDefault="0027653B" w:rsidP="0027653B">
      <w:pPr>
        <w:pStyle w:val="Heading2"/>
      </w:pPr>
      <w:bookmarkStart w:id="20" w:name="_Toc53406548"/>
      <w:r>
        <w:t>Traffic network assessment</w:t>
      </w:r>
      <w:bookmarkEnd w:id="20"/>
      <w:r>
        <w:t xml:space="preserve"> </w:t>
      </w:r>
    </w:p>
    <w:p w14:paraId="0E6B8FED" w14:textId="77777777" w:rsidR="0027653B" w:rsidRDefault="0027653B" w:rsidP="0027653B">
      <w:pPr>
        <w:rPr>
          <w:lang w:eastAsia="en-US"/>
        </w:rPr>
      </w:pPr>
      <w:r>
        <w:rPr>
          <w:lang w:eastAsia="en-US"/>
        </w:rPr>
        <w:t xml:space="preserve">The VPA prepared the </w:t>
      </w:r>
      <w:r>
        <w:rPr>
          <w:i/>
          <w:iCs/>
          <w:lang w:eastAsia="en-US"/>
        </w:rPr>
        <w:t xml:space="preserve">Bannockburn Growth Plan Traffic Network Assessment </w:t>
      </w:r>
      <w:r>
        <w:rPr>
          <w:lang w:eastAsia="en-US"/>
        </w:rPr>
        <w:t xml:space="preserve">(August 2020) (the assessment). The assessment identifies a possible future road network and arterial road option for Bannockburn. It provides an assessment of existing network conditions and investigates the need to expand the arterial road network to accommodate projected growth. </w:t>
      </w:r>
    </w:p>
    <w:p w14:paraId="00D7622B" w14:textId="4B353A40" w:rsidR="0043755E" w:rsidRDefault="0043755E" w:rsidP="0027653B">
      <w:pPr>
        <w:rPr>
          <w:lang w:eastAsia="en-US"/>
        </w:rPr>
      </w:pPr>
      <w:r>
        <w:rPr>
          <w:lang w:eastAsia="en-US"/>
        </w:rPr>
        <w:t xml:space="preserve">Key findings of the assessment are identified under the headings below. </w:t>
      </w:r>
    </w:p>
    <w:p w14:paraId="4F7D385C" w14:textId="77777777" w:rsidR="0027653B" w:rsidRPr="00E45B8D" w:rsidRDefault="0027653B" w:rsidP="0027653B">
      <w:pPr>
        <w:pStyle w:val="Heading3"/>
      </w:pPr>
      <w:r>
        <w:t xml:space="preserve">Existing conditions </w:t>
      </w:r>
    </w:p>
    <w:p w14:paraId="11E80348" w14:textId="77777777" w:rsidR="0027653B" w:rsidRDefault="0027653B" w:rsidP="0027653B">
      <w:pPr>
        <w:rPr>
          <w:lang w:eastAsia="en-US"/>
        </w:rPr>
      </w:pPr>
      <w:r>
        <w:rPr>
          <w:lang w:eastAsia="en-US"/>
        </w:rPr>
        <w:t>The assessment includes a summary of existing conditions, the key findings are:</w:t>
      </w:r>
    </w:p>
    <w:p w14:paraId="0CD29D2D" w14:textId="77777777" w:rsidR="0027653B" w:rsidRPr="0027653B" w:rsidRDefault="0027653B" w:rsidP="0027653B">
      <w:pPr>
        <w:pStyle w:val="List1bullet"/>
      </w:pPr>
      <w:r w:rsidRPr="0027653B">
        <w:t>High Street in central Bannockburn is carrying approximately 10,365 vehicles per day (veh/day), of which 8% are heavy vehicles.</w:t>
      </w:r>
    </w:p>
    <w:p w14:paraId="06E48DC9" w14:textId="77777777" w:rsidR="0027653B" w:rsidRPr="0027653B" w:rsidRDefault="0027653B" w:rsidP="0027653B">
      <w:pPr>
        <w:pStyle w:val="List1bullet"/>
      </w:pPr>
      <w:r w:rsidRPr="0027653B">
        <w:t>Geelong Road is carrying approximately 9,659 veh/day, of which 12% are heavy vehicles.</w:t>
      </w:r>
    </w:p>
    <w:p w14:paraId="0920019C" w14:textId="77777777" w:rsidR="0027653B" w:rsidRPr="0027653B" w:rsidRDefault="0027653B" w:rsidP="0027653B">
      <w:pPr>
        <w:pStyle w:val="List1bullet"/>
      </w:pPr>
      <w:r w:rsidRPr="0027653B">
        <w:t xml:space="preserve">West of the central town, Bannockburn-Shelford Road is carrying approximately 5,441 veh/day, of which 13% are heavy vehicles. </w:t>
      </w:r>
    </w:p>
    <w:p w14:paraId="2BEA69E2" w14:textId="77777777" w:rsidR="0027653B" w:rsidRPr="0027653B" w:rsidRDefault="0027653B" w:rsidP="0027653B">
      <w:pPr>
        <w:pStyle w:val="List1bullet"/>
      </w:pPr>
      <w:r w:rsidRPr="0027653B">
        <w:t>A significant proportion of heavy vehicles through Bannockburn are semi-trailers and B-doubles.</w:t>
      </w:r>
    </w:p>
    <w:p w14:paraId="5AECBD05" w14:textId="77777777" w:rsidR="0027653B" w:rsidRPr="0027653B" w:rsidRDefault="0027653B" w:rsidP="0027653B">
      <w:pPr>
        <w:pStyle w:val="List1bullet"/>
      </w:pPr>
      <w:r w:rsidRPr="0027653B">
        <w:t>Truck volumes through Bannockburn fluctuate significantly over the year, which could be explained by forestry and agriculture harvest times. Small and medium trucks showed the most variance, with large trucks having the most steady volumes across the year.</w:t>
      </w:r>
    </w:p>
    <w:p w14:paraId="471C5251" w14:textId="77777777" w:rsidR="0027653B" w:rsidRDefault="0027653B" w:rsidP="0027653B">
      <w:pPr>
        <w:pStyle w:val="List1bullet"/>
        <w:rPr>
          <w:lang w:eastAsia="en-US"/>
        </w:rPr>
      </w:pPr>
      <w:r w:rsidRPr="0027653B">
        <w:t>The 2013</w:t>
      </w:r>
      <w:r>
        <w:rPr>
          <w:lang w:eastAsia="en-US"/>
        </w:rPr>
        <w:t xml:space="preserve"> bypass study indicated a positive overall response to the idea of an alternative heavy vehicle route around Bannockburn. </w:t>
      </w:r>
    </w:p>
    <w:p w14:paraId="350C10F1" w14:textId="77777777" w:rsidR="0027653B" w:rsidRDefault="0027653B" w:rsidP="0027653B">
      <w:pPr>
        <w:pStyle w:val="Heading3"/>
      </w:pPr>
      <w:r>
        <w:t>Arterial Road</w:t>
      </w:r>
    </w:p>
    <w:p w14:paraId="2AF2C392" w14:textId="77777777" w:rsidR="0027653B" w:rsidRDefault="0027653B" w:rsidP="0027653B">
      <w:r w:rsidRPr="00A36090">
        <w:t>T</w:t>
      </w:r>
      <w:r>
        <w:t>h</w:t>
      </w:r>
      <w:r w:rsidRPr="00A36090">
        <w:t>e</w:t>
      </w:r>
      <w:r>
        <w:t xml:space="preserve"> assessment concludes that an additional arterial road is required to meet the needs of the Growth Plan. The process of testing the need for this road included:</w:t>
      </w:r>
    </w:p>
    <w:p w14:paraId="3E457F99" w14:textId="77777777" w:rsidR="0027653B" w:rsidRPr="0027653B" w:rsidRDefault="0027653B" w:rsidP="0027653B">
      <w:pPr>
        <w:pStyle w:val="List1bullet"/>
      </w:pPr>
      <w:r w:rsidRPr="0027653B">
        <w:t>Reviewing the recommendations of previous Bannockburn bypass investigations were reviewed in the context of the Growth Plan.</w:t>
      </w:r>
    </w:p>
    <w:p w14:paraId="0B3CD5F8" w14:textId="77777777" w:rsidR="0027653B" w:rsidRPr="0027653B" w:rsidRDefault="0027653B" w:rsidP="0027653B">
      <w:pPr>
        <w:pStyle w:val="List1bullet"/>
      </w:pPr>
      <w:r w:rsidRPr="0027653B">
        <w:t xml:space="preserve">GIS was used to plot potential constraints mapping. </w:t>
      </w:r>
    </w:p>
    <w:p w14:paraId="37E94637" w14:textId="77777777" w:rsidR="0027653B" w:rsidRPr="0027653B" w:rsidRDefault="0027653B" w:rsidP="0027653B">
      <w:pPr>
        <w:pStyle w:val="List1bullet"/>
      </w:pPr>
      <w:r w:rsidRPr="0027653B">
        <w:t>Five options for an additional arterial road alignment were identified.</w:t>
      </w:r>
    </w:p>
    <w:p w14:paraId="0B376B86" w14:textId="77777777" w:rsidR="0027653B" w:rsidRPr="0027653B" w:rsidRDefault="0027653B" w:rsidP="0027653B">
      <w:pPr>
        <w:pStyle w:val="List1bullet"/>
      </w:pPr>
      <w:r w:rsidRPr="0027653B">
        <w:t xml:space="preserve">Supporting local network was overlayed. </w:t>
      </w:r>
    </w:p>
    <w:p w14:paraId="6824A85A" w14:textId="77777777" w:rsidR="0027653B" w:rsidRDefault="0027653B" w:rsidP="0027653B">
      <w:pPr>
        <w:pStyle w:val="List1bullet"/>
        <w:rPr>
          <w:lang w:eastAsia="en-US"/>
        </w:rPr>
      </w:pPr>
      <w:r w:rsidRPr="0027653B">
        <w:t>Traffic Impact Assessment</w:t>
      </w:r>
      <w:r>
        <w:rPr>
          <w:lang w:eastAsia="en-US"/>
        </w:rPr>
        <w:t xml:space="preserve"> was undertaken to understand traffic implications. </w:t>
      </w:r>
    </w:p>
    <w:p w14:paraId="615B7922" w14:textId="77777777" w:rsidR="0027653B" w:rsidRDefault="0027653B" w:rsidP="0027653B">
      <w:pPr>
        <w:pStyle w:val="List1bullet"/>
        <w:numPr>
          <w:ilvl w:val="0"/>
          <w:numId w:val="0"/>
        </w:numPr>
        <w:rPr>
          <w:lang w:eastAsia="en-US"/>
        </w:rPr>
      </w:pPr>
      <w:r>
        <w:rPr>
          <w:lang w:eastAsia="en-US"/>
        </w:rPr>
        <w:t xml:space="preserve">The five corridor options for the arterial road are identified in </w:t>
      </w:r>
      <w:r w:rsidRPr="00174FB6">
        <w:rPr>
          <w:b/>
          <w:bCs/>
          <w:lang w:eastAsia="en-US"/>
        </w:rPr>
        <w:t>Figure 6</w:t>
      </w:r>
      <w:r>
        <w:rPr>
          <w:lang w:eastAsia="en-US"/>
        </w:rPr>
        <w:t xml:space="preserve">.    </w:t>
      </w:r>
      <w:r w:rsidRPr="00A36090">
        <w:rPr>
          <w:lang w:eastAsia="en-US"/>
        </w:rPr>
        <w:t xml:space="preserve"> </w:t>
      </w:r>
    </w:p>
    <w:p w14:paraId="0D42F189" w14:textId="2FD908C7" w:rsidR="0027653B" w:rsidRDefault="0027653B" w:rsidP="0027653B">
      <w:pPr>
        <w:pStyle w:val="Caption"/>
        <w:rPr>
          <w:lang w:eastAsia="en-US"/>
        </w:rPr>
      </w:pPr>
      <w:bookmarkStart w:id="21" w:name="_Toc53406610"/>
      <w:r>
        <w:lastRenderedPageBreak/>
        <w:t xml:space="preserve">Figure </w:t>
      </w:r>
      <w:r w:rsidR="002F1993">
        <w:fldChar w:fldCharType="begin"/>
      </w:r>
      <w:r w:rsidR="002F1993">
        <w:instrText xml:space="preserve"> SEQ Figure \* ARABIC </w:instrText>
      </w:r>
      <w:r w:rsidR="002F1993">
        <w:fldChar w:fldCharType="separate"/>
      </w:r>
      <w:r w:rsidR="00881B08">
        <w:rPr>
          <w:noProof/>
        </w:rPr>
        <w:t>6</w:t>
      </w:r>
      <w:r w:rsidR="002F1993">
        <w:rPr>
          <w:noProof/>
        </w:rPr>
        <w:fldChar w:fldCharType="end"/>
      </w:r>
      <w:r>
        <w:t xml:space="preserve"> </w:t>
      </w:r>
      <w:r w:rsidRPr="00007501">
        <w:rPr>
          <w:color w:val="auto"/>
        </w:rPr>
        <w:t>Five corridor options</w:t>
      </w:r>
      <w:bookmarkEnd w:id="21"/>
      <w:r w:rsidRPr="00007501">
        <w:rPr>
          <w:color w:val="auto"/>
        </w:rPr>
        <w:t xml:space="preserve"> </w:t>
      </w:r>
    </w:p>
    <w:p w14:paraId="5C38C2A0" w14:textId="77777777" w:rsidR="0027653B" w:rsidRDefault="0027653B" w:rsidP="0027653B">
      <w:pPr>
        <w:pStyle w:val="List1bullet"/>
        <w:numPr>
          <w:ilvl w:val="0"/>
          <w:numId w:val="0"/>
        </w:numPr>
        <w:rPr>
          <w:lang w:eastAsia="en-US"/>
        </w:rPr>
      </w:pPr>
      <w:r>
        <w:rPr>
          <w:noProof/>
        </w:rPr>
        <w:drawing>
          <wp:inline distT="0" distB="0" distL="0" distR="0" wp14:anchorId="02C9138A" wp14:editId="76FF3F04">
            <wp:extent cx="5576570" cy="400875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76570" cy="4008755"/>
                    </a:xfrm>
                    <a:prstGeom prst="rect">
                      <a:avLst/>
                    </a:prstGeom>
                  </pic:spPr>
                </pic:pic>
              </a:graphicData>
            </a:graphic>
          </wp:inline>
        </w:drawing>
      </w:r>
    </w:p>
    <w:p w14:paraId="088F5443" w14:textId="77777777" w:rsidR="0027653B" w:rsidRDefault="0027653B" w:rsidP="0027653B">
      <w:pPr>
        <w:suppressAutoHyphens w:val="0"/>
        <w:autoSpaceDE w:val="0"/>
        <w:autoSpaceDN w:val="0"/>
        <w:adjustRightInd w:val="0"/>
        <w:spacing w:before="0" w:line="240" w:lineRule="auto"/>
        <w:jc w:val="left"/>
      </w:pPr>
      <w:r>
        <w:t xml:space="preserve">An assessment of the traffic impacts of each of the five route options was conducted and each route was evaluated against </w:t>
      </w:r>
      <w:r w:rsidRPr="005E4B83">
        <w:t>a range of</w:t>
      </w:r>
      <w:r>
        <w:t xml:space="preserve"> </w:t>
      </w:r>
      <w:r w:rsidRPr="005E4B83">
        <w:t>transport, economic, environmental and social criteria</w:t>
      </w:r>
      <w:r>
        <w:t xml:space="preserve"> (see </w:t>
      </w:r>
      <w:r w:rsidRPr="00E33FF5">
        <w:rPr>
          <w:b/>
          <w:bCs/>
        </w:rPr>
        <w:t>Figure 7</w:t>
      </w:r>
      <w:r>
        <w:t>)</w:t>
      </w:r>
      <w:r w:rsidRPr="005E4B83">
        <w:t xml:space="preserve">. </w:t>
      </w:r>
    </w:p>
    <w:p w14:paraId="7DA04389" w14:textId="77777777" w:rsidR="0027653B" w:rsidRDefault="0027653B" w:rsidP="0027653B">
      <w:pPr>
        <w:suppressAutoHyphens w:val="0"/>
        <w:autoSpaceDE w:val="0"/>
        <w:autoSpaceDN w:val="0"/>
        <w:adjustRightInd w:val="0"/>
        <w:spacing w:before="0" w:line="240" w:lineRule="auto"/>
        <w:jc w:val="left"/>
      </w:pPr>
    </w:p>
    <w:p w14:paraId="084BDDA0" w14:textId="50571A2B" w:rsidR="0027653B" w:rsidRDefault="0027653B" w:rsidP="0027653B">
      <w:pPr>
        <w:suppressAutoHyphens w:val="0"/>
        <w:autoSpaceDE w:val="0"/>
        <w:autoSpaceDN w:val="0"/>
        <w:adjustRightInd w:val="0"/>
        <w:spacing w:before="0" w:line="240" w:lineRule="auto"/>
        <w:jc w:val="left"/>
      </w:pPr>
      <w:r w:rsidRPr="005E4B83">
        <w:t>Additionally, a base</w:t>
      </w:r>
      <w:r>
        <w:t xml:space="preserve"> </w:t>
      </w:r>
      <w:r w:rsidRPr="005E4B83">
        <w:t xml:space="preserve">line minimal change option </w:t>
      </w:r>
      <w:r w:rsidR="00E33FF5">
        <w:t>was</w:t>
      </w:r>
      <w:r w:rsidRPr="005E4B83">
        <w:t xml:space="preserve"> evaluated to understand the impacts</w:t>
      </w:r>
      <w:r>
        <w:t xml:space="preserve"> </w:t>
      </w:r>
      <w:r w:rsidRPr="005E4B83">
        <w:t xml:space="preserve">of not providing an additional arterial road. </w:t>
      </w:r>
    </w:p>
    <w:p w14:paraId="61820A88" w14:textId="36D4E406" w:rsidR="0027653B" w:rsidRDefault="0027653B" w:rsidP="0027653B">
      <w:pPr>
        <w:pStyle w:val="Caption"/>
      </w:pPr>
      <w:bookmarkStart w:id="22" w:name="_Toc53406611"/>
      <w:r>
        <w:t xml:space="preserve">Figure </w:t>
      </w:r>
      <w:r w:rsidR="002F1993">
        <w:fldChar w:fldCharType="begin"/>
      </w:r>
      <w:r w:rsidR="002F1993">
        <w:instrText xml:space="preserve"> SEQ Figure \* ARABIC </w:instrText>
      </w:r>
      <w:r w:rsidR="002F1993">
        <w:fldChar w:fldCharType="separate"/>
      </w:r>
      <w:r w:rsidR="00881B08">
        <w:rPr>
          <w:noProof/>
        </w:rPr>
        <w:t>7</w:t>
      </w:r>
      <w:r w:rsidR="002F1993">
        <w:rPr>
          <w:noProof/>
        </w:rPr>
        <w:fldChar w:fldCharType="end"/>
      </w:r>
      <w:r>
        <w:t xml:space="preserve"> </w:t>
      </w:r>
      <w:r w:rsidRPr="00D53BB7">
        <w:rPr>
          <w:color w:val="auto"/>
        </w:rPr>
        <w:t>Evaluation of route option</w:t>
      </w:r>
      <w:bookmarkEnd w:id="22"/>
    </w:p>
    <w:p w14:paraId="54DAE137" w14:textId="77777777" w:rsidR="0027653B" w:rsidRDefault="0027653B" w:rsidP="0027653B">
      <w:pPr>
        <w:rPr>
          <w:lang w:eastAsia="en-US"/>
        </w:rPr>
      </w:pPr>
      <w:r>
        <w:rPr>
          <w:noProof/>
        </w:rPr>
        <w:drawing>
          <wp:inline distT="0" distB="0" distL="0" distR="0" wp14:anchorId="39216AE7" wp14:editId="520EE06E">
            <wp:extent cx="5576570" cy="1610995"/>
            <wp:effectExtent l="0" t="0" r="508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76570" cy="1610995"/>
                    </a:xfrm>
                    <a:prstGeom prst="rect">
                      <a:avLst/>
                    </a:prstGeom>
                  </pic:spPr>
                </pic:pic>
              </a:graphicData>
            </a:graphic>
          </wp:inline>
        </w:drawing>
      </w:r>
    </w:p>
    <w:p w14:paraId="6BFEE4B4" w14:textId="77777777" w:rsidR="0027653B" w:rsidRDefault="0027653B" w:rsidP="0027653B">
      <w:pPr>
        <w:rPr>
          <w:lang w:eastAsia="en-US"/>
        </w:rPr>
      </w:pPr>
      <w:r>
        <w:rPr>
          <w:lang w:eastAsia="en-US"/>
        </w:rPr>
        <w:t>In summary:</w:t>
      </w:r>
    </w:p>
    <w:p w14:paraId="2C98B28C" w14:textId="77777777" w:rsidR="0027653B" w:rsidRPr="00CF7A4D" w:rsidRDefault="0027653B" w:rsidP="0027653B">
      <w:pPr>
        <w:pStyle w:val="ListParagraph"/>
        <w:numPr>
          <w:ilvl w:val="0"/>
          <w:numId w:val="43"/>
        </w:numPr>
        <w:suppressAutoHyphens w:val="0"/>
        <w:spacing w:before="0" w:after="200"/>
        <w:jc w:val="left"/>
        <w:rPr>
          <w:rStyle w:val="Strong"/>
        </w:rPr>
      </w:pPr>
      <w:r>
        <w:rPr>
          <w:rStyle w:val="Strong"/>
        </w:rPr>
        <w:t>An additional arterial road is required through Bannockburn to meet the forecast traffic demands generated by the Growth Plan over 30 years.</w:t>
      </w:r>
    </w:p>
    <w:p w14:paraId="790660B9" w14:textId="77777777" w:rsidR="0027653B" w:rsidRPr="00CF7A4D" w:rsidRDefault="0027653B" w:rsidP="0027653B">
      <w:pPr>
        <w:pStyle w:val="ListParagraph"/>
        <w:numPr>
          <w:ilvl w:val="0"/>
          <w:numId w:val="43"/>
        </w:numPr>
        <w:suppressAutoHyphens w:val="0"/>
        <w:spacing w:before="0" w:after="200"/>
        <w:jc w:val="left"/>
        <w:rPr>
          <w:rStyle w:val="Strong"/>
        </w:rPr>
      </w:pPr>
      <w:r>
        <w:rPr>
          <w:rStyle w:val="Strong"/>
        </w:rPr>
        <w:t>An additional arterial road through Bannockburn would:</w:t>
      </w:r>
    </w:p>
    <w:p w14:paraId="04B99E6F" w14:textId="77777777" w:rsidR="0027653B" w:rsidRPr="00E400CF" w:rsidRDefault="0027653B" w:rsidP="0027653B">
      <w:pPr>
        <w:pStyle w:val="ListParagraph"/>
        <w:numPr>
          <w:ilvl w:val="1"/>
          <w:numId w:val="43"/>
        </w:numPr>
        <w:suppressAutoHyphens w:val="0"/>
        <w:spacing w:before="0" w:after="200"/>
        <w:jc w:val="left"/>
        <w:rPr>
          <w:rStyle w:val="Strong"/>
        </w:rPr>
      </w:pPr>
      <w:r>
        <w:rPr>
          <w:rStyle w:val="Strong"/>
        </w:rPr>
        <w:t>provide an alternative arterial route for heavy vehicles and provide scope to improve general traffic operations and safety in the township;</w:t>
      </w:r>
    </w:p>
    <w:p w14:paraId="5FFFBA4D" w14:textId="77777777" w:rsidR="0027653B" w:rsidRPr="006326BC" w:rsidRDefault="0027653B" w:rsidP="0027653B">
      <w:pPr>
        <w:pStyle w:val="ListParagraph"/>
        <w:numPr>
          <w:ilvl w:val="1"/>
          <w:numId w:val="43"/>
        </w:numPr>
        <w:suppressAutoHyphens w:val="0"/>
        <w:spacing w:before="0" w:after="200"/>
        <w:jc w:val="left"/>
        <w:rPr>
          <w:rStyle w:val="Strong"/>
        </w:rPr>
      </w:pPr>
      <w:r>
        <w:rPr>
          <w:rStyle w:val="Strong"/>
        </w:rPr>
        <w:t>present an important opportunity to improve safety and amenity of the central township;</w:t>
      </w:r>
    </w:p>
    <w:p w14:paraId="709AFBBA" w14:textId="77777777" w:rsidR="0027653B" w:rsidRPr="006326BC" w:rsidRDefault="0027653B" w:rsidP="0027653B">
      <w:pPr>
        <w:pStyle w:val="ListParagraph"/>
        <w:numPr>
          <w:ilvl w:val="1"/>
          <w:numId w:val="43"/>
        </w:numPr>
        <w:suppressAutoHyphens w:val="0"/>
        <w:spacing w:before="0" w:after="200"/>
        <w:jc w:val="left"/>
        <w:rPr>
          <w:rStyle w:val="Strong"/>
        </w:rPr>
      </w:pPr>
      <w:r>
        <w:rPr>
          <w:rStyle w:val="Strong"/>
        </w:rPr>
        <w:t>redress the imbalance in the existing movement and place priorities through the High Street;</w:t>
      </w:r>
    </w:p>
    <w:p w14:paraId="04B81406" w14:textId="77777777" w:rsidR="0027653B" w:rsidRPr="006326BC" w:rsidRDefault="0027653B" w:rsidP="0027653B">
      <w:pPr>
        <w:pStyle w:val="ListParagraph"/>
        <w:numPr>
          <w:ilvl w:val="1"/>
          <w:numId w:val="43"/>
        </w:numPr>
        <w:suppressAutoHyphens w:val="0"/>
        <w:spacing w:before="0" w:after="200"/>
        <w:jc w:val="left"/>
        <w:rPr>
          <w:rStyle w:val="Strong"/>
        </w:rPr>
      </w:pPr>
      <w:r>
        <w:rPr>
          <w:rStyle w:val="Strong"/>
        </w:rPr>
        <w:t>facilitate placemaking improvements in the central township;</w:t>
      </w:r>
    </w:p>
    <w:p w14:paraId="24E4CAA0" w14:textId="77777777" w:rsidR="0027653B" w:rsidRPr="006326BC" w:rsidRDefault="0027653B" w:rsidP="0027653B">
      <w:pPr>
        <w:pStyle w:val="ListParagraph"/>
        <w:numPr>
          <w:ilvl w:val="1"/>
          <w:numId w:val="43"/>
        </w:numPr>
        <w:suppressAutoHyphens w:val="0"/>
        <w:spacing w:before="0" w:after="200"/>
        <w:jc w:val="left"/>
        <w:rPr>
          <w:rStyle w:val="Strong"/>
        </w:rPr>
      </w:pPr>
      <w:r>
        <w:rPr>
          <w:rStyle w:val="Strong"/>
        </w:rPr>
        <w:t>support the needs of future public transport services;</w:t>
      </w:r>
    </w:p>
    <w:p w14:paraId="783E288C" w14:textId="77777777" w:rsidR="0027653B" w:rsidRPr="006326BC" w:rsidRDefault="0027653B" w:rsidP="0027653B">
      <w:pPr>
        <w:pStyle w:val="ListParagraph"/>
        <w:numPr>
          <w:ilvl w:val="1"/>
          <w:numId w:val="43"/>
        </w:numPr>
        <w:suppressAutoHyphens w:val="0"/>
        <w:spacing w:before="0" w:after="200"/>
        <w:jc w:val="left"/>
        <w:rPr>
          <w:rStyle w:val="Strong"/>
        </w:rPr>
      </w:pPr>
      <w:r>
        <w:rPr>
          <w:rStyle w:val="Strong"/>
        </w:rPr>
        <w:t>provide a grade separated crossing of the Geelong to Ballarat railway line.</w:t>
      </w:r>
    </w:p>
    <w:p w14:paraId="03A68D8E" w14:textId="3893C7F3" w:rsidR="0027653B" w:rsidRDefault="0027653B" w:rsidP="0027653B">
      <w:pPr>
        <w:pStyle w:val="ListParagraph"/>
        <w:numPr>
          <w:ilvl w:val="0"/>
          <w:numId w:val="43"/>
        </w:numPr>
        <w:suppressAutoHyphens w:val="0"/>
        <w:spacing w:before="0" w:after="200"/>
        <w:jc w:val="left"/>
        <w:rPr>
          <w:rStyle w:val="Strong"/>
        </w:rPr>
      </w:pPr>
      <w:r>
        <w:rPr>
          <w:rStyle w:val="Strong"/>
        </w:rPr>
        <w:lastRenderedPageBreak/>
        <w:t xml:space="preserve">Based on a high-level evaluation, Route Options 3 and 4 are found to be the most viable corridor options for an arterial road and are recommended for inclusion in </w:t>
      </w:r>
      <w:r w:rsidR="00E33FF5">
        <w:rPr>
          <w:rStyle w:val="Strong"/>
        </w:rPr>
        <w:t>t</w:t>
      </w:r>
      <w:r>
        <w:rPr>
          <w:rStyle w:val="Strong"/>
        </w:rPr>
        <w:t xml:space="preserve">he draft Growth Plan. </w:t>
      </w:r>
    </w:p>
    <w:p w14:paraId="27913C75" w14:textId="77777777" w:rsidR="0027653B" w:rsidRDefault="0027653B" w:rsidP="0027653B">
      <w:pPr>
        <w:pStyle w:val="ListParagraph"/>
        <w:numPr>
          <w:ilvl w:val="0"/>
          <w:numId w:val="43"/>
        </w:numPr>
        <w:suppressAutoHyphens w:val="0"/>
        <w:spacing w:before="0" w:after="200"/>
        <w:jc w:val="left"/>
        <w:rPr>
          <w:rStyle w:val="Strong"/>
        </w:rPr>
      </w:pPr>
      <w:r>
        <w:rPr>
          <w:rStyle w:val="Strong"/>
        </w:rPr>
        <w:t xml:space="preserve">This matter will be further addressed as part of the detailed planning for the proposed growth areas. </w:t>
      </w:r>
    </w:p>
    <w:p w14:paraId="09C90D01" w14:textId="77777777" w:rsidR="0027653B" w:rsidRPr="000E0F86" w:rsidRDefault="0027653B" w:rsidP="0027653B">
      <w:pPr>
        <w:pStyle w:val="ListParagraph"/>
        <w:numPr>
          <w:ilvl w:val="0"/>
          <w:numId w:val="43"/>
        </w:numPr>
        <w:suppressAutoHyphens w:val="0"/>
        <w:spacing w:before="0" w:after="200"/>
        <w:jc w:val="left"/>
        <w:rPr>
          <w:rStyle w:val="Strong"/>
        </w:rPr>
      </w:pPr>
      <w:r>
        <w:rPr>
          <w:rStyle w:val="Strong"/>
        </w:rPr>
        <w:t xml:space="preserve">This matter will be further addressed as part of the detailed planning for the proposed growth areas. </w:t>
      </w:r>
    </w:p>
    <w:p w14:paraId="01049132" w14:textId="77777777" w:rsidR="0027653B" w:rsidRDefault="0027653B" w:rsidP="0027653B">
      <w:pPr>
        <w:pStyle w:val="Heading2"/>
      </w:pPr>
      <w:bookmarkStart w:id="23" w:name="_Toc53406549"/>
      <w:r>
        <w:t>Public and active transport</w:t>
      </w:r>
      <w:bookmarkEnd w:id="23"/>
    </w:p>
    <w:p w14:paraId="2742D6A0" w14:textId="77777777" w:rsidR="0027653B" w:rsidRDefault="0027653B" w:rsidP="0027653B">
      <w:r>
        <w:t xml:space="preserve">There are currently limited public transport connections to and from Bannockburn as identified in </w:t>
      </w:r>
      <w:r w:rsidRPr="00561D8B">
        <w:rPr>
          <w:b/>
          <w:bCs/>
        </w:rPr>
        <w:t>Table 1</w:t>
      </w:r>
      <w:r>
        <w:t xml:space="preserve">. There is currently no public transport services that operate within the town. </w:t>
      </w:r>
    </w:p>
    <w:p w14:paraId="4A307917" w14:textId="77777777" w:rsidR="0027653B" w:rsidRDefault="0027653B" w:rsidP="0027653B">
      <w:pPr>
        <w:rPr>
          <w:lang w:eastAsia="en-US"/>
        </w:rPr>
      </w:pPr>
      <w:r>
        <w:rPr>
          <w:lang w:eastAsia="en-US"/>
        </w:rPr>
        <w:t xml:space="preserve">A high-level overview of bus services in regional towns similar in size to Bannockburn’s current and long-term projected population reveals the town is currently underserviced. There is scope to expand both regional, inter-centre services as well as introduce local services as the town grows (see </w:t>
      </w:r>
      <w:r w:rsidRPr="00561D8B">
        <w:rPr>
          <w:b/>
          <w:bCs/>
          <w:lang w:eastAsia="en-US"/>
        </w:rPr>
        <w:t>Table 2</w:t>
      </w:r>
      <w:r>
        <w:rPr>
          <w:lang w:eastAsia="en-US"/>
        </w:rPr>
        <w:t>).</w:t>
      </w:r>
    </w:p>
    <w:p w14:paraId="40A238D7" w14:textId="77777777" w:rsidR="0027653B" w:rsidRDefault="0027653B" w:rsidP="0027653B">
      <w:pPr>
        <w:pStyle w:val="Caption"/>
        <w:rPr>
          <w:color w:val="auto"/>
        </w:rPr>
      </w:pPr>
      <w:bookmarkStart w:id="24" w:name="_Toc53406614"/>
      <w:r>
        <w:t xml:space="preserve">Table </w:t>
      </w:r>
      <w:r w:rsidR="002F1993">
        <w:fldChar w:fldCharType="begin"/>
      </w:r>
      <w:r w:rsidR="002F1993">
        <w:instrText xml:space="preserve"> SEQ Table \* ARABIC </w:instrText>
      </w:r>
      <w:r w:rsidR="002F1993">
        <w:fldChar w:fldCharType="separate"/>
      </w:r>
      <w:r>
        <w:rPr>
          <w:noProof/>
        </w:rPr>
        <w:t>1</w:t>
      </w:r>
      <w:r w:rsidR="002F1993">
        <w:rPr>
          <w:noProof/>
        </w:rPr>
        <w:fldChar w:fldCharType="end"/>
      </w:r>
      <w:r>
        <w:t xml:space="preserve"> </w:t>
      </w:r>
      <w:r w:rsidRPr="000029A3">
        <w:rPr>
          <w:color w:val="auto"/>
        </w:rPr>
        <w:t>Existing public transport</w:t>
      </w:r>
      <w:bookmarkEnd w:id="24"/>
      <w:r w:rsidRPr="000029A3">
        <w:rPr>
          <w:color w:val="auto"/>
        </w:rPr>
        <w:t xml:space="preserve">  </w:t>
      </w:r>
    </w:p>
    <w:p w14:paraId="2A6B6B38" w14:textId="77777777" w:rsidR="0027653B" w:rsidRPr="000029A3" w:rsidRDefault="0027653B" w:rsidP="0027653B">
      <w:pPr>
        <w:rPr>
          <w:i/>
          <w:iCs/>
        </w:rPr>
      </w:pPr>
      <w:r w:rsidRPr="000029A3">
        <w:rPr>
          <w:i/>
          <w:iCs/>
        </w:rPr>
        <w:t>Source: G21 Public Transport Strategy</w:t>
      </w:r>
    </w:p>
    <w:tbl>
      <w:tblPr>
        <w:tblStyle w:val="TableGrid"/>
        <w:tblW w:w="0" w:type="auto"/>
        <w:tblLook w:val="04A0" w:firstRow="1" w:lastRow="0" w:firstColumn="1" w:lastColumn="0" w:noHBand="0" w:noVBand="1"/>
      </w:tblPr>
      <w:tblGrid>
        <w:gridCol w:w="2201"/>
        <w:gridCol w:w="2192"/>
        <w:gridCol w:w="2200"/>
        <w:gridCol w:w="2189"/>
      </w:tblGrid>
      <w:tr w:rsidR="0027653B" w:rsidRPr="00E26AA5" w14:paraId="246E0763" w14:textId="77777777" w:rsidTr="00162CB0">
        <w:tc>
          <w:tcPr>
            <w:tcW w:w="2201" w:type="dxa"/>
          </w:tcPr>
          <w:p w14:paraId="75FD1862" w14:textId="77777777" w:rsidR="0027653B" w:rsidRPr="00E26AA5" w:rsidRDefault="0027653B" w:rsidP="00162CB0">
            <w:pPr>
              <w:rPr>
                <w:sz w:val="18"/>
              </w:rPr>
            </w:pPr>
            <w:r w:rsidRPr="00E26AA5">
              <w:rPr>
                <w:sz w:val="18"/>
              </w:rPr>
              <w:t>Line/network</w:t>
            </w:r>
          </w:p>
        </w:tc>
        <w:tc>
          <w:tcPr>
            <w:tcW w:w="2192" w:type="dxa"/>
          </w:tcPr>
          <w:p w14:paraId="099D6E07" w14:textId="77777777" w:rsidR="0027653B" w:rsidRPr="00E26AA5" w:rsidRDefault="0027653B" w:rsidP="00162CB0">
            <w:pPr>
              <w:rPr>
                <w:sz w:val="18"/>
              </w:rPr>
            </w:pPr>
            <w:r w:rsidRPr="00E26AA5">
              <w:rPr>
                <w:sz w:val="18"/>
              </w:rPr>
              <w:t>Description</w:t>
            </w:r>
          </w:p>
        </w:tc>
        <w:tc>
          <w:tcPr>
            <w:tcW w:w="2200" w:type="dxa"/>
          </w:tcPr>
          <w:p w14:paraId="7792B0EC" w14:textId="77777777" w:rsidR="0027653B" w:rsidRPr="00E26AA5" w:rsidRDefault="0027653B" w:rsidP="00162CB0">
            <w:pPr>
              <w:rPr>
                <w:sz w:val="18"/>
              </w:rPr>
            </w:pPr>
            <w:r w:rsidRPr="00E26AA5">
              <w:rPr>
                <w:sz w:val="18"/>
              </w:rPr>
              <w:t>Weekday services</w:t>
            </w:r>
          </w:p>
        </w:tc>
        <w:tc>
          <w:tcPr>
            <w:tcW w:w="2189" w:type="dxa"/>
          </w:tcPr>
          <w:p w14:paraId="519A3848" w14:textId="77777777" w:rsidR="0027653B" w:rsidRPr="00E26AA5" w:rsidRDefault="0027653B" w:rsidP="00162CB0">
            <w:pPr>
              <w:rPr>
                <w:sz w:val="18"/>
              </w:rPr>
            </w:pPr>
            <w:r w:rsidRPr="00E26AA5">
              <w:rPr>
                <w:sz w:val="18"/>
              </w:rPr>
              <w:t>Weekend services</w:t>
            </w:r>
          </w:p>
        </w:tc>
      </w:tr>
      <w:tr w:rsidR="0027653B" w:rsidRPr="00E26AA5" w14:paraId="5F473DDB" w14:textId="77777777" w:rsidTr="00162CB0">
        <w:tc>
          <w:tcPr>
            <w:tcW w:w="2201" w:type="dxa"/>
          </w:tcPr>
          <w:p w14:paraId="2C1E23A7" w14:textId="77777777" w:rsidR="0027653B" w:rsidRPr="00E26AA5" w:rsidRDefault="0027653B" w:rsidP="00162CB0">
            <w:pPr>
              <w:rPr>
                <w:sz w:val="18"/>
              </w:rPr>
            </w:pPr>
            <w:r w:rsidRPr="00E26AA5">
              <w:rPr>
                <w:sz w:val="18"/>
              </w:rPr>
              <w:t>Geelong – Ballarat via Bannockbrun</w:t>
            </w:r>
          </w:p>
        </w:tc>
        <w:tc>
          <w:tcPr>
            <w:tcW w:w="2192" w:type="dxa"/>
          </w:tcPr>
          <w:p w14:paraId="1B4A8A79" w14:textId="77777777" w:rsidR="0027653B" w:rsidRPr="00E26AA5" w:rsidRDefault="0027653B" w:rsidP="00162CB0">
            <w:pPr>
              <w:rPr>
                <w:sz w:val="18"/>
              </w:rPr>
            </w:pPr>
            <w:r w:rsidRPr="00E26AA5">
              <w:rPr>
                <w:sz w:val="18"/>
              </w:rPr>
              <w:t>V/Line coach on Midland highway route</w:t>
            </w:r>
          </w:p>
        </w:tc>
        <w:tc>
          <w:tcPr>
            <w:tcW w:w="2200" w:type="dxa"/>
          </w:tcPr>
          <w:p w14:paraId="15AEFE67" w14:textId="77777777" w:rsidR="0027653B" w:rsidRPr="00E26AA5" w:rsidRDefault="0027653B" w:rsidP="00162CB0">
            <w:pPr>
              <w:rPr>
                <w:sz w:val="18"/>
              </w:rPr>
            </w:pPr>
            <w:r w:rsidRPr="00E26AA5">
              <w:rPr>
                <w:sz w:val="18"/>
              </w:rPr>
              <w:t>Three trips each way</w:t>
            </w:r>
          </w:p>
        </w:tc>
        <w:tc>
          <w:tcPr>
            <w:tcW w:w="2189" w:type="dxa"/>
          </w:tcPr>
          <w:p w14:paraId="756282F7" w14:textId="77777777" w:rsidR="0027653B" w:rsidRPr="00E26AA5" w:rsidRDefault="0027653B" w:rsidP="00162CB0">
            <w:pPr>
              <w:rPr>
                <w:sz w:val="18"/>
              </w:rPr>
            </w:pPr>
            <w:r w:rsidRPr="00E26AA5">
              <w:rPr>
                <w:sz w:val="18"/>
              </w:rPr>
              <w:t>Three trips on Saturdays; two on Sundays</w:t>
            </w:r>
          </w:p>
        </w:tc>
      </w:tr>
      <w:tr w:rsidR="0027653B" w:rsidRPr="00E26AA5" w14:paraId="70193B18" w14:textId="77777777" w:rsidTr="00162CB0">
        <w:tc>
          <w:tcPr>
            <w:tcW w:w="2201" w:type="dxa"/>
          </w:tcPr>
          <w:p w14:paraId="4B1CEBC6" w14:textId="77777777" w:rsidR="0027653B" w:rsidRPr="00E26AA5" w:rsidRDefault="0027653B" w:rsidP="00162CB0">
            <w:pPr>
              <w:rPr>
                <w:sz w:val="18"/>
              </w:rPr>
            </w:pPr>
            <w:r w:rsidRPr="00E26AA5">
              <w:rPr>
                <w:sz w:val="18"/>
              </w:rPr>
              <w:t>Geelong – Bannockburn</w:t>
            </w:r>
          </w:p>
        </w:tc>
        <w:tc>
          <w:tcPr>
            <w:tcW w:w="2192" w:type="dxa"/>
          </w:tcPr>
          <w:p w14:paraId="2F8DF661" w14:textId="77777777" w:rsidR="0027653B" w:rsidRPr="00E26AA5" w:rsidRDefault="0027653B" w:rsidP="00162CB0">
            <w:pPr>
              <w:rPr>
                <w:sz w:val="18"/>
              </w:rPr>
            </w:pPr>
            <w:r w:rsidRPr="00E26AA5">
              <w:rPr>
                <w:sz w:val="18"/>
              </w:rPr>
              <w:t>Intertown bus service</w:t>
            </w:r>
          </w:p>
        </w:tc>
        <w:tc>
          <w:tcPr>
            <w:tcW w:w="2200" w:type="dxa"/>
          </w:tcPr>
          <w:p w14:paraId="7431ACD8" w14:textId="77777777" w:rsidR="0027653B" w:rsidRPr="00E26AA5" w:rsidRDefault="0027653B" w:rsidP="00162CB0">
            <w:pPr>
              <w:rPr>
                <w:sz w:val="18"/>
              </w:rPr>
            </w:pPr>
            <w:r w:rsidRPr="00E26AA5">
              <w:rPr>
                <w:sz w:val="18"/>
              </w:rPr>
              <w:t>One trip only, to Bannockburn in mid-afternoon</w:t>
            </w:r>
          </w:p>
        </w:tc>
        <w:tc>
          <w:tcPr>
            <w:tcW w:w="2189" w:type="dxa"/>
          </w:tcPr>
          <w:p w14:paraId="30C0D0DB" w14:textId="77777777" w:rsidR="0027653B" w:rsidRPr="00E26AA5" w:rsidRDefault="0027653B" w:rsidP="00162CB0">
            <w:pPr>
              <w:rPr>
                <w:sz w:val="18"/>
              </w:rPr>
            </w:pPr>
            <w:r w:rsidRPr="00E26AA5">
              <w:rPr>
                <w:sz w:val="18"/>
              </w:rPr>
              <w:t>None</w:t>
            </w:r>
          </w:p>
        </w:tc>
      </w:tr>
    </w:tbl>
    <w:p w14:paraId="12FD0A3F" w14:textId="77777777" w:rsidR="0027653B" w:rsidRDefault="0027653B" w:rsidP="0027653B">
      <w:pPr>
        <w:pStyle w:val="Caption"/>
      </w:pPr>
      <w:bookmarkStart w:id="25" w:name="_Toc53406615"/>
      <w:r>
        <w:t xml:space="preserve">Table </w:t>
      </w:r>
      <w:r w:rsidR="002F1993">
        <w:fldChar w:fldCharType="begin"/>
      </w:r>
      <w:r w:rsidR="002F1993">
        <w:instrText xml:space="preserve"> SEQ Table \* ARABIC </w:instrText>
      </w:r>
      <w:r w:rsidR="002F1993">
        <w:fldChar w:fldCharType="separate"/>
      </w:r>
      <w:r>
        <w:rPr>
          <w:noProof/>
        </w:rPr>
        <w:t>2</w:t>
      </w:r>
      <w:r w:rsidR="002F1993">
        <w:rPr>
          <w:noProof/>
        </w:rPr>
        <w:fldChar w:fldCharType="end"/>
      </w:r>
      <w:r>
        <w:t xml:space="preserve"> </w:t>
      </w:r>
      <w:r w:rsidRPr="00127889">
        <w:rPr>
          <w:color w:val="auto"/>
        </w:rPr>
        <w:t>Comparison of bus services</w:t>
      </w:r>
      <w:bookmarkEnd w:id="25"/>
    </w:p>
    <w:tbl>
      <w:tblPr>
        <w:tblStyle w:val="TableGrid"/>
        <w:tblW w:w="0" w:type="auto"/>
        <w:tblLook w:val="04A0" w:firstRow="1" w:lastRow="0" w:firstColumn="1" w:lastColumn="0" w:noHBand="0" w:noVBand="1"/>
      </w:tblPr>
      <w:tblGrid>
        <w:gridCol w:w="2232"/>
        <w:gridCol w:w="1857"/>
        <w:gridCol w:w="2192"/>
        <w:gridCol w:w="2201"/>
      </w:tblGrid>
      <w:tr w:rsidR="0027653B" w14:paraId="637C4332" w14:textId="77777777" w:rsidTr="00162CB0">
        <w:tc>
          <w:tcPr>
            <w:tcW w:w="2232" w:type="dxa"/>
          </w:tcPr>
          <w:p w14:paraId="107ED68D" w14:textId="77777777" w:rsidR="0027653B" w:rsidRPr="0074107D" w:rsidRDefault="0027653B" w:rsidP="00162CB0">
            <w:pPr>
              <w:rPr>
                <w:sz w:val="18"/>
                <w:lang w:eastAsia="en-US"/>
              </w:rPr>
            </w:pPr>
            <w:r w:rsidRPr="0074107D">
              <w:rPr>
                <w:sz w:val="18"/>
                <w:lang w:eastAsia="en-US"/>
              </w:rPr>
              <w:t>Town</w:t>
            </w:r>
          </w:p>
        </w:tc>
        <w:tc>
          <w:tcPr>
            <w:tcW w:w="1857" w:type="dxa"/>
          </w:tcPr>
          <w:p w14:paraId="6CF99385" w14:textId="77777777" w:rsidR="0027653B" w:rsidRPr="0074107D" w:rsidRDefault="0027653B" w:rsidP="00162CB0">
            <w:pPr>
              <w:rPr>
                <w:sz w:val="18"/>
                <w:lang w:eastAsia="en-US"/>
              </w:rPr>
            </w:pPr>
            <w:r w:rsidRPr="0074107D">
              <w:rPr>
                <w:sz w:val="18"/>
                <w:lang w:eastAsia="en-US"/>
              </w:rPr>
              <w:t>Population</w:t>
            </w:r>
          </w:p>
        </w:tc>
        <w:tc>
          <w:tcPr>
            <w:tcW w:w="2192" w:type="dxa"/>
          </w:tcPr>
          <w:p w14:paraId="3D9D4D47" w14:textId="77777777" w:rsidR="0027653B" w:rsidRPr="0074107D" w:rsidRDefault="0027653B" w:rsidP="00162CB0">
            <w:pPr>
              <w:rPr>
                <w:sz w:val="18"/>
                <w:lang w:eastAsia="en-US"/>
              </w:rPr>
            </w:pPr>
            <w:r w:rsidRPr="0074107D">
              <w:rPr>
                <w:sz w:val="18"/>
                <w:lang w:eastAsia="en-US"/>
              </w:rPr>
              <w:t>Local Services</w:t>
            </w:r>
          </w:p>
        </w:tc>
        <w:tc>
          <w:tcPr>
            <w:tcW w:w="2201" w:type="dxa"/>
          </w:tcPr>
          <w:p w14:paraId="56AA6F4A" w14:textId="77777777" w:rsidR="0027653B" w:rsidRPr="0074107D" w:rsidRDefault="0027653B" w:rsidP="00162CB0">
            <w:pPr>
              <w:rPr>
                <w:sz w:val="18"/>
                <w:lang w:eastAsia="en-US"/>
              </w:rPr>
            </w:pPr>
            <w:r w:rsidRPr="0074107D">
              <w:rPr>
                <w:sz w:val="18"/>
                <w:lang w:eastAsia="en-US"/>
              </w:rPr>
              <w:t>Regional Services</w:t>
            </w:r>
          </w:p>
        </w:tc>
      </w:tr>
      <w:tr w:rsidR="0027653B" w14:paraId="3F14AEEE" w14:textId="77777777" w:rsidTr="00162CB0">
        <w:tc>
          <w:tcPr>
            <w:tcW w:w="2232" w:type="dxa"/>
          </w:tcPr>
          <w:p w14:paraId="312AC2C9" w14:textId="77777777" w:rsidR="0027653B" w:rsidRPr="0074107D" w:rsidRDefault="0027653B" w:rsidP="00162CB0">
            <w:pPr>
              <w:rPr>
                <w:sz w:val="18"/>
                <w:lang w:eastAsia="en-US"/>
              </w:rPr>
            </w:pPr>
            <w:r w:rsidRPr="0074107D">
              <w:rPr>
                <w:sz w:val="18"/>
                <w:lang w:eastAsia="en-US"/>
              </w:rPr>
              <w:t>Armstrong Creek</w:t>
            </w:r>
          </w:p>
        </w:tc>
        <w:tc>
          <w:tcPr>
            <w:tcW w:w="1857" w:type="dxa"/>
          </w:tcPr>
          <w:p w14:paraId="507F68E4" w14:textId="77777777" w:rsidR="0027653B" w:rsidRPr="0074107D" w:rsidRDefault="0027653B" w:rsidP="00162CB0">
            <w:pPr>
              <w:rPr>
                <w:sz w:val="18"/>
                <w:lang w:eastAsia="en-US"/>
              </w:rPr>
            </w:pPr>
            <w:r w:rsidRPr="0074107D">
              <w:rPr>
                <w:sz w:val="18"/>
                <w:lang w:eastAsia="en-US"/>
              </w:rPr>
              <w:t>4,700</w:t>
            </w:r>
          </w:p>
        </w:tc>
        <w:tc>
          <w:tcPr>
            <w:tcW w:w="2192" w:type="dxa"/>
          </w:tcPr>
          <w:p w14:paraId="42E7E4CB" w14:textId="77777777" w:rsidR="0027653B" w:rsidRPr="0074107D" w:rsidRDefault="0027653B" w:rsidP="00162CB0">
            <w:pPr>
              <w:rPr>
                <w:sz w:val="18"/>
                <w:lang w:eastAsia="en-US"/>
              </w:rPr>
            </w:pPr>
            <w:r w:rsidRPr="0074107D">
              <w:rPr>
                <w:sz w:val="18"/>
                <w:lang w:eastAsia="en-US"/>
              </w:rPr>
              <w:t>0</w:t>
            </w:r>
          </w:p>
        </w:tc>
        <w:tc>
          <w:tcPr>
            <w:tcW w:w="2201" w:type="dxa"/>
          </w:tcPr>
          <w:p w14:paraId="55412426" w14:textId="77777777" w:rsidR="0027653B" w:rsidRPr="0074107D" w:rsidRDefault="0027653B" w:rsidP="00162CB0">
            <w:pPr>
              <w:rPr>
                <w:sz w:val="18"/>
                <w:lang w:eastAsia="en-US"/>
              </w:rPr>
            </w:pPr>
            <w:r w:rsidRPr="0074107D">
              <w:rPr>
                <w:sz w:val="18"/>
                <w:lang w:eastAsia="en-US"/>
              </w:rPr>
              <w:t>1</w:t>
            </w:r>
          </w:p>
        </w:tc>
      </w:tr>
      <w:tr w:rsidR="0027653B" w14:paraId="01543DAD" w14:textId="77777777" w:rsidTr="00162CB0">
        <w:tc>
          <w:tcPr>
            <w:tcW w:w="2232" w:type="dxa"/>
          </w:tcPr>
          <w:p w14:paraId="1787B43C" w14:textId="77777777" w:rsidR="0027653B" w:rsidRPr="0074107D" w:rsidRDefault="0027653B" w:rsidP="00162CB0">
            <w:pPr>
              <w:rPr>
                <w:sz w:val="18"/>
                <w:lang w:eastAsia="en-US"/>
              </w:rPr>
            </w:pPr>
            <w:r w:rsidRPr="0074107D">
              <w:rPr>
                <w:sz w:val="18"/>
                <w:lang w:eastAsia="en-US"/>
              </w:rPr>
              <w:t>Gisborne</w:t>
            </w:r>
          </w:p>
        </w:tc>
        <w:tc>
          <w:tcPr>
            <w:tcW w:w="1857" w:type="dxa"/>
          </w:tcPr>
          <w:p w14:paraId="4C1A181F" w14:textId="77777777" w:rsidR="0027653B" w:rsidRPr="0074107D" w:rsidRDefault="0027653B" w:rsidP="00162CB0">
            <w:pPr>
              <w:rPr>
                <w:sz w:val="18"/>
                <w:lang w:eastAsia="en-US"/>
              </w:rPr>
            </w:pPr>
            <w:r w:rsidRPr="0074107D">
              <w:rPr>
                <w:sz w:val="18"/>
                <w:lang w:eastAsia="en-US"/>
              </w:rPr>
              <w:t>13,000</w:t>
            </w:r>
          </w:p>
        </w:tc>
        <w:tc>
          <w:tcPr>
            <w:tcW w:w="2192" w:type="dxa"/>
          </w:tcPr>
          <w:p w14:paraId="201C2B30" w14:textId="77777777" w:rsidR="0027653B" w:rsidRPr="0074107D" w:rsidRDefault="0027653B" w:rsidP="00162CB0">
            <w:pPr>
              <w:rPr>
                <w:sz w:val="18"/>
                <w:lang w:eastAsia="en-US"/>
              </w:rPr>
            </w:pPr>
            <w:r w:rsidRPr="0074107D">
              <w:rPr>
                <w:sz w:val="18"/>
                <w:lang w:eastAsia="en-US"/>
              </w:rPr>
              <w:t>2</w:t>
            </w:r>
          </w:p>
        </w:tc>
        <w:tc>
          <w:tcPr>
            <w:tcW w:w="2201" w:type="dxa"/>
          </w:tcPr>
          <w:p w14:paraId="73B1A6AD" w14:textId="77777777" w:rsidR="0027653B" w:rsidRPr="0074107D" w:rsidRDefault="0027653B" w:rsidP="00162CB0">
            <w:pPr>
              <w:rPr>
                <w:sz w:val="18"/>
                <w:lang w:eastAsia="en-US"/>
              </w:rPr>
            </w:pPr>
            <w:r w:rsidRPr="0074107D">
              <w:rPr>
                <w:sz w:val="18"/>
                <w:lang w:eastAsia="en-US"/>
              </w:rPr>
              <w:t>0</w:t>
            </w:r>
          </w:p>
        </w:tc>
      </w:tr>
      <w:tr w:rsidR="0027653B" w14:paraId="7603CE86" w14:textId="77777777" w:rsidTr="00162CB0">
        <w:tc>
          <w:tcPr>
            <w:tcW w:w="2232" w:type="dxa"/>
          </w:tcPr>
          <w:p w14:paraId="17CECF05" w14:textId="77777777" w:rsidR="0027653B" w:rsidRPr="0074107D" w:rsidRDefault="0027653B" w:rsidP="00162CB0">
            <w:pPr>
              <w:rPr>
                <w:sz w:val="18"/>
                <w:lang w:eastAsia="en-US"/>
              </w:rPr>
            </w:pPr>
            <w:r w:rsidRPr="0074107D">
              <w:rPr>
                <w:sz w:val="18"/>
                <w:lang w:eastAsia="en-US"/>
              </w:rPr>
              <w:t>Sunbury</w:t>
            </w:r>
          </w:p>
        </w:tc>
        <w:tc>
          <w:tcPr>
            <w:tcW w:w="1857" w:type="dxa"/>
          </w:tcPr>
          <w:p w14:paraId="73E8BCFE" w14:textId="77777777" w:rsidR="0027653B" w:rsidRPr="0074107D" w:rsidRDefault="0027653B" w:rsidP="00162CB0">
            <w:pPr>
              <w:rPr>
                <w:sz w:val="18"/>
                <w:lang w:eastAsia="en-US"/>
              </w:rPr>
            </w:pPr>
            <w:r w:rsidRPr="0074107D">
              <w:rPr>
                <w:sz w:val="18"/>
                <w:lang w:eastAsia="en-US"/>
              </w:rPr>
              <w:t>36,000</w:t>
            </w:r>
          </w:p>
        </w:tc>
        <w:tc>
          <w:tcPr>
            <w:tcW w:w="2192" w:type="dxa"/>
          </w:tcPr>
          <w:p w14:paraId="42A7613C" w14:textId="77777777" w:rsidR="0027653B" w:rsidRPr="0074107D" w:rsidRDefault="0027653B" w:rsidP="00162CB0">
            <w:pPr>
              <w:rPr>
                <w:sz w:val="18"/>
                <w:lang w:eastAsia="en-US"/>
              </w:rPr>
            </w:pPr>
            <w:r w:rsidRPr="0074107D">
              <w:rPr>
                <w:sz w:val="18"/>
                <w:lang w:eastAsia="en-US"/>
              </w:rPr>
              <w:t>7</w:t>
            </w:r>
          </w:p>
        </w:tc>
        <w:tc>
          <w:tcPr>
            <w:tcW w:w="2201" w:type="dxa"/>
          </w:tcPr>
          <w:p w14:paraId="2A4A0DE5" w14:textId="77777777" w:rsidR="0027653B" w:rsidRPr="0074107D" w:rsidRDefault="0027653B" w:rsidP="00162CB0">
            <w:pPr>
              <w:rPr>
                <w:sz w:val="18"/>
                <w:lang w:eastAsia="en-US"/>
              </w:rPr>
            </w:pPr>
            <w:r w:rsidRPr="0074107D">
              <w:rPr>
                <w:sz w:val="18"/>
                <w:lang w:eastAsia="en-US"/>
              </w:rPr>
              <w:t>0</w:t>
            </w:r>
          </w:p>
        </w:tc>
      </w:tr>
      <w:tr w:rsidR="0027653B" w14:paraId="58833E77" w14:textId="77777777" w:rsidTr="00162CB0">
        <w:tc>
          <w:tcPr>
            <w:tcW w:w="2232" w:type="dxa"/>
          </w:tcPr>
          <w:p w14:paraId="0B16DDB3" w14:textId="77777777" w:rsidR="0027653B" w:rsidRPr="0074107D" w:rsidRDefault="0027653B" w:rsidP="00162CB0">
            <w:pPr>
              <w:rPr>
                <w:sz w:val="18"/>
                <w:lang w:eastAsia="en-US"/>
              </w:rPr>
            </w:pPr>
            <w:r w:rsidRPr="0074107D">
              <w:rPr>
                <w:sz w:val="18"/>
                <w:lang w:eastAsia="en-US"/>
              </w:rPr>
              <w:t>Lara</w:t>
            </w:r>
          </w:p>
        </w:tc>
        <w:tc>
          <w:tcPr>
            <w:tcW w:w="1857" w:type="dxa"/>
          </w:tcPr>
          <w:p w14:paraId="0743C89D" w14:textId="77777777" w:rsidR="0027653B" w:rsidRPr="0074107D" w:rsidRDefault="0027653B" w:rsidP="00162CB0">
            <w:pPr>
              <w:rPr>
                <w:sz w:val="18"/>
                <w:lang w:eastAsia="en-US"/>
              </w:rPr>
            </w:pPr>
            <w:r w:rsidRPr="0074107D">
              <w:rPr>
                <w:sz w:val="18"/>
                <w:lang w:eastAsia="en-US"/>
              </w:rPr>
              <w:t>16,000</w:t>
            </w:r>
          </w:p>
        </w:tc>
        <w:tc>
          <w:tcPr>
            <w:tcW w:w="2192" w:type="dxa"/>
          </w:tcPr>
          <w:p w14:paraId="4E73E56F" w14:textId="77777777" w:rsidR="0027653B" w:rsidRPr="0074107D" w:rsidRDefault="0027653B" w:rsidP="00162CB0">
            <w:pPr>
              <w:rPr>
                <w:sz w:val="18"/>
                <w:lang w:eastAsia="en-US"/>
              </w:rPr>
            </w:pPr>
            <w:r w:rsidRPr="0074107D">
              <w:rPr>
                <w:sz w:val="18"/>
                <w:lang w:eastAsia="en-US"/>
              </w:rPr>
              <w:t>3</w:t>
            </w:r>
          </w:p>
        </w:tc>
        <w:tc>
          <w:tcPr>
            <w:tcW w:w="2201" w:type="dxa"/>
          </w:tcPr>
          <w:p w14:paraId="4F35A838" w14:textId="77777777" w:rsidR="0027653B" w:rsidRPr="0074107D" w:rsidRDefault="0027653B" w:rsidP="00162CB0">
            <w:pPr>
              <w:rPr>
                <w:sz w:val="18"/>
                <w:lang w:eastAsia="en-US"/>
              </w:rPr>
            </w:pPr>
            <w:r w:rsidRPr="0074107D">
              <w:rPr>
                <w:sz w:val="18"/>
                <w:lang w:eastAsia="en-US"/>
              </w:rPr>
              <w:t>0</w:t>
            </w:r>
          </w:p>
        </w:tc>
      </w:tr>
      <w:tr w:rsidR="0027653B" w14:paraId="383B8727" w14:textId="77777777" w:rsidTr="00162CB0">
        <w:tc>
          <w:tcPr>
            <w:tcW w:w="2232" w:type="dxa"/>
          </w:tcPr>
          <w:p w14:paraId="3E003811" w14:textId="77777777" w:rsidR="0027653B" w:rsidRPr="0074107D" w:rsidRDefault="0027653B" w:rsidP="00162CB0">
            <w:pPr>
              <w:rPr>
                <w:sz w:val="18"/>
                <w:lang w:eastAsia="en-US"/>
              </w:rPr>
            </w:pPr>
            <w:r w:rsidRPr="0074107D">
              <w:rPr>
                <w:sz w:val="18"/>
                <w:lang w:eastAsia="en-US"/>
              </w:rPr>
              <w:t>Wonthaggi</w:t>
            </w:r>
          </w:p>
        </w:tc>
        <w:tc>
          <w:tcPr>
            <w:tcW w:w="1857" w:type="dxa"/>
          </w:tcPr>
          <w:p w14:paraId="2973C00A" w14:textId="77777777" w:rsidR="0027653B" w:rsidRPr="0074107D" w:rsidRDefault="0027653B" w:rsidP="00162CB0">
            <w:pPr>
              <w:rPr>
                <w:sz w:val="18"/>
                <w:lang w:eastAsia="en-US"/>
              </w:rPr>
            </w:pPr>
            <w:r w:rsidRPr="0074107D">
              <w:rPr>
                <w:sz w:val="18"/>
                <w:lang w:eastAsia="en-US"/>
              </w:rPr>
              <w:t>7,500</w:t>
            </w:r>
          </w:p>
        </w:tc>
        <w:tc>
          <w:tcPr>
            <w:tcW w:w="2192" w:type="dxa"/>
          </w:tcPr>
          <w:p w14:paraId="589B0DA2" w14:textId="77777777" w:rsidR="0027653B" w:rsidRPr="0074107D" w:rsidRDefault="0027653B" w:rsidP="00162CB0">
            <w:pPr>
              <w:rPr>
                <w:sz w:val="18"/>
                <w:lang w:eastAsia="en-US"/>
              </w:rPr>
            </w:pPr>
            <w:r w:rsidRPr="0074107D">
              <w:rPr>
                <w:sz w:val="18"/>
                <w:lang w:eastAsia="en-US"/>
              </w:rPr>
              <w:t>3</w:t>
            </w:r>
          </w:p>
        </w:tc>
        <w:tc>
          <w:tcPr>
            <w:tcW w:w="2201" w:type="dxa"/>
          </w:tcPr>
          <w:p w14:paraId="4F66DD10" w14:textId="77777777" w:rsidR="0027653B" w:rsidRPr="0074107D" w:rsidRDefault="0027653B" w:rsidP="00162CB0">
            <w:pPr>
              <w:rPr>
                <w:sz w:val="18"/>
                <w:lang w:eastAsia="en-US"/>
              </w:rPr>
            </w:pPr>
            <w:r w:rsidRPr="0074107D">
              <w:rPr>
                <w:sz w:val="18"/>
                <w:lang w:eastAsia="en-US"/>
              </w:rPr>
              <w:t>5</w:t>
            </w:r>
          </w:p>
        </w:tc>
      </w:tr>
      <w:tr w:rsidR="0027653B" w14:paraId="4558E17B" w14:textId="77777777" w:rsidTr="00162CB0">
        <w:tc>
          <w:tcPr>
            <w:tcW w:w="2232" w:type="dxa"/>
          </w:tcPr>
          <w:p w14:paraId="5EBCC2ED" w14:textId="77777777" w:rsidR="0027653B" w:rsidRPr="0074107D" w:rsidRDefault="0027653B" w:rsidP="00162CB0">
            <w:pPr>
              <w:rPr>
                <w:sz w:val="18"/>
                <w:lang w:eastAsia="en-US"/>
              </w:rPr>
            </w:pPr>
            <w:r w:rsidRPr="0074107D">
              <w:rPr>
                <w:sz w:val="18"/>
                <w:lang w:eastAsia="en-US"/>
              </w:rPr>
              <w:t>Warrnambool</w:t>
            </w:r>
          </w:p>
        </w:tc>
        <w:tc>
          <w:tcPr>
            <w:tcW w:w="1857" w:type="dxa"/>
          </w:tcPr>
          <w:p w14:paraId="0A8EDD2F" w14:textId="77777777" w:rsidR="0027653B" w:rsidRPr="0074107D" w:rsidRDefault="0027653B" w:rsidP="00162CB0">
            <w:pPr>
              <w:rPr>
                <w:sz w:val="18"/>
                <w:lang w:eastAsia="en-US"/>
              </w:rPr>
            </w:pPr>
            <w:r w:rsidRPr="0074107D">
              <w:rPr>
                <w:sz w:val="18"/>
                <w:lang w:eastAsia="en-US"/>
              </w:rPr>
              <w:t>34,000</w:t>
            </w:r>
          </w:p>
        </w:tc>
        <w:tc>
          <w:tcPr>
            <w:tcW w:w="2192" w:type="dxa"/>
          </w:tcPr>
          <w:p w14:paraId="25C81ACF" w14:textId="77777777" w:rsidR="0027653B" w:rsidRPr="0074107D" w:rsidRDefault="0027653B" w:rsidP="00162CB0">
            <w:pPr>
              <w:rPr>
                <w:sz w:val="18"/>
                <w:lang w:eastAsia="en-US"/>
              </w:rPr>
            </w:pPr>
            <w:r w:rsidRPr="0074107D">
              <w:rPr>
                <w:sz w:val="18"/>
                <w:lang w:eastAsia="en-US"/>
              </w:rPr>
              <w:t>7</w:t>
            </w:r>
          </w:p>
        </w:tc>
        <w:tc>
          <w:tcPr>
            <w:tcW w:w="2201" w:type="dxa"/>
          </w:tcPr>
          <w:p w14:paraId="08B93CA9" w14:textId="77777777" w:rsidR="0027653B" w:rsidRPr="0074107D" w:rsidRDefault="0027653B" w:rsidP="00162CB0">
            <w:pPr>
              <w:rPr>
                <w:sz w:val="18"/>
                <w:lang w:eastAsia="en-US"/>
              </w:rPr>
            </w:pPr>
            <w:r w:rsidRPr="0074107D">
              <w:rPr>
                <w:sz w:val="18"/>
                <w:lang w:eastAsia="en-US"/>
              </w:rPr>
              <w:t>0</w:t>
            </w:r>
          </w:p>
        </w:tc>
      </w:tr>
      <w:tr w:rsidR="0027653B" w14:paraId="63E9E835" w14:textId="77777777" w:rsidTr="00162CB0">
        <w:tc>
          <w:tcPr>
            <w:tcW w:w="2232" w:type="dxa"/>
          </w:tcPr>
          <w:p w14:paraId="7DCF0D76" w14:textId="77777777" w:rsidR="0027653B" w:rsidRPr="0074107D" w:rsidRDefault="0027653B" w:rsidP="00162CB0">
            <w:pPr>
              <w:rPr>
                <w:sz w:val="18"/>
                <w:lang w:eastAsia="en-US"/>
              </w:rPr>
            </w:pPr>
            <w:r w:rsidRPr="0074107D">
              <w:rPr>
                <w:sz w:val="18"/>
                <w:lang w:eastAsia="en-US"/>
              </w:rPr>
              <w:t>Bannockburn</w:t>
            </w:r>
          </w:p>
        </w:tc>
        <w:tc>
          <w:tcPr>
            <w:tcW w:w="1857" w:type="dxa"/>
          </w:tcPr>
          <w:p w14:paraId="0B4469A6" w14:textId="77777777" w:rsidR="0027653B" w:rsidRPr="0074107D" w:rsidRDefault="0027653B" w:rsidP="00162CB0">
            <w:pPr>
              <w:rPr>
                <w:sz w:val="18"/>
                <w:lang w:eastAsia="en-US"/>
              </w:rPr>
            </w:pPr>
            <w:r>
              <w:rPr>
                <w:sz w:val="18"/>
                <w:lang w:eastAsia="en-US"/>
              </w:rPr>
              <w:t>7,000</w:t>
            </w:r>
          </w:p>
        </w:tc>
        <w:tc>
          <w:tcPr>
            <w:tcW w:w="2192" w:type="dxa"/>
          </w:tcPr>
          <w:p w14:paraId="5A95A97E" w14:textId="77777777" w:rsidR="0027653B" w:rsidRPr="0074107D" w:rsidRDefault="0027653B" w:rsidP="00162CB0">
            <w:pPr>
              <w:rPr>
                <w:sz w:val="18"/>
                <w:lang w:eastAsia="en-US"/>
              </w:rPr>
            </w:pPr>
            <w:r w:rsidRPr="0074107D">
              <w:rPr>
                <w:sz w:val="18"/>
                <w:lang w:eastAsia="en-US"/>
              </w:rPr>
              <w:t>0</w:t>
            </w:r>
          </w:p>
        </w:tc>
        <w:tc>
          <w:tcPr>
            <w:tcW w:w="2201" w:type="dxa"/>
          </w:tcPr>
          <w:p w14:paraId="3A943CB6" w14:textId="77777777" w:rsidR="0027653B" w:rsidRPr="0074107D" w:rsidRDefault="0027653B" w:rsidP="00162CB0">
            <w:pPr>
              <w:rPr>
                <w:sz w:val="18"/>
                <w:lang w:eastAsia="en-US"/>
              </w:rPr>
            </w:pPr>
            <w:r>
              <w:rPr>
                <w:sz w:val="18"/>
                <w:lang w:eastAsia="en-US"/>
              </w:rPr>
              <w:t>2</w:t>
            </w:r>
            <w:r w:rsidRPr="0074107D">
              <w:rPr>
                <w:sz w:val="18"/>
                <w:lang w:eastAsia="en-US"/>
              </w:rPr>
              <w:t>*</w:t>
            </w:r>
          </w:p>
        </w:tc>
      </w:tr>
    </w:tbl>
    <w:p w14:paraId="1F7E2E25" w14:textId="77777777" w:rsidR="0027653B" w:rsidRDefault="0027653B" w:rsidP="0027653B">
      <w:pPr>
        <w:rPr>
          <w:lang w:eastAsia="en-US"/>
        </w:rPr>
      </w:pPr>
      <w:r>
        <w:rPr>
          <w:lang w:eastAsia="en-US"/>
        </w:rPr>
        <w:t>* Existing service timetables do not allow for commuter service to Geelong.</w:t>
      </w:r>
    </w:p>
    <w:p w14:paraId="46BD02B4" w14:textId="77777777" w:rsidR="0027653B" w:rsidRDefault="0027653B" w:rsidP="0027653B">
      <w:pPr>
        <w:pStyle w:val="Heading3"/>
      </w:pPr>
      <w:r>
        <w:t>Active Transport</w:t>
      </w:r>
    </w:p>
    <w:p w14:paraId="5C1D953F" w14:textId="77777777" w:rsidR="0027653B" w:rsidRDefault="0027653B" w:rsidP="0027653B">
      <w:pPr>
        <w:rPr>
          <w:lang w:eastAsia="en-US"/>
        </w:rPr>
      </w:pPr>
      <w:r>
        <w:rPr>
          <w:lang w:eastAsia="en-US"/>
        </w:rPr>
        <w:t xml:space="preserve">The Victorian Principle Bike Network in the town consists of a shared path extending from Midland Highway, along Geelong Road to the intersection of High Street with Geelong, Kelly and Clyde Roads. There is scope and desire for an expansion of pedestrian and cycling links within the town for both leisure and commuter uses. In Cardno’s </w:t>
      </w:r>
      <w:r>
        <w:rPr>
          <w:i/>
          <w:iCs/>
          <w:lang w:eastAsia="en-US"/>
        </w:rPr>
        <w:t xml:space="preserve">Existing Conditions and Issues and Opportunities Report </w:t>
      </w:r>
      <w:r>
        <w:rPr>
          <w:lang w:eastAsia="en-US"/>
        </w:rPr>
        <w:t xml:space="preserve">(2019), commissioned by the council, a number of issues and opportunities for were outlined for active transport in the town. Issues included a lack of safe crossing points in the town centre, a lack of key links and on or off road shared or bicycle paths, and a lack of safe crossing points along key arterials and connectors in the town. </w:t>
      </w:r>
    </w:p>
    <w:p w14:paraId="75F37444" w14:textId="77777777" w:rsidR="0027653B" w:rsidRDefault="0027653B" w:rsidP="0027653B">
      <w:pPr>
        <w:rPr>
          <w:lang w:eastAsia="en-US"/>
        </w:rPr>
      </w:pPr>
      <w:r>
        <w:rPr>
          <w:lang w:eastAsia="en-US"/>
        </w:rPr>
        <w:lastRenderedPageBreak/>
        <w:t>The report highlighted the strengthening of pedestrian and cycling links across the town, including across the creek and along key local roads, as significant opportunities.</w:t>
      </w:r>
    </w:p>
    <w:p w14:paraId="17C04180" w14:textId="77777777" w:rsidR="0027653B" w:rsidRDefault="0027653B" w:rsidP="0027653B">
      <w:pPr>
        <w:rPr>
          <w:lang w:eastAsia="en-US"/>
        </w:rPr>
      </w:pPr>
      <w:r>
        <w:rPr>
          <w:lang w:eastAsia="en-US"/>
        </w:rPr>
        <w:t>In summary:</w:t>
      </w:r>
    </w:p>
    <w:p w14:paraId="459D9B73" w14:textId="77777777" w:rsidR="0027653B" w:rsidRPr="00CF7A4D" w:rsidRDefault="0027653B" w:rsidP="0027653B">
      <w:pPr>
        <w:pStyle w:val="ListParagraph"/>
        <w:numPr>
          <w:ilvl w:val="0"/>
          <w:numId w:val="43"/>
        </w:numPr>
        <w:suppressAutoHyphens w:val="0"/>
        <w:spacing w:before="0" w:after="200"/>
        <w:jc w:val="left"/>
        <w:rPr>
          <w:rStyle w:val="Strong"/>
        </w:rPr>
      </w:pPr>
      <w:r>
        <w:rPr>
          <w:rStyle w:val="Strong"/>
        </w:rPr>
        <w:t>Bannockburn is currently underserviced in terms of public transport connections.</w:t>
      </w:r>
    </w:p>
    <w:p w14:paraId="4A615D59" w14:textId="77777777" w:rsidR="0027653B" w:rsidRPr="00C61091" w:rsidRDefault="0027653B" w:rsidP="0027653B">
      <w:pPr>
        <w:pStyle w:val="ListParagraph"/>
        <w:numPr>
          <w:ilvl w:val="0"/>
          <w:numId w:val="43"/>
        </w:numPr>
        <w:suppressAutoHyphens w:val="0"/>
        <w:spacing w:before="0" w:after="200"/>
        <w:jc w:val="left"/>
        <w:rPr>
          <w:rStyle w:val="Strong"/>
        </w:rPr>
      </w:pPr>
      <w:r>
        <w:rPr>
          <w:rStyle w:val="Strong"/>
        </w:rPr>
        <w:t xml:space="preserve">There is an opportunity to improve opportunities for active travel within and to and from Bannockburn.  </w:t>
      </w:r>
    </w:p>
    <w:p w14:paraId="1446FF9E" w14:textId="77777777" w:rsidR="0027653B" w:rsidRPr="000E0F86" w:rsidRDefault="0027653B" w:rsidP="0027653B">
      <w:pPr>
        <w:pStyle w:val="ListParagraph"/>
        <w:numPr>
          <w:ilvl w:val="0"/>
          <w:numId w:val="43"/>
        </w:numPr>
        <w:suppressAutoHyphens w:val="0"/>
        <w:spacing w:before="0" w:after="200"/>
        <w:jc w:val="left"/>
        <w:rPr>
          <w:rStyle w:val="Strong"/>
        </w:rPr>
      </w:pPr>
      <w:r>
        <w:rPr>
          <w:rStyle w:val="Strong"/>
        </w:rPr>
        <w:t xml:space="preserve">This matter will be further addressed as part of the detailed planning for the proposed growth areas. </w:t>
      </w:r>
    </w:p>
    <w:p w14:paraId="20D344CA" w14:textId="77777777" w:rsidR="00544BAA" w:rsidRPr="00544BAA" w:rsidRDefault="00544BAA" w:rsidP="00544BAA">
      <w:pPr>
        <w:rPr>
          <w:lang w:eastAsia="en-US"/>
        </w:rPr>
      </w:pPr>
    </w:p>
    <w:p w14:paraId="65A5272F" w14:textId="1306800A" w:rsidR="00987CB7" w:rsidRDefault="00C71111" w:rsidP="0027653B">
      <w:pPr>
        <w:pStyle w:val="Heading1"/>
      </w:pPr>
      <w:bookmarkStart w:id="26" w:name="_Toc53406550"/>
      <w:r>
        <w:lastRenderedPageBreak/>
        <w:t>Community Infrastructure</w:t>
      </w:r>
      <w:bookmarkEnd w:id="26"/>
    </w:p>
    <w:p w14:paraId="6F10051F" w14:textId="77777777" w:rsidR="00C95F84" w:rsidRDefault="00657EC1" w:rsidP="00657EC1">
      <w:pPr>
        <w:rPr>
          <w:lang w:eastAsia="en-US"/>
        </w:rPr>
      </w:pPr>
      <w:r>
        <w:rPr>
          <w:lang w:eastAsia="en-US"/>
        </w:rPr>
        <w:t xml:space="preserve">The VPA prepared a high-level report that outlines Community Infrastructure needs. This identified the potential population of the town and the likely community infrastructure facilities needed to service this growth. </w:t>
      </w:r>
    </w:p>
    <w:p w14:paraId="6CADEB3C" w14:textId="77777777" w:rsidR="00657EC1" w:rsidRDefault="00657EC1" w:rsidP="00657EC1">
      <w:pPr>
        <w:rPr>
          <w:lang w:eastAsia="en-US"/>
        </w:rPr>
      </w:pPr>
      <w:r>
        <w:rPr>
          <w:lang w:eastAsia="en-US"/>
        </w:rPr>
        <w:t>Key findings included:</w:t>
      </w:r>
    </w:p>
    <w:p w14:paraId="672648C4" w14:textId="77777777" w:rsidR="00657EC1" w:rsidRPr="00657EC1" w:rsidRDefault="00657EC1" w:rsidP="00657EC1">
      <w:pPr>
        <w:rPr>
          <w:b/>
          <w:bCs/>
          <w:lang w:eastAsia="en-US"/>
        </w:rPr>
      </w:pPr>
      <w:r w:rsidRPr="00657EC1">
        <w:rPr>
          <w:b/>
          <w:bCs/>
          <w:lang w:eastAsia="en-US"/>
        </w:rPr>
        <w:t>Kindergarten</w:t>
      </w:r>
    </w:p>
    <w:p w14:paraId="42C27DAA" w14:textId="77777777" w:rsidR="00657EC1" w:rsidRDefault="00657EC1" w:rsidP="00657EC1">
      <w:pPr>
        <w:pStyle w:val="List1bullet"/>
        <w:rPr>
          <w:lang w:eastAsia="en-US"/>
        </w:rPr>
      </w:pPr>
      <w:r>
        <w:rPr>
          <w:lang w:eastAsia="en-US"/>
        </w:rPr>
        <w:t xml:space="preserve">Short term: </w:t>
      </w:r>
      <w:r w:rsidRPr="00861222">
        <w:rPr>
          <w:lang w:eastAsia="en-US"/>
        </w:rPr>
        <w:t>1 additional program for 4 year old</w:t>
      </w:r>
      <w:r>
        <w:rPr>
          <w:lang w:eastAsia="en-US"/>
        </w:rPr>
        <w:t>. The additional facility will likely service the North West or South East growth area.</w:t>
      </w:r>
    </w:p>
    <w:p w14:paraId="3A5BC344" w14:textId="77777777" w:rsidR="00657EC1" w:rsidRDefault="00657EC1" w:rsidP="00657EC1">
      <w:pPr>
        <w:pStyle w:val="List1bullet"/>
        <w:rPr>
          <w:lang w:eastAsia="en-US"/>
        </w:rPr>
      </w:pPr>
      <w:r>
        <w:rPr>
          <w:lang w:eastAsia="en-US"/>
        </w:rPr>
        <w:t>M</w:t>
      </w:r>
      <w:r w:rsidRPr="00D67DB1">
        <w:rPr>
          <w:lang w:eastAsia="en-US"/>
        </w:rPr>
        <w:t>edium term</w:t>
      </w:r>
      <w:r>
        <w:rPr>
          <w:lang w:eastAsia="en-US"/>
        </w:rPr>
        <w:t xml:space="preserve">: </w:t>
      </w:r>
      <w:r w:rsidRPr="00D67DB1">
        <w:rPr>
          <w:lang w:eastAsia="en-US"/>
        </w:rPr>
        <w:t>1 additional kindergarten</w:t>
      </w:r>
      <w:r>
        <w:rPr>
          <w:lang w:eastAsia="en-US"/>
        </w:rPr>
        <w:t xml:space="preserve">, servicing </w:t>
      </w:r>
      <w:r w:rsidRPr="00D67DB1">
        <w:rPr>
          <w:lang w:eastAsia="en-US"/>
        </w:rPr>
        <w:t>the South West growth area</w:t>
      </w:r>
      <w:r>
        <w:rPr>
          <w:lang w:eastAsia="en-US"/>
        </w:rPr>
        <w:t>.</w:t>
      </w:r>
    </w:p>
    <w:p w14:paraId="6D5EDFBE" w14:textId="77777777" w:rsidR="00657EC1" w:rsidRDefault="00657EC1" w:rsidP="00657EC1">
      <w:pPr>
        <w:pStyle w:val="List1bullet"/>
        <w:rPr>
          <w:lang w:eastAsia="en-US"/>
        </w:rPr>
      </w:pPr>
      <w:r>
        <w:rPr>
          <w:lang w:eastAsia="en-US"/>
        </w:rPr>
        <w:t>Consideration should be given to collocate future kindergartens with other community facilities.</w:t>
      </w:r>
    </w:p>
    <w:p w14:paraId="6BBA6645" w14:textId="77777777" w:rsidR="00657EC1" w:rsidRPr="00657EC1" w:rsidRDefault="00657EC1" w:rsidP="00657EC1">
      <w:pPr>
        <w:rPr>
          <w:b/>
          <w:bCs/>
          <w:lang w:eastAsia="en-US"/>
        </w:rPr>
      </w:pPr>
      <w:r w:rsidRPr="00657EC1">
        <w:rPr>
          <w:b/>
          <w:bCs/>
          <w:lang w:eastAsia="en-US"/>
        </w:rPr>
        <w:t>Day Care</w:t>
      </w:r>
    </w:p>
    <w:p w14:paraId="68F254C8" w14:textId="77777777" w:rsidR="00657EC1" w:rsidRDefault="00657EC1" w:rsidP="00657EC1">
      <w:pPr>
        <w:pStyle w:val="List1bullet"/>
        <w:rPr>
          <w:lang w:eastAsia="en-US"/>
        </w:rPr>
      </w:pPr>
      <w:r>
        <w:rPr>
          <w:lang w:eastAsia="en-US"/>
        </w:rPr>
        <w:t>Short term: 1 additional Day Care facility.</w:t>
      </w:r>
    </w:p>
    <w:p w14:paraId="33AB7644" w14:textId="77777777" w:rsidR="00657EC1" w:rsidRDefault="00657EC1" w:rsidP="00657EC1">
      <w:pPr>
        <w:pStyle w:val="List1bullet"/>
        <w:rPr>
          <w:lang w:eastAsia="en-US"/>
        </w:rPr>
      </w:pPr>
      <w:r>
        <w:rPr>
          <w:lang w:eastAsia="en-US"/>
        </w:rPr>
        <w:t>Medium term: 1 additional Day Care facility, servicing the South West growth area. This is subject to further investigation.</w:t>
      </w:r>
    </w:p>
    <w:p w14:paraId="53E4E0F9" w14:textId="77777777" w:rsidR="00657EC1" w:rsidRPr="00657EC1" w:rsidRDefault="00657EC1" w:rsidP="00657EC1">
      <w:pPr>
        <w:rPr>
          <w:b/>
          <w:bCs/>
          <w:lang w:eastAsia="en-US"/>
        </w:rPr>
      </w:pPr>
      <w:r w:rsidRPr="00657EC1">
        <w:rPr>
          <w:b/>
          <w:bCs/>
          <w:lang w:eastAsia="en-US"/>
        </w:rPr>
        <w:t>Maternal and Child Health</w:t>
      </w:r>
    </w:p>
    <w:p w14:paraId="0E979B3C" w14:textId="77777777" w:rsidR="00657EC1" w:rsidRDefault="00657EC1" w:rsidP="00657EC1">
      <w:pPr>
        <w:pStyle w:val="List1bullet"/>
        <w:rPr>
          <w:lang w:eastAsia="en-US"/>
        </w:rPr>
      </w:pPr>
      <w:r>
        <w:rPr>
          <w:lang w:eastAsia="en-US"/>
        </w:rPr>
        <w:t>Provision ratios indicate that the existing MCH facility is enough to cater for short term growth, however council has raised the need to investigate either an expansion of the existing MCH facility or provision of an additional facility in the medium term.</w:t>
      </w:r>
    </w:p>
    <w:p w14:paraId="692AFA0D" w14:textId="77777777" w:rsidR="00657EC1" w:rsidRPr="00657EC1" w:rsidRDefault="00657EC1" w:rsidP="00657EC1">
      <w:pPr>
        <w:rPr>
          <w:b/>
          <w:bCs/>
          <w:lang w:eastAsia="en-US"/>
        </w:rPr>
      </w:pPr>
      <w:r w:rsidRPr="00657EC1">
        <w:rPr>
          <w:b/>
          <w:bCs/>
          <w:lang w:eastAsia="en-US"/>
        </w:rPr>
        <w:t>Primary school</w:t>
      </w:r>
    </w:p>
    <w:p w14:paraId="30C7B9D6" w14:textId="77777777" w:rsidR="00657EC1" w:rsidRDefault="00657EC1" w:rsidP="00657EC1">
      <w:pPr>
        <w:pStyle w:val="List1bullet"/>
        <w:rPr>
          <w:lang w:eastAsia="en-US"/>
        </w:rPr>
      </w:pPr>
      <w:r>
        <w:rPr>
          <w:lang w:eastAsia="en-US"/>
        </w:rPr>
        <w:t xml:space="preserve">Short term: 1 additional Government Primary School, </w:t>
      </w:r>
      <w:r w:rsidRPr="005F666B">
        <w:rPr>
          <w:lang w:eastAsia="en-US"/>
        </w:rPr>
        <w:t>1 additional Catholic Primary School and 1 additional non-Government Primary School</w:t>
      </w:r>
      <w:r>
        <w:rPr>
          <w:lang w:eastAsia="en-US"/>
        </w:rPr>
        <w:t xml:space="preserve"> may be required. The split between Government and non-Government school provision is subject to further discussion with DET and other providers.</w:t>
      </w:r>
    </w:p>
    <w:p w14:paraId="79311CE8" w14:textId="77777777" w:rsidR="00657EC1" w:rsidRPr="00657EC1" w:rsidRDefault="00657EC1" w:rsidP="00657EC1">
      <w:pPr>
        <w:rPr>
          <w:b/>
          <w:bCs/>
          <w:lang w:eastAsia="en-US"/>
        </w:rPr>
      </w:pPr>
      <w:r w:rsidRPr="00657EC1">
        <w:rPr>
          <w:b/>
          <w:bCs/>
          <w:lang w:eastAsia="en-US"/>
        </w:rPr>
        <w:t>Secondary school</w:t>
      </w:r>
    </w:p>
    <w:p w14:paraId="6C2EEC23" w14:textId="77777777" w:rsidR="00657EC1" w:rsidRDefault="00657EC1" w:rsidP="00657EC1">
      <w:pPr>
        <w:pStyle w:val="List1bullet"/>
        <w:rPr>
          <w:lang w:eastAsia="en-US"/>
        </w:rPr>
      </w:pPr>
      <w:r>
        <w:rPr>
          <w:lang w:eastAsia="en-US"/>
        </w:rPr>
        <w:t>Provision ratios indicate that the existing secondary school is enough to cater for long term needs, however noting that Bannockburn College may service surrounding townships, there may be a need to investigate an additional and/or non-Government Secondary School in the long term.</w:t>
      </w:r>
    </w:p>
    <w:p w14:paraId="5F25DE4B" w14:textId="77777777" w:rsidR="00657EC1" w:rsidRPr="00657EC1" w:rsidRDefault="00657EC1" w:rsidP="00657EC1">
      <w:pPr>
        <w:rPr>
          <w:b/>
          <w:bCs/>
          <w:lang w:eastAsia="en-US"/>
        </w:rPr>
      </w:pPr>
      <w:r w:rsidRPr="00657EC1">
        <w:rPr>
          <w:b/>
          <w:bCs/>
          <w:lang w:eastAsia="en-US"/>
        </w:rPr>
        <w:t>Community Centre</w:t>
      </w:r>
    </w:p>
    <w:p w14:paraId="4ACDCC85" w14:textId="77777777" w:rsidR="00657EC1" w:rsidRDefault="00657EC1" w:rsidP="00657EC1">
      <w:pPr>
        <w:pStyle w:val="List1bullet"/>
        <w:rPr>
          <w:lang w:eastAsia="en-US"/>
        </w:rPr>
      </w:pPr>
      <w:r>
        <w:rPr>
          <w:lang w:eastAsia="en-US"/>
        </w:rPr>
        <w:t>Short term: 1 additional Level 1 or 2 community centre should be investigated to service either the North West or South East growth areas.</w:t>
      </w:r>
    </w:p>
    <w:p w14:paraId="542BEC06" w14:textId="77777777" w:rsidR="00657EC1" w:rsidRDefault="00657EC1" w:rsidP="00657EC1">
      <w:pPr>
        <w:pStyle w:val="List1bullet"/>
        <w:rPr>
          <w:lang w:eastAsia="en-US"/>
        </w:rPr>
      </w:pPr>
      <w:r>
        <w:rPr>
          <w:lang w:eastAsia="en-US"/>
        </w:rPr>
        <w:t>Medium term: No clear evidence for an additional Level 1 or 2 community centre the medium term, however this may be investigated depending on demand.</w:t>
      </w:r>
    </w:p>
    <w:p w14:paraId="340A76A0" w14:textId="77777777" w:rsidR="00657EC1" w:rsidRDefault="00657EC1" w:rsidP="00657EC1">
      <w:pPr>
        <w:pStyle w:val="List1bullet"/>
        <w:rPr>
          <w:lang w:eastAsia="en-US"/>
        </w:rPr>
      </w:pPr>
      <w:r>
        <w:rPr>
          <w:lang w:eastAsia="en-US"/>
        </w:rPr>
        <w:t>There is scope to consider relocating the existing playgroup building and expanding the Cultural Centre to increase its capacity.</w:t>
      </w:r>
    </w:p>
    <w:p w14:paraId="1075A6CE" w14:textId="77777777" w:rsidR="00657EC1" w:rsidRPr="00657EC1" w:rsidRDefault="00657EC1" w:rsidP="00657EC1">
      <w:pPr>
        <w:rPr>
          <w:b/>
          <w:bCs/>
          <w:lang w:eastAsia="en-US"/>
        </w:rPr>
      </w:pPr>
      <w:r w:rsidRPr="00657EC1">
        <w:rPr>
          <w:b/>
          <w:bCs/>
          <w:lang w:eastAsia="en-US"/>
        </w:rPr>
        <w:t>Youth services</w:t>
      </w:r>
    </w:p>
    <w:p w14:paraId="0C8CD5AD" w14:textId="77777777" w:rsidR="00657EC1" w:rsidRDefault="00657EC1" w:rsidP="00657EC1">
      <w:pPr>
        <w:pStyle w:val="List1bullet"/>
        <w:rPr>
          <w:lang w:eastAsia="en-US"/>
        </w:rPr>
      </w:pPr>
      <w:r>
        <w:rPr>
          <w:lang w:eastAsia="en-US"/>
        </w:rPr>
        <w:t>Demand for youth spaces aligns with demand for a Level 1 or 2 community centre, therefore investigations into additional youth space and community centre provision may is investigated at the same time.</w:t>
      </w:r>
    </w:p>
    <w:p w14:paraId="11EE011A" w14:textId="77777777" w:rsidR="00657EC1" w:rsidRDefault="00657EC1" w:rsidP="00657EC1">
      <w:pPr>
        <w:pStyle w:val="List1bullet"/>
        <w:rPr>
          <w:lang w:eastAsia="en-US"/>
        </w:rPr>
      </w:pPr>
      <w:r>
        <w:rPr>
          <w:lang w:eastAsia="en-US"/>
        </w:rPr>
        <w:t>Long term: A dedicated higher order youth facility may be considered, particularly if Bannockburn continues to attract young families.</w:t>
      </w:r>
    </w:p>
    <w:p w14:paraId="72ACFF36" w14:textId="77777777" w:rsidR="00657EC1" w:rsidRPr="00657EC1" w:rsidRDefault="00657EC1" w:rsidP="00657EC1">
      <w:pPr>
        <w:rPr>
          <w:b/>
          <w:bCs/>
          <w:lang w:eastAsia="en-US"/>
        </w:rPr>
      </w:pPr>
      <w:r w:rsidRPr="00657EC1">
        <w:rPr>
          <w:b/>
          <w:bCs/>
          <w:lang w:eastAsia="en-US"/>
        </w:rPr>
        <w:t>Seniors group facility</w:t>
      </w:r>
    </w:p>
    <w:p w14:paraId="71C7A05E" w14:textId="77777777" w:rsidR="00657EC1" w:rsidRDefault="00657EC1" w:rsidP="00657EC1">
      <w:pPr>
        <w:pStyle w:val="List1bullet"/>
        <w:rPr>
          <w:lang w:eastAsia="en-US"/>
        </w:rPr>
      </w:pPr>
      <w:r>
        <w:rPr>
          <w:lang w:eastAsia="en-US"/>
        </w:rPr>
        <w:t>Long term: A lower order seniors facility can be investigated, co-located with a Level 1 or 2 community centre.</w:t>
      </w:r>
    </w:p>
    <w:p w14:paraId="443B561A" w14:textId="77777777" w:rsidR="005C2E8D" w:rsidRDefault="005C2E8D" w:rsidP="00657EC1">
      <w:pPr>
        <w:rPr>
          <w:b/>
          <w:bCs/>
          <w:lang w:eastAsia="en-US"/>
        </w:rPr>
      </w:pPr>
    </w:p>
    <w:p w14:paraId="126029C4" w14:textId="5E718655" w:rsidR="00657EC1" w:rsidRPr="00657EC1" w:rsidRDefault="00657EC1" w:rsidP="00657EC1">
      <w:pPr>
        <w:rPr>
          <w:b/>
          <w:bCs/>
          <w:lang w:eastAsia="en-US"/>
        </w:rPr>
      </w:pPr>
      <w:r w:rsidRPr="00657EC1">
        <w:rPr>
          <w:b/>
          <w:bCs/>
          <w:lang w:eastAsia="en-US"/>
        </w:rPr>
        <w:lastRenderedPageBreak/>
        <w:t>Indoor recreation centre</w:t>
      </w:r>
    </w:p>
    <w:p w14:paraId="0E2F022C" w14:textId="0D4DA658" w:rsidR="00657EC1" w:rsidRDefault="00657EC1" w:rsidP="00657EC1">
      <w:pPr>
        <w:pStyle w:val="List1bullet"/>
        <w:rPr>
          <w:lang w:eastAsia="en-US"/>
        </w:rPr>
      </w:pPr>
      <w:r>
        <w:rPr>
          <w:lang w:eastAsia="en-US"/>
        </w:rPr>
        <w:t>Council has raised the need to provide additional indoor recreation facilities, subject to further investigation. In particular, council has indicated that it intends to consider an indoor recreation centre (short term), aquatic facility (medium term), netball courts (short to medium term) and tennis courts (medium term).</w:t>
      </w:r>
    </w:p>
    <w:p w14:paraId="7FA8F5BD" w14:textId="77777777" w:rsidR="00847808" w:rsidRDefault="00847808" w:rsidP="00847808">
      <w:pPr>
        <w:rPr>
          <w:lang w:eastAsia="en-US"/>
        </w:rPr>
      </w:pPr>
      <w:r>
        <w:rPr>
          <w:lang w:eastAsia="en-US"/>
        </w:rPr>
        <w:t>In summary:</w:t>
      </w:r>
    </w:p>
    <w:p w14:paraId="52959460" w14:textId="77777777" w:rsidR="005C2E8D" w:rsidRDefault="00E8359F" w:rsidP="00E8359F">
      <w:pPr>
        <w:pStyle w:val="ListParagraph"/>
        <w:numPr>
          <w:ilvl w:val="0"/>
          <w:numId w:val="43"/>
        </w:numPr>
        <w:suppressAutoHyphens w:val="0"/>
        <w:spacing w:before="0" w:after="200"/>
        <w:jc w:val="left"/>
        <w:rPr>
          <w:rStyle w:val="Strong"/>
        </w:rPr>
      </w:pPr>
      <w:r>
        <w:rPr>
          <w:rStyle w:val="Strong"/>
        </w:rPr>
        <w:t xml:space="preserve">The high level recommendations have given an indication of what community infrastructure may be needed in future growth areas. </w:t>
      </w:r>
    </w:p>
    <w:p w14:paraId="6D89E70B" w14:textId="77777777" w:rsidR="005C2E8D" w:rsidRPr="000E0F86" w:rsidRDefault="005C2E8D" w:rsidP="005C2E8D">
      <w:pPr>
        <w:pStyle w:val="ListParagraph"/>
        <w:numPr>
          <w:ilvl w:val="0"/>
          <w:numId w:val="43"/>
        </w:numPr>
        <w:suppressAutoHyphens w:val="0"/>
        <w:spacing w:before="0" w:after="200"/>
        <w:jc w:val="left"/>
        <w:rPr>
          <w:rStyle w:val="Strong"/>
        </w:rPr>
      </w:pPr>
      <w:r>
        <w:rPr>
          <w:rStyle w:val="Strong"/>
        </w:rPr>
        <w:t xml:space="preserve">This matter will be further addressed as part of the detailed planning for the proposed growth areas. </w:t>
      </w:r>
    </w:p>
    <w:p w14:paraId="7B6ABCFF" w14:textId="22CE2BFA" w:rsidR="00C71111" w:rsidRDefault="004F421C" w:rsidP="00657EC1">
      <w:pPr>
        <w:pStyle w:val="Heading1"/>
      </w:pPr>
      <w:bookmarkStart w:id="27" w:name="_Toc53406551"/>
      <w:r>
        <w:lastRenderedPageBreak/>
        <w:t>Economy</w:t>
      </w:r>
      <w:bookmarkEnd w:id="27"/>
    </w:p>
    <w:p w14:paraId="506ED3EC" w14:textId="77777777" w:rsidR="000427EC" w:rsidRDefault="000427EC" w:rsidP="000427EC">
      <w:pPr>
        <w:pStyle w:val="Heading3"/>
      </w:pPr>
      <w:r>
        <w:t>Industrial land</w:t>
      </w:r>
    </w:p>
    <w:p w14:paraId="46C4E89D" w14:textId="4382433A" w:rsidR="000427EC" w:rsidRDefault="000427EC" w:rsidP="000427EC">
      <w:pPr>
        <w:rPr>
          <w:lang w:eastAsia="en-US"/>
        </w:rPr>
      </w:pPr>
      <w:r>
        <w:rPr>
          <w:lang w:eastAsia="en-US"/>
        </w:rPr>
        <w:t>The VPA prepared a high-level analysis of industrial land requirements</w:t>
      </w:r>
      <w:r w:rsidR="005C2E8D">
        <w:rPr>
          <w:lang w:eastAsia="en-US"/>
        </w:rPr>
        <w:t>, this analysis</w:t>
      </w:r>
      <w:r>
        <w:rPr>
          <w:lang w:eastAsia="en-US"/>
        </w:rPr>
        <w:t xml:space="preserve"> found that Bannockburn’s occupied industrial land has grown at the rate of 0.5 hectares of annum. Assuming industrial land expands at the same rate, this would mean an additional 5-10 hectares of industrial land would be needed in Bannockburn by 2036. However, it is unclear whether this truly reflects demand in the area or if this slow growth rate is constrained by a lack of</w:t>
      </w:r>
      <w:r w:rsidR="00DE6FF1">
        <w:rPr>
          <w:lang w:eastAsia="en-US"/>
        </w:rPr>
        <w:t xml:space="preserve"> zoned</w:t>
      </w:r>
      <w:r>
        <w:rPr>
          <w:lang w:eastAsia="en-US"/>
        </w:rPr>
        <w:t xml:space="preserve"> industrial land. </w:t>
      </w:r>
    </w:p>
    <w:p w14:paraId="0B1CADC0" w14:textId="58810969" w:rsidR="000427EC" w:rsidRDefault="000427EC" w:rsidP="000427EC">
      <w:pPr>
        <w:rPr>
          <w:lang w:eastAsia="en-US"/>
        </w:rPr>
      </w:pPr>
      <w:r>
        <w:rPr>
          <w:lang w:eastAsia="en-US"/>
        </w:rPr>
        <w:t xml:space="preserve">Bannockburn currently has approximately 12 hectares of industrial land, well below the average 31 hectares in towns of similar size. </w:t>
      </w:r>
      <w:r w:rsidRPr="006763A2">
        <w:rPr>
          <w:lang w:eastAsia="en-US"/>
        </w:rPr>
        <w:t>The existing</w:t>
      </w:r>
      <w:r>
        <w:rPr>
          <w:lang w:eastAsia="en-US"/>
        </w:rPr>
        <w:t xml:space="preserve"> Bannockburn</w:t>
      </w:r>
      <w:r w:rsidRPr="006763A2">
        <w:rPr>
          <w:lang w:eastAsia="en-US"/>
        </w:rPr>
        <w:t xml:space="preserve"> business </w:t>
      </w:r>
      <w:r>
        <w:rPr>
          <w:lang w:eastAsia="en-US"/>
        </w:rPr>
        <w:t xml:space="preserve">park </w:t>
      </w:r>
      <w:r w:rsidRPr="006763A2">
        <w:rPr>
          <w:lang w:eastAsia="en-US"/>
        </w:rPr>
        <w:t xml:space="preserve">has been taken up at a significant rate, indicating that this type of land is desirable in Bannockburn. </w:t>
      </w:r>
      <w:r>
        <w:rPr>
          <w:lang w:eastAsia="en-US"/>
        </w:rPr>
        <w:t xml:space="preserve">A potential expansion of this business park was identified in the </w:t>
      </w:r>
      <w:r w:rsidRPr="00586925">
        <w:rPr>
          <w:i/>
          <w:iCs/>
          <w:lang w:eastAsia="en-US"/>
        </w:rPr>
        <w:t>Bannockburn Urban Design Framework</w:t>
      </w:r>
      <w:r>
        <w:rPr>
          <w:lang w:eastAsia="en-US"/>
        </w:rPr>
        <w:t xml:space="preserve"> (2011), it’s considered this remains the most logical location for additional industrial land supply</w:t>
      </w:r>
      <w:r w:rsidR="00586925">
        <w:rPr>
          <w:lang w:eastAsia="en-US"/>
        </w:rPr>
        <w:t xml:space="preserve"> for the town</w:t>
      </w:r>
      <w:r>
        <w:rPr>
          <w:lang w:eastAsia="en-US"/>
        </w:rPr>
        <w:t>.</w:t>
      </w:r>
    </w:p>
    <w:p w14:paraId="664242A3" w14:textId="25A76C8E" w:rsidR="000427EC" w:rsidRDefault="000427EC" w:rsidP="000427EC">
      <w:pPr>
        <w:rPr>
          <w:lang w:eastAsia="en-US"/>
        </w:rPr>
      </w:pPr>
      <w:r>
        <w:rPr>
          <w:lang w:eastAsia="en-US"/>
        </w:rPr>
        <w:t xml:space="preserve">The </w:t>
      </w:r>
      <w:r w:rsidRPr="00AC4308">
        <w:rPr>
          <w:i/>
          <w:iCs/>
          <w:lang w:eastAsia="en-US"/>
        </w:rPr>
        <w:t>Gheringhap Structure Plan</w:t>
      </w:r>
      <w:r w:rsidR="00586925">
        <w:rPr>
          <w:i/>
          <w:iCs/>
          <w:lang w:eastAsia="en-US"/>
        </w:rPr>
        <w:t xml:space="preserve"> </w:t>
      </w:r>
      <w:r w:rsidR="00586925">
        <w:rPr>
          <w:lang w:eastAsia="en-US"/>
        </w:rPr>
        <w:t>(2012)</w:t>
      </w:r>
      <w:r>
        <w:rPr>
          <w:lang w:eastAsia="en-US"/>
        </w:rPr>
        <w:t xml:space="preserve"> indicates that there may be an opportunity for Gheringhap to address capacity issues in relation to employment land, where such uses cannot be provided in towns such as Bannockburn and Batesford</w:t>
      </w:r>
      <w:r>
        <w:rPr>
          <w:rStyle w:val="FootnoteReference"/>
          <w:lang w:eastAsia="en-US"/>
        </w:rPr>
        <w:footnoteReference w:id="4"/>
      </w:r>
      <w:r>
        <w:rPr>
          <w:lang w:eastAsia="en-US"/>
        </w:rPr>
        <w:t>. This may include industrial land supply.</w:t>
      </w:r>
    </w:p>
    <w:p w14:paraId="170367A5" w14:textId="77777777" w:rsidR="000427EC" w:rsidRDefault="000427EC" w:rsidP="000427EC">
      <w:pPr>
        <w:rPr>
          <w:lang w:eastAsia="en-US"/>
        </w:rPr>
      </w:pPr>
      <w:r>
        <w:rPr>
          <w:lang w:eastAsia="en-US"/>
        </w:rPr>
        <w:t>In summary:</w:t>
      </w:r>
    </w:p>
    <w:p w14:paraId="78ABE527" w14:textId="77777777" w:rsidR="000427EC" w:rsidRPr="00C51554" w:rsidRDefault="000427EC" w:rsidP="000427EC">
      <w:pPr>
        <w:pStyle w:val="ListParagraph"/>
        <w:numPr>
          <w:ilvl w:val="0"/>
          <w:numId w:val="43"/>
        </w:numPr>
        <w:suppressAutoHyphens w:val="0"/>
        <w:spacing w:before="0" w:after="200"/>
        <w:jc w:val="left"/>
        <w:rPr>
          <w:rStyle w:val="Strong"/>
        </w:rPr>
      </w:pPr>
      <w:r>
        <w:rPr>
          <w:rStyle w:val="Strong"/>
        </w:rPr>
        <w:t xml:space="preserve">Bannockburn currently has approximately 12 hectares of industrial land, well below the average 31 hectares in towns of similar size. </w:t>
      </w:r>
    </w:p>
    <w:p w14:paraId="7582FC8E" w14:textId="77777777" w:rsidR="000427EC" w:rsidRPr="00C61091" w:rsidRDefault="000427EC" w:rsidP="000427EC">
      <w:pPr>
        <w:pStyle w:val="ListParagraph"/>
        <w:numPr>
          <w:ilvl w:val="0"/>
          <w:numId w:val="43"/>
        </w:numPr>
        <w:suppressAutoHyphens w:val="0"/>
        <w:spacing w:before="0" w:after="200"/>
        <w:jc w:val="left"/>
        <w:rPr>
          <w:rStyle w:val="Strong"/>
        </w:rPr>
      </w:pPr>
      <w:r>
        <w:rPr>
          <w:rStyle w:val="Strong"/>
        </w:rPr>
        <w:t xml:space="preserve">The most local location for additional industrial land is as an expansion of the existing Bannockburn business park and at Gheringhap.  </w:t>
      </w:r>
    </w:p>
    <w:p w14:paraId="3D1FC94C" w14:textId="77777777" w:rsidR="000427EC" w:rsidRPr="000E0F86" w:rsidRDefault="000427EC" w:rsidP="000427EC">
      <w:pPr>
        <w:pStyle w:val="ListParagraph"/>
        <w:numPr>
          <w:ilvl w:val="0"/>
          <w:numId w:val="43"/>
        </w:numPr>
        <w:suppressAutoHyphens w:val="0"/>
        <w:spacing w:before="0" w:after="200"/>
        <w:jc w:val="left"/>
        <w:rPr>
          <w:rStyle w:val="Strong"/>
        </w:rPr>
      </w:pPr>
      <w:r>
        <w:rPr>
          <w:rStyle w:val="Strong"/>
        </w:rPr>
        <w:t xml:space="preserve">This matter will be further addressed as part of the detailed planning for the proposed growth areas. </w:t>
      </w:r>
    </w:p>
    <w:p w14:paraId="077A503D" w14:textId="77777777" w:rsidR="000427EC" w:rsidRPr="00E110BB" w:rsidRDefault="000427EC" w:rsidP="000427EC">
      <w:pPr>
        <w:pStyle w:val="Heading3"/>
        <w:rPr>
          <w:b w:val="0"/>
          <w:iCs/>
        </w:rPr>
      </w:pPr>
      <w:r w:rsidRPr="00E110BB">
        <w:rPr>
          <w:b w:val="0"/>
          <w:iCs/>
        </w:rPr>
        <w:t xml:space="preserve">Retail </w:t>
      </w:r>
    </w:p>
    <w:p w14:paraId="7A64EFA6" w14:textId="77777777" w:rsidR="000427EC" w:rsidRDefault="000427EC" w:rsidP="000427EC">
      <w:pPr>
        <w:rPr>
          <w:lang w:eastAsia="en-US"/>
        </w:rPr>
      </w:pPr>
      <w:r>
        <w:rPr>
          <w:lang w:eastAsia="en-US"/>
        </w:rPr>
        <w:t xml:space="preserve">MacroPlan prepared the </w:t>
      </w:r>
      <w:r>
        <w:rPr>
          <w:i/>
          <w:iCs/>
          <w:lang w:eastAsia="en-US"/>
        </w:rPr>
        <w:t xml:space="preserve">Bannockburn Retail Study </w:t>
      </w:r>
      <w:r>
        <w:rPr>
          <w:lang w:eastAsia="en-US"/>
        </w:rPr>
        <w:t xml:space="preserve">(February 2020), providing an overview of existing spending patterns and projected retail needs. </w:t>
      </w:r>
    </w:p>
    <w:p w14:paraId="0D4ABC0D" w14:textId="77777777" w:rsidR="000427EC" w:rsidRDefault="000427EC" w:rsidP="000427EC">
      <w:pPr>
        <w:rPr>
          <w:lang w:eastAsia="en-US"/>
        </w:rPr>
      </w:pPr>
      <w:r>
        <w:rPr>
          <w:lang w:eastAsia="en-US"/>
        </w:rPr>
        <w:t>Key findings included:</w:t>
      </w:r>
    </w:p>
    <w:p w14:paraId="071D053C" w14:textId="77777777" w:rsidR="000427EC" w:rsidRPr="000427EC" w:rsidRDefault="000427EC" w:rsidP="000427EC">
      <w:pPr>
        <w:pStyle w:val="List1bullet"/>
      </w:pPr>
      <w:r>
        <w:rPr>
          <w:lang w:eastAsia="en-US"/>
        </w:rPr>
        <w:t xml:space="preserve">The catchment served by Bannockburn is defined to include three primary sectors (central, south and north), two growth area sectors (growth area west and growth area south) and two outer </w:t>
      </w:r>
      <w:r w:rsidRPr="000427EC">
        <w:t>sectors (outer north and outer west).</w:t>
      </w:r>
    </w:p>
    <w:p w14:paraId="7F5E7F59" w14:textId="1580B5B6" w:rsidR="000427EC" w:rsidRPr="000427EC" w:rsidRDefault="000427EC" w:rsidP="000427EC">
      <w:pPr>
        <w:pStyle w:val="List1bullet"/>
      </w:pPr>
      <w:r w:rsidRPr="000427EC">
        <w:t>Compared to regional Victoria, the Bannockburn trade area has a higher proportion of traditional family units in early life stages. As a result, the level of retail expenditure is 20% above the non-metropolitan Victorian average.</w:t>
      </w:r>
    </w:p>
    <w:p w14:paraId="67486E25" w14:textId="77777777" w:rsidR="000427EC" w:rsidRPr="000427EC" w:rsidRDefault="000427EC" w:rsidP="000427EC">
      <w:pPr>
        <w:pStyle w:val="List1bullet"/>
      </w:pPr>
      <w:r w:rsidRPr="000427EC">
        <w:t>Total retail expenditure is forecast to grow strongly, at an average annual growth rate of 6.1%.</w:t>
      </w:r>
    </w:p>
    <w:p w14:paraId="60B6622C" w14:textId="77777777" w:rsidR="000427EC" w:rsidRPr="000427EC" w:rsidRDefault="000427EC" w:rsidP="000427EC">
      <w:pPr>
        <w:pStyle w:val="List1bullet"/>
      </w:pPr>
      <w:r w:rsidRPr="000427EC">
        <w:t>Retail facilities in the main trade area are concentrated within the Bannockburn Town Centre on High Street. The closest higher order retail and business hub is Geelong, located 23km south-east of Bannockburn.</w:t>
      </w:r>
    </w:p>
    <w:p w14:paraId="4FE11EEE" w14:textId="77777777" w:rsidR="000427EC" w:rsidRDefault="000427EC" w:rsidP="000427EC">
      <w:pPr>
        <w:pStyle w:val="List1bullet"/>
        <w:rPr>
          <w:lang w:eastAsia="en-US"/>
        </w:rPr>
      </w:pPr>
      <w:r w:rsidRPr="000427EC">
        <w:t>By 2023</w:t>
      </w:r>
      <w:r>
        <w:rPr>
          <w:lang w:eastAsia="en-US"/>
        </w:rPr>
        <w:t xml:space="preserve">, the population within </w:t>
      </w:r>
      <w:r w:rsidRPr="00DE23EC">
        <w:rPr>
          <w:lang w:eastAsia="en-US"/>
        </w:rPr>
        <w:t>the main area is estimated</w:t>
      </w:r>
      <w:r>
        <w:rPr>
          <w:lang w:eastAsia="en-US"/>
        </w:rPr>
        <w:t xml:space="preserve"> at 6,900 residents, which can sustain around 7,000m</w:t>
      </w:r>
      <w:r w:rsidRPr="00DE2C05">
        <w:rPr>
          <w:vertAlign w:val="superscript"/>
          <w:lang w:eastAsia="en-US"/>
        </w:rPr>
        <w:t>2</w:t>
      </w:r>
      <w:r>
        <w:rPr>
          <w:lang w:eastAsia="en-US"/>
        </w:rPr>
        <w:t xml:space="preserve"> retail floorspace. This means that the planned redevelopment of Bannockburn Plaza and Woolworths expansion is supportable at that time.</w:t>
      </w:r>
    </w:p>
    <w:p w14:paraId="0A6C6E5A" w14:textId="77777777" w:rsidR="000427EC" w:rsidRPr="000427EC" w:rsidRDefault="000427EC" w:rsidP="000427EC">
      <w:pPr>
        <w:pStyle w:val="List1bullet"/>
      </w:pPr>
      <w:r w:rsidRPr="00DE23EC">
        <w:rPr>
          <w:lang w:eastAsia="en-US"/>
        </w:rPr>
        <w:lastRenderedPageBreak/>
        <w:t xml:space="preserve">Analysis shows that </w:t>
      </w:r>
      <w:r w:rsidRPr="000427EC">
        <w:t>as the growth areas in Bannockburn develops, there will be a need for another retail precinct in the town. At around 2038-2040, when the growth area south sector reaches a population of 3,000, it is considered that a small 1,500m2 centre anchored by a 500m2 foodstore would be supportable at a secondary location within the southern growth area. At 8,000 residents or by around 2058-2060, a centre anchored by a full-scale supermarket would be considered supportable.</w:t>
      </w:r>
    </w:p>
    <w:p w14:paraId="7CD216A8" w14:textId="77777777" w:rsidR="000427EC" w:rsidRDefault="000427EC" w:rsidP="000427EC">
      <w:pPr>
        <w:pStyle w:val="List1bullet"/>
        <w:rPr>
          <w:lang w:eastAsia="en-US"/>
        </w:rPr>
      </w:pPr>
      <w:r w:rsidRPr="000427EC">
        <w:t>It is expected that the Bannockburn Town Centre will also increase its provision of retail floorspace to 2060, likely</w:t>
      </w:r>
      <w:r w:rsidRPr="00DE23EC">
        <w:rPr>
          <w:lang w:eastAsia="en-US"/>
        </w:rPr>
        <w:t xml:space="preserve"> supporting a second full scale supermarket and Aldi supermarket in the long term. A location on Burnside Road would be a possible site due to its convenient access for residents.</w:t>
      </w:r>
    </w:p>
    <w:p w14:paraId="22BC326E" w14:textId="77777777" w:rsidR="000427EC" w:rsidRDefault="000427EC" w:rsidP="000427EC">
      <w:pPr>
        <w:pStyle w:val="List1bullet"/>
        <w:numPr>
          <w:ilvl w:val="0"/>
          <w:numId w:val="0"/>
        </w:numPr>
        <w:rPr>
          <w:lang w:eastAsia="en-US"/>
        </w:rPr>
      </w:pPr>
      <w:r>
        <w:rPr>
          <w:lang w:eastAsia="en-US"/>
        </w:rPr>
        <w:t>In summary:</w:t>
      </w:r>
    </w:p>
    <w:p w14:paraId="28E76221" w14:textId="77777777" w:rsidR="000427EC" w:rsidRPr="00733CCE" w:rsidRDefault="000427EC" w:rsidP="000427EC">
      <w:pPr>
        <w:pStyle w:val="ListParagraph"/>
        <w:numPr>
          <w:ilvl w:val="0"/>
          <w:numId w:val="43"/>
        </w:numPr>
        <w:suppressAutoHyphens w:val="0"/>
        <w:spacing w:before="0" w:after="200"/>
        <w:jc w:val="left"/>
        <w:rPr>
          <w:rStyle w:val="Strong"/>
        </w:rPr>
      </w:pPr>
      <w:r>
        <w:rPr>
          <w:rStyle w:val="Strong"/>
        </w:rPr>
        <w:t>As the growth areas in Bannockburn develop, there will need to be a second retail precinct in the town.</w:t>
      </w:r>
    </w:p>
    <w:p w14:paraId="4FAC605B" w14:textId="77777777" w:rsidR="000427EC" w:rsidRDefault="000427EC" w:rsidP="000427EC">
      <w:pPr>
        <w:pStyle w:val="ListParagraph"/>
        <w:numPr>
          <w:ilvl w:val="0"/>
          <w:numId w:val="43"/>
        </w:numPr>
        <w:suppressAutoHyphens w:val="0"/>
        <w:spacing w:before="0" w:after="200"/>
        <w:jc w:val="left"/>
        <w:rPr>
          <w:rStyle w:val="Strong"/>
        </w:rPr>
      </w:pPr>
      <w:r w:rsidRPr="005C5D47">
        <w:rPr>
          <w:rStyle w:val="Strong"/>
        </w:rPr>
        <w:t>When the growth area south sector reaches a population of 3,000, it is considered that a small 1,500 sqm centre anchored by a 500 sqm food</w:t>
      </w:r>
      <w:r>
        <w:rPr>
          <w:rStyle w:val="Strong"/>
        </w:rPr>
        <w:t xml:space="preserve"> </w:t>
      </w:r>
      <w:r w:rsidRPr="005C5D47">
        <w:rPr>
          <w:rStyle w:val="Strong"/>
        </w:rPr>
        <w:t>store would be supportable at a secondary location within the southern growth area.</w:t>
      </w:r>
    </w:p>
    <w:p w14:paraId="22F97121" w14:textId="77777777" w:rsidR="000427EC" w:rsidRDefault="000427EC" w:rsidP="000427EC">
      <w:pPr>
        <w:pStyle w:val="ListParagraph"/>
        <w:numPr>
          <w:ilvl w:val="0"/>
          <w:numId w:val="43"/>
        </w:numPr>
        <w:suppressAutoHyphens w:val="0"/>
        <w:spacing w:before="0" w:after="200"/>
        <w:jc w:val="left"/>
        <w:rPr>
          <w:rStyle w:val="Strong"/>
        </w:rPr>
      </w:pPr>
      <w:r w:rsidRPr="00006410">
        <w:rPr>
          <w:rStyle w:val="Strong"/>
        </w:rPr>
        <w:t>An additional 1,000 sqm of floorspace, for a total of 2,500 sqm, would be supportable by the time the population in the southern growth area reaches 5,000 residents. At 8,000 residents or by a centre anchored by a full-scale supermarket would be considered supportable</w:t>
      </w:r>
      <w:r>
        <w:rPr>
          <w:rStyle w:val="Strong"/>
        </w:rPr>
        <w:t>.</w:t>
      </w:r>
    </w:p>
    <w:p w14:paraId="5675D24F" w14:textId="77777777" w:rsidR="000427EC" w:rsidRPr="000E0F86" w:rsidRDefault="000427EC" w:rsidP="000427EC">
      <w:pPr>
        <w:pStyle w:val="ListParagraph"/>
        <w:numPr>
          <w:ilvl w:val="0"/>
          <w:numId w:val="43"/>
        </w:numPr>
        <w:suppressAutoHyphens w:val="0"/>
        <w:spacing w:before="0" w:after="200"/>
        <w:jc w:val="left"/>
        <w:rPr>
          <w:rStyle w:val="Strong"/>
        </w:rPr>
      </w:pPr>
      <w:r>
        <w:rPr>
          <w:rStyle w:val="Strong"/>
        </w:rPr>
        <w:t xml:space="preserve">This matter will be further addressed as part of the detailed planning for the proposed growth areas. </w:t>
      </w:r>
    </w:p>
    <w:p w14:paraId="5A79EA1D" w14:textId="77777777" w:rsidR="004F421C" w:rsidRPr="004F421C" w:rsidRDefault="004F421C" w:rsidP="004F421C">
      <w:pPr>
        <w:rPr>
          <w:lang w:eastAsia="en-US"/>
        </w:rPr>
      </w:pPr>
    </w:p>
    <w:p w14:paraId="0BDD2858" w14:textId="23582F2A" w:rsidR="00937364" w:rsidRDefault="00756099" w:rsidP="000427EC">
      <w:pPr>
        <w:pStyle w:val="Heading1"/>
      </w:pPr>
      <w:bookmarkStart w:id="28" w:name="_Toc53406552"/>
      <w:r>
        <w:lastRenderedPageBreak/>
        <w:t>Stormwater Drainage</w:t>
      </w:r>
      <w:bookmarkEnd w:id="28"/>
    </w:p>
    <w:p w14:paraId="5DCC38F5" w14:textId="77777777" w:rsidR="009B17E8" w:rsidRDefault="009B17E8" w:rsidP="009B17E8">
      <w:pPr>
        <w:rPr>
          <w:i/>
          <w:iCs/>
        </w:rPr>
      </w:pPr>
      <w:r>
        <w:rPr>
          <w:lang w:eastAsia="en-US"/>
        </w:rPr>
        <w:t xml:space="preserve">Alluvium Consulting Pty Ltd prepared the </w:t>
      </w:r>
      <w:r>
        <w:rPr>
          <w:i/>
          <w:iCs/>
        </w:rPr>
        <w:t xml:space="preserve">Bannockburn Catchment Assessment </w:t>
      </w:r>
      <w:r>
        <w:t xml:space="preserve">(May 2020) which highlights the existing conditions, flow directions, sub catchments and outfall locations we well as providing high-level modelling of treatment and drainage assets needed to serve the study area. </w:t>
      </w:r>
      <w:r>
        <w:rPr>
          <w:i/>
          <w:iCs/>
        </w:rPr>
        <w:t xml:space="preserve"> </w:t>
      </w:r>
    </w:p>
    <w:p w14:paraId="7EB1EADD" w14:textId="67B077A2" w:rsidR="009B17E8" w:rsidRPr="00615CFF" w:rsidRDefault="009B17E8" w:rsidP="009B17E8">
      <w:r w:rsidRPr="00E110BB">
        <w:t xml:space="preserve">Based on this high-level analysis a </w:t>
      </w:r>
      <w:r w:rsidR="004311C9">
        <w:t>high-level</w:t>
      </w:r>
      <w:r w:rsidRPr="00E110BB">
        <w:t xml:space="preserve"> drainage and treatment model has been devised and concept assets recommended</w:t>
      </w:r>
      <w:r w:rsidR="00881B08">
        <w:t xml:space="preserve"> (see </w:t>
      </w:r>
      <w:r w:rsidR="00881B08" w:rsidRPr="00881B08">
        <w:rPr>
          <w:b/>
          <w:bCs/>
        </w:rPr>
        <w:t>Figure 8</w:t>
      </w:r>
      <w:r w:rsidR="00881B08">
        <w:t>)</w:t>
      </w:r>
      <w:r w:rsidR="004311C9">
        <w:t>.</w:t>
      </w:r>
    </w:p>
    <w:p w14:paraId="0A8C14A7" w14:textId="39BD2CC8" w:rsidR="009B17E8" w:rsidRDefault="009B17E8" w:rsidP="009B17E8">
      <w:pPr>
        <w:rPr>
          <w:lang w:eastAsia="en-US"/>
        </w:rPr>
      </w:pPr>
      <w:r w:rsidRPr="001C512C">
        <w:t xml:space="preserve">The </w:t>
      </w:r>
      <w:r w:rsidR="004311C9">
        <w:t>study</w:t>
      </w:r>
      <w:r w:rsidRPr="001C512C">
        <w:t xml:space="preserve"> area generally consists of flat plains, with much of the area draining into Bruce’s Creek, located at the bottom of a steep escarpment of around 20-30m.</w:t>
      </w:r>
      <w:r w:rsidRPr="001C512C">
        <w:rPr>
          <w:lang w:eastAsia="en-US"/>
        </w:rPr>
        <w:t xml:space="preserve"> </w:t>
      </w:r>
      <w:r w:rsidRPr="00E110BB">
        <w:rPr>
          <w:lang w:eastAsia="en-US"/>
        </w:rPr>
        <w:t xml:space="preserve">Wetlands and retarding basins will used further up in catchments, and a number of constructed waterways could be developed. These drainage assets have the potential to provide recreational, amenity, environmental and urban cooling opportunities. An existing wetland in the south west precinct was also identified and an investigation into its value and potential drainage uses was recommended. </w:t>
      </w:r>
    </w:p>
    <w:p w14:paraId="30A6DD2A" w14:textId="13E68710" w:rsidR="009B17E8" w:rsidRDefault="009B17E8" w:rsidP="009B17E8">
      <w:pPr>
        <w:rPr>
          <w:lang w:eastAsia="en-US"/>
        </w:rPr>
      </w:pPr>
      <w:r w:rsidRPr="00E110BB">
        <w:rPr>
          <w:lang w:eastAsia="en-US"/>
        </w:rPr>
        <w:t>This analysis built off a previous detailed drainage assessment by Alluvium for the Bannockburn South West Precinct, which determined concept drainage options and costings. Some concept assets from this assessment were further recommended in the May 2020 analysis, though some previously recommended assets were left out as the expanded growth area allowed treatment further down the catchment.</w:t>
      </w:r>
      <w:r w:rsidR="00881B08">
        <w:rPr>
          <w:lang w:eastAsia="en-US"/>
        </w:rPr>
        <w:t xml:space="preserve"> </w:t>
      </w:r>
      <w:r w:rsidRPr="00E110BB">
        <w:rPr>
          <w:lang w:eastAsia="en-US"/>
        </w:rPr>
        <w:t>The next phase of planning will need build off this work to undertake further hydrologic modelling to estimate peak flows and ensure adequate asset provision.</w:t>
      </w:r>
    </w:p>
    <w:p w14:paraId="0C7F6FE6" w14:textId="77777777" w:rsidR="009B17E8" w:rsidRDefault="009B17E8" w:rsidP="009B17E8">
      <w:pPr>
        <w:pStyle w:val="List1bullet"/>
        <w:numPr>
          <w:ilvl w:val="0"/>
          <w:numId w:val="0"/>
        </w:numPr>
        <w:rPr>
          <w:lang w:eastAsia="en-US"/>
        </w:rPr>
      </w:pPr>
      <w:r>
        <w:rPr>
          <w:lang w:eastAsia="en-US"/>
        </w:rPr>
        <w:t>In summary:</w:t>
      </w:r>
    </w:p>
    <w:p w14:paraId="0FF483A7" w14:textId="77777777" w:rsidR="009B17E8" w:rsidRPr="00F33AC4" w:rsidRDefault="009B17E8" w:rsidP="009B17E8">
      <w:pPr>
        <w:pStyle w:val="ListParagraph"/>
        <w:numPr>
          <w:ilvl w:val="0"/>
          <w:numId w:val="43"/>
        </w:numPr>
        <w:suppressAutoHyphens w:val="0"/>
        <w:spacing w:before="0" w:after="200"/>
        <w:jc w:val="left"/>
        <w:rPr>
          <w:rStyle w:val="Strong"/>
        </w:rPr>
      </w:pPr>
      <w:r>
        <w:rPr>
          <w:rStyle w:val="Strong"/>
        </w:rPr>
        <w:t>Much of the area drains into Bruce’s Creek.</w:t>
      </w:r>
    </w:p>
    <w:p w14:paraId="326B60E1" w14:textId="77777777" w:rsidR="009B17E8" w:rsidRPr="006764B0" w:rsidRDefault="009B17E8" w:rsidP="009B17E8">
      <w:pPr>
        <w:pStyle w:val="ListParagraph"/>
        <w:numPr>
          <w:ilvl w:val="0"/>
          <w:numId w:val="43"/>
        </w:numPr>
        <w:suppressAutoHyphens w:val="0"/>
        <w:spacing w:before="0" w:after="200"/>
        <w:jc w:val="left"/>
        <w:rPr>
          <w:rStyle w:val="Strong"/>
        </w:rPr>
      </w:pPr>
      <w:r>
        <w:rPr>
          <w:rStyle w:val="Strong"/>
        </w:rPr>
        <w:t xml:space="preserve">Wetlands, retarding basins and constructed waterways could be developed to manage stormwater. </w:t>
      </w:r>
    </w:p>
    <w:p w14:paraId="5C706EF4" w14:textId="77777777" w:rsidR="009B17E8" w:rsidRPr="00232ED5" w:rsidRDefault="009B17E8" w:rsidP="009B17E8">
      <w:pPr>
        <w:pStyle w:val="ListParagraph"/>
        <w:numPr>
          <w:ilvl w:val="0"/>
          <w:numId w:val="43"/>
        </w:numPr>
        <w:suppressAutoHyphens w:val="0"/>
        <w:spacing w:before="0" w:after="200"/>
        <w:jc w:val="left"/>
        <w:rPr>
          <w:rStyle w:val="Strong"/>
        </w:rPr>
      </w:pPr>
      <w:r>
        <w:rPr>
          <w:rStyle w:val="Strong"/>
        </w:rPr>
        <w:t xml:space="preserve">Constructed waterways have the potential to provide recreational, amenity, environmental and urban cooling opportunities. </w:t>
      </w:r>
    </w:p>
    <w:p w14:paraId="3A879022" w14:textId="1925B527" w:rsidR="00881B08" w:rsidRDefault="009B17E8" w:rsidP="00881B08">
      <w:pPr>
        <w:pStyle w:val="ListParagraph"/>
        <w:numPr>
          <w:ilvl w:val="0"/>
          <w:numId w:val="43"/>
        </w:numPr>
        <w:suppressAutoHyphens w:val="0"/>
        <w:spacing w:before="0" w:after="200"/>
        <w:jc w:val="left"/>
        <w:rPr>
          <w:rStyle w:val="Strong"/>
        </w:rPr>
      </w:pPr>
      <w:r>
        <w:rPr>
          <w:rStyle w:val="Strong"/>
        </w:rPr>
        <w:t xml:space="preserve">This matter will be further addressed as part of the detailed planning for the proposed growth areas. </w:t>
      </w:r>
    </w:p>
    <w:p w14:paraId="52BD1C3B" w14:textId="47CF4678" w:rsidR="00881B08" w:rsidRDefault="00881B08" w:rsidP="00881B08">
      <w:pPr>
        <w:pStyle w:val="Caption"/>
      </w:pPr>
      <w:bookmarkStart w:id="29" w:name="_Toc53406612"/>
      <w:r>
        <w:t xml:space="preserve">Figure </w:t>
      </w:r>
      <w:r w:rsidR="002F1993">
        <w:fldChar w:fldCharType="begin"/>
      </w:r>
      <w:r w:rsidR="002F1993">
        <w:instrText xml:space="preserve"> SEQ Figure \* ARABIC </w:instrText>
      </w:r>
      <w:r w:rsidR="002F1993">
        <w:fldChar w:fldCharType="separate"/>
      </w:r>
      <w:r>
        <w:rPr>
          <w:noProof/>
        </w:rPr>
        <w:t>8</w:t>
      </w:r>
      <w:r w:rsidR="002F1993">
        <w:rPr>
          <w:noProof/>
        </w:rPr>
        <w:fldChar w:fldCharType="end"/>
      </w:r>
      <w:r>
        <w:t xml:space="preserve"> </w:t>
      </w:r>
      <w:r w:rsidR="0072244E" w:rsidRPr="0072244E">
        <w:rPr>
          <w:color w:val="auto"/>
        </w:rPr>
        <w:t>Concept drainage assets</w:t>
      </w:r>
      <w:bookmarkEnd w:id="29"/>
    </w:p>
    <w:p w14:paraId="105BDC88" w14:textId="6E059553" w:rsidR="00881B08" w:rsidRPr="00881B08" w:rsidRDefault="00881B08" w:rsidP="00881B08">
      <w:r>
        <w:rPr>
          <w:noProof/>
        </w:rPr>
        <w:drawing>
          <wp:inline distT="0" distB="0" distL="0" distR="0" wp14:anchorId="673E7F38" wp14:editId="0E18C7AA">
            <wp:extent cx="5576570" cy="398526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76570" cy="3985260"/>
                    </a:xfrm>
                    <a:prstGeom prst="rect">
                      <a:avLst/>
                    </a:prstGeom>
                  </pic:spPr>
                </pic:pic>
              </a:graphicData>
            </a:graphic>
          </wp:inline>
        </w:drawing>
      </w:r>
    </w:p>
    <w:p w14:paraId="0916151C" w14:textId="6D69A4A5" w:rsidR="00756099" w:rsidRDefault="002B284B" w:rsidP="009B17E8">
      <w:pPr>
        <w:pStyle w:val="Heading1"/>
      </w:pPr>
      <w:bookmarkStart w:id="30" w:name="_Toc53406553"/>
      <w:r>
        <w:lastRenderedPageBreak/>
        <w:t>Bushfire</w:t>
      </w:r>
      <w:bookmarkEnd w:id="30"/>
    </w:p>
    <w:p w14:paraId="684D6422" w14:textId="77777777" w:rsidR="00412483" w:rsidRDefault="00412483" w:rsidP="00412483">
      <w:pPr>
        <w:rPr>
          <w:lang w:eastAsia="en-US"/>
        </w:rPr>
      </w:pPr>
      <w:r>
        <w:rPr>
          <w:lang w:eastAsia="en-US"/>
        </w:rPr>
        <w:t xml:space="preserve">Ecology and Heritage Partners Pty Ltd prepared the </w:t>
      </w:r>
      <w:r>
        <w:rPr>
          <w:i/>
          <w:iCs/>
          <w:lang w:eastAsia="en-US"/>
        </w:rPr>
        <w:t xml:space="preserve">Strategic Bushfire Risk Assessment </w:t>
      </w:r>
      <w:r>
        <w:rPr>
          <w:lang w:eastAsia="en-US"/>
        </w:rPr>
        <w:t xml:space="preserve">(August 2020) to inform the identification of precincts and directing development area from identified bushfire hazards. The report includes an assessment of the study against relevant bushfire legislation, namely Clause 13.02-1S Bushfire, Clause 44.06 Bushfire Management Overlay, Clause 53.02 Planning for Bushfire and the BPA.  </w:t>
      </w:r>
    </w:p>
    <w:p w14:paraId="7C07558C" w14:textId="77777777" w:rsidR="00412483" w:rsidRDefault="00412483" w:rsidP="00412483">
      <w:pPr>
        <w:rPr>
          <w:lang w:eastAsia="en-US"/>
        </w:rPr>
      </w:pPr>
      <w:r>
        <w:rPr>
          <w:lang w:eastAsia="en-US"/>
        </w:rPr>
        <w:t>Key findings included:</w:t>
      </w:r>
    </w:p>
    <w:p w14:paraId="4069DCF6" w14:textId="77777777" w:rsidR="00412483" w:rsidRPr="00412483" w:rsidRDefault="00412483" w:rsidP="00412483">
      <w:pPr>
        <w:pStyle w:val="List1bullet"/>
      </w:pPr>
      <w:r>
        <w:rPr>
          <w:lang w:eastAsia="en-US"/>
        </w:rPr>
        <w:t>When considering potential growth directions, t</w:t>
      </w:r>
      <w:r w:rsidRPr="006820F8">
        <w:rPr>
          <w:lang w:eastAsia="en-US"/>
        </w:rPr>
        <w:t>he assessment concluded</w:t>
      </w:r>
      <w:r>
        <w:rPr>
          <w:lang w:eastAsia="en-US"/>
        </w:rPr>
        <w:t xml:space="preserve"> </w:t>
      </w:r>
      <w:r w:rsidRPr="006820F8">
        <w:rPr>
          <w:lang w:eastAsia="en-US"/>
        </w:rPr>
        <w:t xml:space="preserve">that development in the </w:t>
      </w:r>
      <w:r w:rsidRPr="00412483">
        <w:t>north and west would have a similar bushfire risk to the south. The east was identified as having a lower risk compared to the south.</w:t>
      </w:r>
    </w:p>
    <w:p w14:paraId="384EA202" w14:textId="52C46206" w:rsidR="00412483" w:rsidRPr="00412483" w:rsidRDefault="00412483" w:rsidP="00412483">
      <w:pPr>
        <w:pStyle w:val="List1bullet"/>
      </w:pPr>
      <w:r w:rsidRPr="00412483">
        <w:t xml:space="preserve">Through the implementation of the findings of the assessment, the study area will meet the objectives and strategies of Clause 13.02-1A via the incorporation of the recommended BAL construction standards and commensurate separation distances (see </w:t>
      </w:r>
      <w:r w:rsidRPr="00A8287C">
        <w:rPr>
          <w:b/>
          <w:bCs/>
        </w:rPr>
        <w:t xml:space="preserve">Figure </w:t>
      </w:r>
      <w:r w:rsidR="00A8287C" w:rsidRPr="00A8287C">
        <w:rPr>
          <w:b/>
          <w:bCs/>
        </w:rPr>
        <w:t>9</w:t>
      </w:r>
      <w:r w:rsidRPr="00412483">
        <w:t>).</w:t>
      </w:r>
    </w:p>
    <w:p w14:paraId="3BA9FBFF" w14:textId="77777777" w:rsidR="00412483" w:rsidRPr="00412483" w:rsidRDefault="00412483" w:rsidP="00412483">
      <w:pPr>
        <w:pStyle w:val="List1bullet"/>
      </w:pPr>
      <w:r w:rsidRPr="00412483">
        <w:t xml:space="preserve">Other fire mitigation measures would include maintaining the open space, parkland, waterways and sporting facilities in a low threat state, providing a hydrant network, providing adequate access for emergency vehicles throughout the precinct and providing a 22-metre-wide rolling front buffer around any new buildings during construction phase. </w:t>
      </w:r>
    </w:p>
    <w:p w14:paraId="0335343E" w14:textId="4EAB0AEF" w:rsidR="00412483" w:rsidRPr="00412483" w:rsidRDefault="00412483" w:rsidP="00412483">
      <w:pPr>
        <w:pStyle w:val="List1bullet"/>
      </w:pPr>
      <w:r w:rsidRPr="00412483">
        <w:t>As part of future subdivision, classified vegetation will potentially be required to be ground</w:t>
      </w:r>
      <w:r w:rsidR="009F57DA">
        <w:t>-t</w:t>
      </w:r>
      <w:r w:rsidRPr="00412483">
        <w:t>ruthe</w:t>
      </w:r>
      <w:r w:rsidR="009F57DA">
        <w:t>d</w:t>
      </w:r>
      <w:r w:rsidRPr="00412483">
        <w:t xml:space="preserve"> and further investigation may be required to determine the relevant bushfire mitigation measures and appropriate BAL construction standards in response to classified vegetation </w:t>
      </w:r>
    </w:p>
    <w:p w14:paraId="2B21D065" w14:textId="77777777" w:rsidR="00412483" w:rsidRPr="00412483" w:rsidRDefault="00412483" w:rsidP="00412483">
      <w:pPr>
        <w:pStyle w:val="List1bullet"/>
      </w:pPr>
      <w:r w:rsidRPr="00412483">
        <w:t xml:space="preserve">If dwellings are constructed in within the Bushfire Management Overlay, a Bushfire Management Statement must be produced to effectively respond to Clause 44.06 Bushfire Planning and mitigate the higher level of bushfire threat. </w:t>
      </w:r>
    </w:p>
    <w:p w14:paraId="4B446A11" w14:textId="77777777" w:rsidR="00412483" w:rsidRDefault="00412483" w:rsidP="00412483">
      <w:pPr>
        <w:pStyle w:val="List1bullet"/>
        <w:rPr>
          <w:lang w:eastAsia="en-US"/>
        </w:rPr>
      </w:pPr>
      <w:r w:rsidRPr="00412483">
        <w:t>Future developments</w:t>
      </w:r>
      <w:r>
        <w:rPr>
          <w:lang w:eastAsia="en-US"/>
        </w:rPr>
        <w:t xml:space="preserve"> within the BPA and BMO may also be required to submit a Bushfire Management Plan which addresses the mitigation measures to effectively respond to classified vegetation within the study area during construction. </w:t>
      </w:r>
    </w:p>
    <w:p w14:paraId="38BD6745" w14:textId="77777777" w:rsidR="00A8287C" w:rsidRDefault="00A8287C" w:rsidP="00A8287C">
      <w:pPr>
        <w:pStyle w:val="List1bullet"/>
        <w:numPr>
          <w:ilvl w:val="0"/>
          <w:numId w:val="0"/>
        </w:numPr>
        <w:rPr>
          <w:lang w:eastAsia="en-US"/>
        </w:rPr>
      </w:pPr>
      <w:r>
        <w:rPr>
          <w:lang w:eastAsia="en-US"/>
        </w:rPr>
        <w:t>In summary:</w:t>
      </w:r>
    </w:p>
    <w:p w14:paraId="3F95283F" w14:textId="57772C10" w:rsidR="00A8287C" w:rsidRPr="00A8287C" w:rsidRDefault="00A8287C" w:rsidP="00A8287C">
      <w:pPr>
        <w:pStyle w:val="ListParagraph"/>
        <w:numPr>
          <w:ilvl w:val="0"/>
          <w:numId w:val="43"/>
        </w:numPr>
        <w:suppressAutoHyphens w:val="0"/>
        <w:spacing w:before="0" w:after="200"/>
        <w:jc w:val="left"/>
        <w:rPr>
          <w:rFonts w:cs="Arial"/>
          <w:b/>
          <w:bCs/>
          <w:i/>
          <w:iCs/>
        </w:rPr>
      </w:pPr>
      <w:r w:rsidRPr="00A8287C">
        <w:rPr>
          <w:b/>
          <w:bCs/>
          <w:i/>
          <w:iCs/>
        </w:rPr>
        <w:t>Through the implementation of the findings of the assessment, the study area will meet the objectives and strategies of Clause 13.02-1A via the incorporation of the recommended BAL construction standards and commensurate separation distances</w:t>
      </w:r>
      <w:r>
        <w:rPr>
          <w:b/>
          <w:bCs/>
          <w:i/>
          <w:iCs/>
        </w:rPr>
        <w:t xml:space="preserve"> (see Figure 9)</w:t>
      </w:r>
      <w:r w:rsidRPr="00A8287C">
        <w:rPr>
          <w:b/>
          <w:bCs/>
          <w:i/>
          <w:iCs/>
        </w:rPr>
        <w:t xml:space="preserve">. </w:t>
      </w:r>
    </w:p>
    <w:p w14:paraId="28218166" w14:textId="5E9F1A02" w:rsidR="00A8287C" w:rsidRDefault="009F57DA" w:rsidP="00A8287C">
      <w:pPr>
        <w:pStyle w:val="ListParagraph"/>
        <w:numPr>
          <w:ilvl w:val="0"/>
          <w:numId w:val="43"/>
        </w:numPr>
        <w:suppressAutoHyphens w:val="0"/>
        <w:spacing w:before="0" w:after="200"/>
        <w:jc w:val="left"/>
        <w:rPr>
          <w:rStyle w:val="Strong"/>
        </w:rPr>
      </w:pPr>
      <w:r>
        <w:rPr>
          <w:rStyle w:val="Strong"/>
        </w:rPr>
        <w:t>Detailed bushfire risk mitigation measures will be applied a</w:t>
      </w:r>
      <w:r w:rsidR="00414CC4">
        <w:rPr>
          <w:rStyle w:val="Strong"/>
        </w:rPr>
        <w:t xml:space="preserve">s part of the planning for the proposed growth areas. </w:t>
      </w:r>
    </w:p>
    <w:p w14:paraId="72E7F0BC" w14:textId="5CCABD5F" w:rsidR="00414CC4" w:rsidRDefault="00414CC4" w:rsidP="00414CC4">
      <w:pPr>
        <w:pStyle w:val="ListParagraph"/>
        <w:numPr>
          <w:ilvl w:val="0"/>
          <w:numId w:val="43"/>
        </w:numPr>
        <w:suppressAutoHyphens w:val="0"/>
        <w:spacing w:before="0" w:after="200"/>
        <w:jc w:val="left"/>
        <w:rPr>
          <w:rStyle w:val="Strong"/>
        </w:rPr>
      </w:pPr>
      <w:r>
        <w:rPr>
          <w:rStyle w:val="Strong"/>
        </w:rPr>
        <w:t xml:space="preserve">This matter will be further addressed as part of the detailed planning for the proposed growth areas. </w:t>
      </w:r>
    </w:p>
    <w:p w14:paraId="6049725F" w14:textId="77777777" w:rsidR="00A8287C" w:rsidRDefault="00A8287C" w:rsidP="0072244E">
      <w:pPr>
        <w:pStyle w:val="List1bullet"/>
        <w:numPr>
          <w:ilvl w:val="0"/>
          <w:numId w:val="0"/>
        </w:numPr>
        <w:ind w:left="284" w:hanging="284"/>
        <w:rPr>
          <w:lang w:eastAsia="en-US"/>
        </w:rPr>
      </w:pPr>
    </w:p>
    <w:p w14:paraId="1AA5E193" w14:textId="4C2FAB45" w:rsidR="00412483" w:rsidRDefault="00412483" w:rsidP="00412483">
      <w:pPr>
        <w:pStyle w:val="Caption"/>
        <w:rPr>
          <w:lang w:eastAsia="en-US"/>
        </w:rPr>
      </w:pPr>
      <w:bookmarkStart w:id="31" w:name="_Toc53406613"/>
      <w:r>
        <w:lastRenderedPageBreak/>
        <w:t xml:space="preserve">Figure </w:t>
      </w:r>
      <w:r w:rsidR="002F1993">
        <w:fldChar w:fldCharType="begin"/>
      </w:r>
      <w:r w:rsidR="002F1993">
        <w:instrText xml:space="preserve"> SEQ Figure \* ARABIC </w:instrText>
      </w:r>
      <w:r w:rsidR="002F1993">
        <w:fldChar w:fldCharType="separate"/>
      </w:r>
      <w:r w:rsidR="00881B08">
        <w:rPr>
          <w:noProof/>
        </w:rPr>
        <w:t>9</w:t>
      </w:r>
      <w:r w:rsidR="002F1993">
        <w:rPr>
          <w:noProof/>
        </w:rPr>
        <w:fldChar w:fldCharType="end"/>
      </w:r>
      <w:r>
        <w:t xml:space="preserve"> </w:t>
      </w:r>
      <w:r w:rsidRPr="00F34DB5">
        <w:rPr>
          <w:color w:val="auto"/>
        </w:rPr>
        <w:t>BAL 12.5 separation distances</w:t>
      </w:r>
      <w:bookmarkEnd w:id="31"/>
      <w:r w:rsidRPr="00F34DB5">
        <w:rPr>
          <w:color w:val="auto"/>
        </w:rPr>
        <w:t xml:space="preserve"> </w:t>
      </w:r>
    </w:p>
    <w:p w14:paraId="68CB7E3F" w14:textId="77777777" w:rsidR="00412483" w:rsidRPr="00E92D1C" w:rsidRDefault="00412483" w:rsidP="00412483">
      <w:pPr>
        <w:rPr>
          <w:lang w:eastAsia="en-US"/>
        </w:rPr>
      </w:pPr>
      <w:r>
        <w:rPr>
          <w:noProof/>
        </w:rPr>
        <w:drawing>
          <wp:inline distT="0" distB="0" distL="0" distR="0" wp14:anchorId="4856F23D" wp14:editId="4A97FC3B">
            <wp:extent cx="5576570" cy="3902075"/>
            <wp:effectExtent l="0" t="0" r="508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76570" cy="3902075"/>
                    </a:xfrm>
                    <a:prstGeom prst="rect">
                      <a:avLst/>
                    </a:prstGeom>
                  </pic:spPr>
                </pic:pic>
              </a:graphicData>
            </a:graphic>
          </wp:inline>
        </w:drawing>
      </w:r>
    </w:p>
    <w:p w14:paraId="61B7196A" w14:textId="77777777" w:rsidR="00412483" w:rsidRDefault="00412483" w:rsidP="00412483">
      <w:r>
        <w:t xml:space="preserve"> </w:t>
      </w:r>
    </w:p>
    <w:p w14:paraId="08DE4275" w14:textId="77777777" w:rsidR="002B284B" w:rsidRPr="002B284B" w:rsidRDefault="002B284B" w:rsidP="002B284B">
      <w:pPr>
        <w:rPr>
          <w:lang w:eastAsia="en-US"/>
        </w:rPr>
      </w:pPr>
    </w:p>
    <w:p w14:paraId="3E616B85" w14:textId="77777777" w:rsidR="00937364" w:rsidRPr="004D7343" w:rsidRDefault="00937364" w:rsidP="00937364">
      <w:pPr>
        <w:rPr>
          <w:vanish/>
          <w:color w:val="9CA0A3" w:themeColor="accent4"/>
        </w:rPr>
        <w:sectPr w:rsidR="00937364" w:rsidRPr="004D7343" w:rsidSect="00937364">
          <w:footerReference w:type="even" r:id="rId25"/>
          <w:footerReference w:type="default" r:id="rId26"/>
          <w:pgSz w:w="11901" w:h="16846" w:code="9"/>
          <w:pgMar w:top="1701" w:right="1134" w:bottom="851" w:left="1985" w:header="283" w:footer="0" w:gutter="0"/>
          <w:pgNumType w:start="1"/>
          <w:cols w:space="720"/>
          <w:docGrid w:linePitch="299"/>
        </w:sectPr>
      </w:pPr>
      <w:r w:rsidRPr="004D7343">
        <w:rPr>
          <w:vanish/>
          <w:color w:val="9CA0A3" w:themeColor="accent4"/>
        </w:rPr>
        <w:t xml:space="preserve">(section break for back page – do not delete) </w:t>
      </w:r>
    </w:p>
    <w:p w14:paraId="3A66A5F5" w14:textId="77777777" w:rsidR="00937364" w:rsidRPr="00112F07" w:rsidRDefault="00937364" w:rsidP="00937364">
      <w:pPr>
        <w:rPr>
          <w:vanish/>
          <w:color w:val="9CA0A3" w:themeColor="accent4"/>
        </w:rPr>
      </w:pPr>
      <w:r w:rsidRPr="00112F07">
        <w:rPr>
          <w:vanish/>
          <w:color w:val="9CA0A3" w:themeColor="accent4"/>
        </w:rPr>
        <w:t>(back page</w:t>
      </w:r>
      <w:r>
        <w:rPr>
          <w:vanish/>
          <w:color w:val="9CA0A3" w:themeColor="accent4"/>
        </w:rPr>
        <w:t xml:space="preserve"> – do not delete</w:t>
      </w:r>
      <w:r w:rsidRPr="00112F07">
        <w:rPr>
          <w:vanish/>
          <w:color w:val="9CA0A3" w:themeColor="accent4"/>
        </w:rPr>
        <w:t>)</w:t>
      </w:r>
    </w:p>
    <w:p w14:paraId="0EF97D47" w14:textId="77777777" w:rsidR="00937364" w:rsidRPr="006025C6" w:rsidRDefault="00937364" w:rsidP="00937364"/>
    <w:p w14:paraId="1447B508" w14:textId="77777777" w:rsidR="00987CB7" w:rsidRPr="00987CB7" w:rsidRDefault="00987CB7" w:rsidP="00987CB7"/>
    <w:sectPr w:rsidR="00987CB7" w:rsidRPr="00987CB7" w:rsidSect="00937364">
      <w:headerReference w:type="even" r:id="rId27"/>
      <w:headerReference w:type="default" r:id="rId28"/>
      <w:footerReference w:type="even" r:id="rId29"/>
      <w:footerReference w:type="default" r:id="rId30"/>
      <w:pgSz w:w="11901" w:h="16846" w:code="9"/>
      <w:pgMar w:top="1701" w:right="1418" w:bottom="851" w:left="1985" w:header="284"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34AABC" w14:textId="77777777" w:rsidR="009C0CAD" w:rsidRDefault="009C0CAD">
      <w:pPr>
        <w:spacing w:before="0"/>
      </w:pPr>
      <w:r>
        <w:separator/>
      </w:r>
    </w:p>
    <w:p w14:paraId="7686E3EE" w14:textId="77777777" w:rsidR="009C0CAD" w:rsidRDefault="009C0CAD"/>
    <w:p w14:paraId="2FE32868" w14:textId="77777777" w:rsidR="009C0CAD" w:rsidRDefault="009C0CAD"/>
  </w:endnote>
  <w:endnote w:type="continuationSeparator" w:id="0">
    <w:p w14:paraId="539E9761" w14:textId="77777777" w:rsidR="009C0CAD" w:rsidRDefault="009C0CAD">
      <w:pPr>
        <w:spacing w:before="0"/>
      </w:pPr>
      <w:r>
        <w:continuationSeparator/>
      </w:r>
    </w:p>
    <w:p w14:paraId="06225010" w14:textId="77777777" w:rsidR="009C0CAD" w:rsidRDefault="009C0CAD"/>
    <w:p w14:paraId="6D6637E6" w14:textId="77777777" w:rsidR="009C0CAD" w:rsidRDefault="009C0CAD"/>
  </w:endnote>
  <w:endnote w:type="continuationNotice" w:id="1">
    <w:p w14:paraId="675F42BA" w14:textId="77777777" w:rsidR="009C0CAD" w:rsidRDefault="009C0CAD">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embedRegular r:id="rId1" w:fontKey="{1566F79F-F8C2-466B-A5FE-4AADADA07E75}"/>
    <w:embedBold r:id="rId2" w:fontKey="{3348A051-3448-4B99-AE59-BB05C1FA1974}"/>
    <w:embedItalic r:id="rId3" w:fontKey="{7C8885F7-4B6C-4540-BE1E-E44AE14FFF19}"/>
    <w:embedBoldItalic r:id="rId4" w:fontKey="{F74CD4BD-0715-4049-8A53-D2908A8311DB}"/>
  </w:font>
  <w:font w:name="VIC SemiBold">
    <w:panose1 w:val="00000700000000000000"/>
    <w:charset w:val="00"/>
    <w:family w:val="modern"/>
    <w:notTrueType/>
    <w:pitch w:val="variable"/>
    <w:sig w:usb0="00000007" w:usb1="00000000" w:usb2="00000000" w:usb3="00000000" w:csb0="00000093" w:csb1="00000000"/>
  </w:font>
  <w:font w:name="Times">
    <w:panose1 w:val="02020603050405020304"/>
    <w:charset w:val="00"/>
    <w:family w:val="roman"/>
    <w:pitch w:val="variable"/>
    <w:sig w:usb0="E0002EFF" w:usb1="C000785B" w:usb2="00000009" w:usb3="00000000" w:csb0="000001FF" w:csb1="00000000"/>
  </w:font>
  <w:font w:name="Arial Bold">
    <w:panose1 w:val="020B0704020202020204"/>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IC">
    <w:panose1 w:val="00000500000000000000"/>
    <w:charset w:val="00"/>
    <w:family w:val="modern"/>
    <w:notTrueType/>
    <w:pitch w:val="variable"/>
    <w:sig w:usb0="00000007" w:usb1="00000000" w:usb2="00000000" w:usb3="00000000" w:csb0="00000093" w:csb1="00000000"/>
  </w:font>
  <w:font w:name="Swis721 BlkCn BT">
    <w:altName w:val="Arial"/>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embedRegular r:id="rId5" w:subsetted="1" w:fontKey="{24B0CB44-796A-48B5-9D12-65518BF7EFC6}"/>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1339" w:type="dxa"/>
      <w:tblInd w:w="-1701" w:type="dxa"/>
      <w:tblBorders>
        <w:bottom w:val="none" w:sz="0" w:space="0" w:color="auto"/>
        <w:insideH w:val="none" w:sz="0" w:space="0" w:color="auto"/>
      </w:tblBorders>
      <w:shd w:val="clear" w:color="auto" w:fill="004C97" w:themeFill="accent1"/>
      <w:tblLook w:val="04A0" w:firstRow="1" w:lastRow="0" w:firstColumn="1" w:lastColumn="0" w:noHBand="0" w:noVBand="1"/>
    </w:tblPr>
    <w:tblGrid>
      <w:gridCol w:w="567"/>
      <w:gridCol w:w="10772"/>
    </w:tblGrid>
    <w:tr w:rsidR="001352AE" w14:paraId="30C1FF8E" w14:textId="77777777" w:rsidTr="00255C40">
      <w:trPr>
        <w:trHeight w:val="283"/>
      </w:trPr>
      <w:tc>
        <w:tcPr>
          <w:tcW w:w="567" w:type="dxa"/>
          <w:shd w:val="clear" w:color="auto" w:fill="93C8E7"/>
          <w:vAlign w:val="center"/>
        </w:tcPr>
        <w:p w14:paraId="34CA7B60" w14:textId="77777777" w:rsidR="001352AE" w:rsidRPr="005C5489" w:rsidRDefault="00337B9D" w:rsidP="00481C3C">
          <w:pPr>
            <w:spacing w:before="0"/>
            <w:jc w:val="left"/>
            <w:rPr>
              <w:rFonts w:cs="Arial"/>
              <w:b/>
            </w:rPr>
          </w:pPr>
          <w:r w:rsidRPr="005C5489">
            <w:rPr>
              <w:rFonts w:cs="Arial"/>
              <w:b/>
              <w:color w:val="FFFFFF" w:themeColor="background1"/>
            </w:rPr>
            <w:fldChar w:fldCharType="begin"/>
          </w:r>
          <w:r w:rsidRPr="005C5489">
            <w:rPr>
              <w:rFonts w:cs="Arial"/>
              <w:b/>
              <w:color w:val="FFFFFF" w:themeColor="background1"/>
            </w:rPr>
            <w:instrText xml:space="preserve"> PAGE  \* roman  \* MERGEFORMAT </w:instrText>
          </w:r>
          <w:r w:rsidRPr="005C5489">
            <w:rPr>
              <w:rFonts w:cs="Arial"/>
              <w:b/>
              <w:color w:val="FFFFFF" w:themeColor="background1"/>
            </w:rPr>
            <w:fldChar w:fldCharType="separate"/>
          </w:r>
          <w:r w:rsidR="00BC3117">
            <w:rPr>
              <w:rFonts w:cs="Arial"/>
              <w:b/>
              <w:noProof/>
              <w:color w:val="FFFFFF" w:themeColor="background1"/>
            </w:rPr>
            <w:t>iv</w:t>
          </w:r>
          <w:r w:rsidRPr="005C5489">
            <w:rPr>
              <w:rFonts w:cs="Arial"/>
              <w:b/>
              <w:color w:val="FFFFFF" w:themeColor="background1"/>
            </w:rPr>
            <w:fldChar w:fldCharType="end"/>
          </w:r>
        </w:p>
      </w:tc>
      <w:tc>
        <w:tcPr>
          <w:tcW w:w="10772" w:type="dxa"/>
          <w:shd w:val="clear" w:color="auto" w:fill="004C97" w:themeFill="accent1"/>
          <w:vAlign w:val="center"/>
        </w:tcPr>
        <w:p w14:paraId="56EBD7C8" w14:textId="77777777" w:rsidR="001352AE" w:rsidRPr="00552F9A" w:rsidRDefault="001352AE" w:rsidP="00481C3C">
          <w:pPr>
            <w:tabs>
              <w:tab w:val="clear" w:pos="425"/>
              <w:tab w:val="clear" w:pos="709"/>
              <w:tab w:val="clear" w:pos="992"/>
            </w:tabs>
            <w:spacing w:before="0"/>
            <w:jc w:val="right"/>
            <w:rPr>
              <w:rFonts w:cs="Arial"/>
              <w:caps/>
            </w:rPr>
          </w:pPr>
          <w:r w:rsidRPr="00552F9A">
            <w:rPr>
              <w:rFonts w:cs="Arial"/>
              <w:caps/>
              <w:color w:val="FFFFFF" w:themeColor="background1"/>
              <w:sz w:val="18"/>
            </w:rPr>
            <w:t>PROJECT NAME – PUBLICATION MONTH YEAR</w:t>
          </w:r>
        </w:p>
      </w:tc>
    </w:tr>
  </w:tbl>
  <w:p w14:paraId="1D75B3A5" w14:textId="77777777" w:rsidR="001352AE" w:rsidRPr="00255C40" w:rsidRDefault="001352AE" w:rsidP="009957D3">
    <w:pPr>
      <w:pStyle w:val="Footer"/>
      <w:rPr>
        <w:color w:val="93C8E7"/>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1339" w:type="dxa"/>
      <w:tblInd w:w="-1701" w:type="dxa"/>
      <w:tblBorders>
        <w:bottom w:val="none" w:sz="0" w:space="0" w:color="auto"/>
        <w:insideH w:val="none" w:sz="0" w:space="0" w:color="auto"/>
      </w:tblBorders>
      <w:shd w:val="clear" w:color="auto" w:fill="004C97" w:themeFill="accent1"/>
      <w:tblLook w:val="04A0" w:firstRow="1" w:lastRow="0" w:firstColumn="1" w:lastColumn="0" w:noHBand="0" w:noVBand="1"/>
    </w:tblPr>
    <w:tblGrid>
      <w:gridCol w:w="10772"/>
      <w:gridCol w:w="567"/>
    </w:tblGrid>
    <w:tr w:rsidR="00960918" w:rsidRPr="005C5489" w14:paraId="3EE51408" w14:textId="77777777" w:rsidTr="009501FD">
      <w:trPr>
        <w:trHeight w:val="283"/>
      </w:trPr>
      <w:tc>
        <w:tcPr>
          <w:tcW w:w="10772" w:type="dxa"/>
          <w:shd w:val="clear" w:color="auto" w:fill="004C97"/>
          <w:vAlign w:val="center"/>
        </w:tcPr>
        <w:p w14:paraId="1A0697F3" w14:textId="77777777" w:rsidR="00960918" w:rsidRPr="005C5489" w:rsidRDefault="00960918" w:rsidP="00481C3C">
          <w:pPr>
            <w:tabs>
              <w:tab w:val="clear" w:pos="425"/>
              <w:tab w:val="clear" w:pos="709"/>
              <w:tab w:val="clear" w:pos="992"/>
            </w:tabs>
            <w:spacing w:before="0"/>
            <w:jc w:val="left"/>
            <w:rPr>
              <w:rFonts w:cs="Arial"/>
              <w:caps/>
            </w:rPr>
          </w:pPr>
          <w:r w:rsidRPr="005C5489">
            <w:rPr>
              <w:rFonts w:cs="Arial"/>
              <w:caps/>
              <w:color w:val="FFFFFF" w:themeColor="background1"/>
              <w:sz w:val="18"/>
            </w:rPr>
            <w:t>PROJECT NAME – PUBLICATION MONTH YEAR</w:t>
          </w:r>
        </w:p>
      </w:tc>
      <w:tc>
        <w:tcPr>
          <w:tcW w:w="567" w:type="dxa"/>
          <w:shd w:val="clear" w:color="auto" w:fill="93C8E7"/>
        </w:tcPr>
        <w:p w14:paraId="0A000C50" w14:textId="77777777" w:rsidR="00960918" w:rsidRPr="005C5489" w:rsidRDefault="00337B9D" w:rsidP="00481C3C">
          <w:pPr>
            <w:spacing w:before="0"/>
            <w:jc w:val="right"/>
            <w:rPr>
              <w:rFonts w:cs="Arial"/>
              <w:b/>
              <w:color w:val="FFFFFF" w:themeColor="background1"/>
            </w:rPr>
          </w:pPr>
          <w:r w:rsidRPr="005C5489">
            <w:rPr>
              <w:rFonts w:cs="Arial"/>
              <w:b/>
              <w:color w:val="FFFFFF" w:themeColor="background1"/>
            </w:rPr>
            <w:fldChar w:fldCharType="begin"/>
          </w:r>
          <w:r w:rsidRPr="005C5489">
            <w:rPr>
              <w:rFonts w:cs="Arial"/>
              <w:b/>
              <w:color w:val="FFFFFF" w:themeColor="background1"/>
            </w:rPr>
            <w:instrText xml:space="preserve"> PAGE  \* roman  \* MERGEFORMAT </w:instrText>
          </w:r>
          <w:r w:rsidRPr="005C5489">
            <w:rPr>
              <w:rFonts w:cs="Arial"/>
              <w:b/>
              <w:color w:val="FFFFFF" w:themeColor="background1"/>
            </w:rPr>
            <w:fldChar w:fldCharType="separate"/>
          </w:r>
          <w:r w:rsidR="00BC3117">
            <w:rPr>
              <w:rFonts w:cs="Arial"/>
              <w:b/>
              <w:noProof/>
              <w:color w:val="FFFFFF" w:themeColor="background1"/>
            </w:rPr>
            <w:t>iii</w:t>
          </w:r>
          <w:r w:rsidRPr="005C5489">
            <w:rPr>
              <w:rFonts w:cs="Arial"/>
              <w:b/>
              <w:color w:val="FFFFFF" w:themeColor="background1"/>
            </w:rPr>
            <w:fldChar w:fldCharType="end"/>
          </w:r>
        </w:p>
      </w:tc>
    </w:tr>
  </w:tbl>
  <w:p w14:paraId="753E4EDF" w14:textId="77777777" w:rsidR="00960918" w:rsidRDefault="0096091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1339" w:type="dxa"/>
      <w:tblInd w:w="-1701" w:type="dxa"/>
      <w:tblBorders>
        <w:bottom w:val="none" w:sz="0" w:space="0" w:color="auto"/>
        <w:insideH w:val="none" w:sz="0" w:space="0" w:color="auto"/>
      </w:tblBorders>
      <w:shd w:val="clear" w:color="auto" w:fill="004C97" w:themeFill="accent1"/>
      <w:tblLook w:val="04A0" w:firstRow="1" w:lastRow="0" w:firstColumn="1" w:lastColumn="0" w:noHBand="0" w:noVBand="1"/>
    </w:tblPr>
    <w:tblGrid>
      <w:gridCol w:w="567"/>
      <w:gridCol w:w="10772"/>
    </w:tblGrid>
    <w:tr w:rsidR="00937364" w14:paraId="12A5552C" w14:textId="77777777" w:rsidTr="00EC54A1">
      <w:trPr>
        <w:trHeight w:val="283"/>
      </w:trPr>
      <w:tc>
        <w:tcPr>
          <w:tcW w:w="567" w:type="dxa"/>
          <w:shd w:val="clear" w:color="auto" w:fill="63B9E9"/>
          <w:vAlign w:val="center"/>
        </w:tcPr>
        <w:p w14:paraId="19FF9EA6" w14:textId="77777777" w:rsidR="00937364" w:rsidRPr="005C5489" w:rsidRDefault="00937364" w:rsidP="00EC54A1">
          <w:pPr>
            <w:spacing w:before="0"/>
            <w:jc w:val="left"/>
            <w:rPr>
              <w:rFonts w:cs="Arial"/>
              <w:b/>
            </w:rPr>
          </w:pPr>
          <w:r w:rsidRPr="005C5489">
            <w:rPr>
              <w:rFonts w:cs="Arial"/>
              <w:b/>
              <w:color w:val="FFFFFF" w:themeColor="background1"/>
            </w:rPr>
            <w:fldChar w:fldCharType="begin"/>
          </w:r>
          <w:r w:rsidRPr="005C5489">
            <w:rPr>
              <w:rFonts w:cs="Arial"/>
              <w:b/>
              <w:color w:val="FFFFFF" w:themeColor="background1"/>
            </w:rPr>
            <w:instrText xml:space="preserve"> PAGE   \* MERGEFORMAT </w:instrText>
          </w:r>
          <w:r w:rsidRPr="005C5489">
            <w:rPr>
              <w:rFonts w:cs="Arial"/>
              <w:b/>
              <w:color w:val="FFFFFF" w:themeColor="background1"/>
            </w:rPr>
            <w:fldChar w:fldCharType="separate"/>
          </w:r>
          <w:r w:rsidR="008865F6">
            <w:rPr>
              <w:rFonts w:cs="Arial"/>
              <w:b/>
              <w:noProof/>
              <w:color w:val="FFFFFF" w:themeColor="background1"/>
            </w:rPr>
            <w:t>2</w:t>
          </w:r>
          <w:r w:rsidRPr="005C5489">
            <w:rPr>
              <w:rFonts w:cs="Arial"/>
              <w:b/>
              <w:noProof/>
              <w:color w:val="FFFFFF" w:themeColor="background1"/>
            </w:rPr>
            <w:fldChar w:fldCharType="end"/>
          </w:r>
        </w:p>
      </w:tc>
      <w:tc>
        <w:tcPr>
          <w:tcW w:w="10772" w:type="dxa"/>
          <w:shd w:val="clear" w:color="auto" w:fill="004C97" w:themeFill="accent1"/>
          <w:vAlign w:val="center"/>
        </w:tcPr>
        <w:p w14:paraId="7E761234" w14:textId="2386E068" w:rsidR="00937364" w:rsidRPr="00552F9A" w:rsidRDefault="003E1598" w:rsidP="00481C3C">
          <w:pPr>
            <w:tabs>
              <w:tab w:val="clear" w:pos="425"/>
              <w:tab w:val="clear" w:pos="709"/>
              <w:tab w:val="clear" w:pos="992"/>
            </w:tabs>
            <w:spacing w:before="0"/>
            <w:jc w:val="right"/>
            <w:rPr>
              <w:rFonts w:cs="Arial"/>
              <w:caps/>
            </w:rPr>
          </w:pPr>
          <w:r w:rsidRPr="003E1598">
            <w:rPr>
              <w:rFonts w:cs="Arial"/>
              <w:caps/>
              <w:color w:val="FFFFFF" w:themeColor="background1"/>
              <w:sz w:val="18"/>
            </w:rPr>
            <w:t>BANNOCKBURN GROWTH PLAN BACKGROUND REPORT – OCTOBER 2020</w:t>
          </w:r>
        </w:p>
      </w:tc>
    </w:tr>
  </w:tbl>
  <w:p w14:paraId="6BC12B42" w14:textId="77777777" w:rsidR="00937364" w:rsidRDefault="00937364" w:rsidP="009957D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1339" w:type="dxa"/>
      <w:tblInd w:w="-1701" w:type="dxa"/>
      <w:tblBorders>
        <w:bottom w:val="none" w:sz="0" w:space="0" w:color="auto"/>
        <w:insideH w:val="none" w:sz="0" w:space="0" w:color="auto"/>
      </w:tblBorders>
      <w:shd w:val="clear" w:color="auto" w:fill="004C97" w:themeFill="accent1"/>
      <w:tblLook w:val="04A0" w:firstRow="1" w:lastRow="0" w:firstColumn="1" w:lastColumn="0" w:noHBand="0" w:noVBand="1"/>
    </w:tblPr>
    <w:tblGrid>
      <w:gridCol w:w="10772"/>
      <w:gridCol w:w="567"/>
    </w:tblGrid>
    <w:tr w:rsidR="00937364" w14:paraId="1E2F52C9" w14:textId="77777777" w:rsidTr="00255C40">
      <w:trPr>
        <w:trHeight w:val="283"/>
      </w:trPr>
      <w:tc>
        <w:tcPr>
          <w:tcW w:w="10772" w:type="dxa"/>
          <w:shd w:val="clear" w:color="auto" w:fill="004C97" w:themeFill="accent1"/>
          <w:vAlign w:val="center"/>
        </w:tcPr>
        <w:p w14:paraId="23F6F56C" w14:textId="16D25CFB" w:rsidR="00937364" w:rsidRPr="005C5489" w:rsidRDefault="003E1598" w:rsidP="00481C3C">
          <w:pPr>
            <w:tabs>
              <w:tab w:val="clear" w:pos="425"/>
              <w:tab w:val="clear" w:pos="709"/>
              <w:tab w:val="clear" w:pos="992"/>
            </w:tabs>
            <w:spacing w:before="0"/>
            <w:jc w:val="left"/>
            <w:rPr>
              <w:rFonts w:cs="Arial"/>
              <w:caps/>
            </w:rPr>
          </w:pPr>
          <w:r w:rsidRPr="003E1598">
            <w:rPr>
              <w:rFonts w:cs="Arial"/>
              <w:caps/>
              <w:color w:val="FFFFFF" w:themeColor="background1"/>
              <w:sz w:val="18"/>
            </w:rPr>
            <w:t>BANNOCKBURN GROWTH PLAN BACKGROUND REPORT – OCTOBER 2020</w:t>
          </w:r>
        </w:p>
      </w:tc>
      <w:tc>
        <w:tcPr>
          <w:tcW w:w="567" w:type="dxa"/>
          <w:shd w:val="clear" w:color="auto" w:fill="93C8E7"/>
        </w:tcPr>
        <w:p w14:paraId="5432067A" w14:textId="77777777" w:rsidR="00937364" w:rsidRPr="005C5489" w:rsidRDefault="00937364" w:rsidP="00481C3C">
          <w:pPr>
            <w:spacing w:before="0"/>
            <w:jc w:val="right"/>
            <w:rPr>
              <w:rFonts w:cs="Arial"/>
              <w:b/>
              <w:color w:val="FFFFFF" w:themeColor="background1"/>
            </w:rPr>
          </w:pPr>
          <w:r w:rsidRPr="005C5489">
            <w:rPr>
              <w:rFonts w:cs="Arial"/>
              <w:b/>
              <w:color w:val="FFFFFF" w:themeColor="background1"/>
            </w:rPr>
            <w:fldChar w:fldCharType="begin"/>
          </w:r>
          <w:r w:rsidRPr="005C5489">
            <w:rPr>
              <w:rFonts w:cs="Arial"/>
              <w:b/>
              <w:color w:val="FFFFFF" w:themeColor="background1"/>
            </w:rPr>
            <w:instrText xml:space="preserve"> PAGE  \* Arabic  \* MERGEFORMAT </w:instrText>
          </w:r>
          <w:r w:rsidRPr="005C5489">
            <w:rPr>
              <w:rFonts w:cs="Arial"/>
              <w:b/>
              <w:color w:val="FFFFFF" w:themeColor="background1"/>
            </w:rPr>
            <w:fldChar w:fldCharType="separate"/>
          </w:r>
          <w:r w:rsidR="00BC3117">
            <w:rPr>
              <w:rFonts w:cs="Arial"/>
              <w:b/>
              <w:noProof/>
              <w:color w:val="FFFFFF" w:themeColor="background1"/>
            </w:rPr>
            <w:t>1</w:t>
          </w:r>
          <w:r w:rsidRPr="005C5489">
            <w:rPr>
              <w:rFonts w:cs="Arial"/>
              <w:b/>
              <w:color w:val="FFFFFF" w:themeColor="background1"/>
            </w:rPr>
            <w:fldChar w:fldCharType="end"/>
          </w:r>
        </w:p>
      </w:tc>
    </w:tr>
  </w:tbl>
  <w:p w14:paraId="1887A20B" w14:textId="77777777" w:rsidR="00937364" w:rsidRDefault="0093736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330C14" w14:textId="77777777" w:rsidR="00937364" w:rsidRDefault="00937364" w:rsidP="00937364">
    <w:pPr>
      <w:ind w:left="-709"/>
      <w:jc w:val="center"/>
      <w:rPr>
        <w:sz w:val="16"/>
      </w:rPr>
    </w:pPr>
    <w:r>
      <w:rPr>
        <w:rFonts w:ascii="Trebuchet MS" w:hAnsi="Trebuchet MS"/>
        <w:noProof/>
        <w:color w:val="9CA0A3" w:themeColor="accent4"/>
        <w:sz w:val="28"/>
        <w:szCs w:val="28"/>
      </w:rPr>
      <w:drawing>
        <wp:inline distT="0" distB="0" distL="0" distR="0" wp14:anchorId="4F7EC13C" wp14:editId="4CC80665">
          <wp:extent cx="1629187" cy="666301"/>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P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29187" cy="666301"/>
                  </a:xfrm>
                  <a:prstGeom prst="rect">
                    <a:avLst/>
                  </a:prstGeom>
                </pic:spPr>
              </pic:pic>
            </a:graphicData>
          </a:graphic>
        </wp:inline>
      </w:drawing>
    </w:r>
  </w:p>
  <w:p w14:paraId="7F633121" w14:textId="77777777" w:rsidR="00937364" w:rsidRPr="00BC3117" w:rsidRDefault="00937364" w:rsidP="00937364">
    <w:pPr>
      <w:ind w:left="-709"/>
      <w:jc w:val="center"/>
      <w:rPr>
        <w:rFonts w:cs="Arial"/>
        <w:color w:val="9CA0A3" w:themeColor="accent4"/>
        <w:sz w:val="28"/>
        <w:szCs w:val="28"/>
      </w:rPr>
    </w:pPr>
    <w:r w:rsidRPr="00BC3117">
      <w:rPr>
        <w:rFonts w:cs="Arial"/>
        <w:sz w:val="28"/>
        <w:szCs w:val="28"/>
      </w:rPr>
      <w:t xml:space="preserve">PSP Name Precinct Structure Plan </w:t>
    </w:r>
    <w:r w:rsidRPr="00BC3117">
      <w:rPr>
        <w:rFonts w:cs="Arial"/>
        <w:color w:val="9CA0A3" w:themeColor="accent4"/>
        <w:sz w:val="28"/>
        <w:szCs w:val="28"/>
      </w:rPr>
      <w:t>Month Year</w:t>
    </w:r>
  </w:p>
  <w:p w14:paraId="1B60C556" w14:textId="77777777" w:rsidR="00937364" w:rsidRDefault="00937364" w:rsidP="009957D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11A241" w14:textId="77777777" w:rsidR="00937364" w:rsidRDefault="00937364" w:rsidP="00937364">
    <w:pPr>
      <w:ind w:left="-709"/>
      <w:jc w:val="center"/>
      <w:rPr>
        <w:sz w:val="16"/>
      </w:rPr>
    </w:pPr>
    <w:r>
      <w:rPr>
        <w:rFonts w:ascii="Trebuchet MS" w:hAnsi="Trebuchet MS"/>
        <w:noProof/>
        <w:color w:val="9CA0A3" w:themeColor="accent4"/>
        <w:sz w:val="28"/>
        <w:szCs w:val="28"/>
      </w:rPr>
      <w:drawing>
        <wp:inline distT="0" distB="0" distL="0" distR="0" wp14:anchorId="30AA243D" wp14:editId="0A3CFFF2">
          <wp:extent cx="1629187" cy="666301"/>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P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29187" cy="666301"/>
                  </a:xfrm>
                  <a:prstGeom prst="rect">
                    <a:avLst/>
                  </a:prstGeom>
                </pic:spPr>
              </pic:pic>
            </a:graphicData>
          </a:graphic>
        </wp:inline>
      </w:drawing>
    </w:r>
  </w:p>
  <w:p w14:paraId="528A5A13" w14:textId="77777777" w:rsidR="00937364" w:rsidRPr="00A6488F" w:rsidRDefault="00937364" w:rsidP="00937364">
    <w:pPr>
      <w:ind w:left="-709"/>
      <w:jc w:val="center"/>
      <w:rPr>
        <w:rFonts w:ascii="VIC" w:hAnsi="VIC"/>
        <w:color w:val="9CA0A3" w:themeColor="accent4"/>
        <w:sz w:val="28"/>
        <w:szCs w:val="28"/>
      </w:rPr>
    </w:pPr>
    <w:r w:rsidRPr="00A6488F">
      <w:rPr>
        <w:rFonts w:ascii="VIC" w:hAnsi="VIC"/>
        <w:sz w:val="28"/>
        <w:szCs w:val="28"/>
      </w:rPr>
      <w:t xml:space="preserve">PSP Name Precinct Structure Plan </w:t>
    </w:r>
    <w:r w:rsidRPr="00A6488F">
      <w:rPr>
        <w:rFonts w:ascii="VIC" w:hAnsi="VIC"/>
        <w:color w:val="9CA0A3" w:themeColor="accent4"/>
        <w:sz w:val="28"/>
        <w:szCs w:val="28"/>
      </w:rPr>
      <w:t>Month Year</w:t>
    </w:r>
  </w:p>
  <w:p w14:paraId="20AE692A" w14:textId="77777777" w:rsidR="00937364" w:rsidRDefault="009373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723317" w14:textId="77777777" w:rsidR="009C0CAD" w:rsidRDefault="009C0CAD">
      <w:pPr>
        <w:spacing w:before="0"/>
      </w:pPr>
      <w:r>
        <w:separator/>
      </w:r>
    </w:p>
    <w:p w14:paraId="371EAABC" w14:textId="77777777" w:rsidR="009C0CAD" w:rsidRDefault="009C0CAD"/>
    <w:p w14:paraId="2E88BCAC" w14:textId="77777777" w:rsidR="009C0CAD" w:rsidRDefault="009C0CAD"/>
  </w:footnote>
  <w:footnote w:type="continuationSeparator" w:id="0">
    <w:p w14:paraId="74033E14" w14:textId="77777777" w:rsidR="009C0CAD" w:rsidRDefault="009C0CAD">
      <w:pPr>
        <w:spacing w:before="0"/>
      </w:pPr>
      <w:r>
        <w:continuationSeparator/>
      </w:r>
    </w:p>
    <w:p w14:paraId="3B718D43" w14:textId="77777777" w:rsidR="009C0CAD" w:rsidRDefault="009C0CAD"/>
    <w:p w14:paraId="0E4510E5" w14:textId="77777777" w:rsidR="009C0CAD" w:rsidRDefault="009C0CAD"/>
  </w:footnote>
  <w:footnote w:type="continuationNotice" w:id="1">
    <w:p w14:paraId="16D995ED" w14:textId="77777777" w:rsidR="009C0CAD" w:rsidRDefault="009C0CAD">
      <w:pPr>
        <w:spacing w:before="0" w:line="240" w:lineRule="auto"/>
      </w:pPr>
    </w:p>
  </w:footnote>
  <w:footnote w:id="2">
    <w:p w14:paraId="5612BE47" w14:textId="77777777" w:rsidR="00DD0540" w:rsidRDefault="00DD0540" w:rsidP="00DD0540">
      <w:r>
        <w:rPr>
          <w:rStyle w:val="FootnoteReference"/>
        </w:rPr>
        <w:footnoteRef/>
      </w:r>
      <w:r>
        <w:t xml:space="preserve"> </w:t>
      </w:r>
      <w:r w:rsidRPr="00C57430">
        <w:t>G21 is the formal alliance of government, business and community organisations working together to improve the lives of people within the Geelong region across five municipalities – Colac Otway, Golden Plains, Greater Geelong, Queenscliffe and Surf Coast.</w:t>
      </w:r>
    </w:p>
  </w:footnote>
  <w:footnote w:id="3">
    <w:p w14:paraId="281A8BBA" w14:textId="77777777" w:rsidR="00DD0540" w:rsidRDefault="00DD0540" w:rsidP="00DD0540">
      <w:r>
        <w:rPr>
          <w:rStyle w:val="FootnoteReference"/>
        </w:rPr>
        <w:footnoteRef/>
      </w:r>
      <w:r>
        <w:t xml:space="preserve"> Golden Plains Shire Region Profile 2019 (prepared by Civic Collective on behalf of G21 Region Alliance).</w:t>
      </w:r>
    </w:p>
  </w:footnote>
  <w:footnote w:id="4">
    <w:p w14:paraId="0111F9F1" w14:textId="77777777" w:rsidR="000427EC" w:rsidRDefault="000427EC" w:rsidP="000427EC">
      <w:pPr>
        <w:pStyle w:val="FootnoteText"/>
      </w:pPr>
      <w:r>
        <w:rPr>
          <w:rStyle w:val="FootnoteReference"/>
        </w:rPr>
        <w:footnoteRef/>
      </w:r>
      <w:r>
        <w:t xml:space="preserve"> Gheringhap Structure Plan (Parsons Brinckerhoff, 2012). Page 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3C2AA5" w14:textId="77777777" w:rsidR="0095183A" w:rsidRDefault="0095183A">
    <w:r>
      <w:rPr>
        <w:noProof/>
      </w:rPr>
      <w:drawing>
        <wp:anchor distT="0" distB="0" distL="114300" distR="114300" simplePos="0" relativeHeight="251658241" behindDoc="0" locked="1" layoutInCell="1" allowOverlap="1" wp14:anchorId="6B7A1F46" wp14:editId="470EA296">
          <wp:simplePos x="0" y="0"/>
          <wp:positionH relativeFrom="page">
            <wp:posOffset>246380</wp:posOffset>
          </wp:positionH>
          <wp:positionV relativeFrom="page">
            <wp:posOffset>182880</wp:posOffset>
          </wp:positionV>
          <wp:extent cx="7071360" cy="49657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P_Header_L.png"/>
                  <pic:cNvPicPr/>
                </pic:nvPicPr>
                <pic:blipFill>
                  <a:blip r:embed="rId1">
                    <a:extLst>
                      <a:ext uri="{28A0092B-C50C-407E-A947-70E740481C1C}">
                        <a14:useLocalDpi xmlns:a14="http://schemas.microsoft.com/office/drawing/2010/main" val="0"/>
                      </a:ext>
                    </a:extLst>
                  </a:blip>
                  <a:stretch>
                    <a:fillRect/>
                  </a:stretch>
                </pic:blipFill>
                <pic:spPr>
                  <a:xfrm>
                    <a:off x="0" y="0"/>
                    <a:ext cx="7071360" cy="49657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F1643C" w14:textId="77777777" w:rsidR="00960918" w:rsidRDefault="00960918">
    <w:r>
      <w:rPr>
        <w:noProof/>
      </w:rPr>
      <w:drawing>
        <wp:anchor distT="0" distB="0" distL="114300" distR="114300" simplePos="0" relativeHeight="251658240" behindDoc="0" locked="1" layoutInCell="1" allowOverlap="1" wp14:anchorId="17802C89" wp14:editId="2B3947A8">
          <wp:simplePos x="0" y="0"/>
          <wp:positionH relativeFrom="page">
            <wp:posOffset>243840</wp:posOffset>
          </wp:positionH>
          <wp:positionV relativeFrom="page">
            <wp:posOffset>182880</wp:posOffset>
          </wp:positionV>
          <wp:extent cx="7077075" cy="497205"/>
          <wp:effectExtent l="0" t="0" r="952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P_Header_L.png"/>
                  <pic:cNvPicPr/>
                </pic:nvPicPr>
                <pic:blipFill>
                  <a:blip r:embed="rId1">
                    <a:extLst>
                      <a:ext uri="{28A0092B-C50C-407E-A947-70E740481C1C}">
                        <a14:useLocalDpi xmlns:a14="http://schemas.microsoft.com/office/drawing/2010/main" val="0"/>
                      </a:ext>
                    </a:extLst>
                  </a:blip>
                  <a:stretch>
                    <a:fillRect/>
                  </a:stretch>
                </pic:blipFill>
                <pic:spPr>
                  <a:xfrm>
                    <a:off x="0" y="0"/>
                    <a:ext cx="7077075" cy="49720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F3CB7F" w14:textId="77777777" w:rsidR="00937364" w:rsidRDefault="0093736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E06CB0" w14:textId="77777777" w:rsidR="00937364" w:rsidRDefault="0093736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DDD6DDA6"/>
    <w:lvl w:ilvl="0">
      <w:start w:val="1"/>
      <w:numFmt w:val="decimal"/>
      <w:lvlText w:val="%1."/>
      <w:lvlJc w:val="left"/>
      <w:pPr>
        <w:tabs>
          <w:tab w:val="num" w:pos="1492"/>
        </w:tabs>
        <w:ind w:left="1492" w:hanging="360"/>
      </w:pPr>
    </w:lvl>
  </w:abstractNum>
  <w:abstractNum w:abstractNumId="1" w15:restartNumberingAfterBreak="0">
    <w:nsid w:val="FFFFFF7F"/>
    <w:multiLevelType w:val="singleLevel"/>
    <w:tmpl w:val="12801340"/>
    <w:lvl w:ilvl="0">
      <w:start w:val="1"/>
      <w:numFmt w:val="decimal"/>
      <w:lvlText w:val="%1."/>
      <w:lvlJc w:val="left"/>
      <w:pPr>
        <w:tabs>
          <w:tab w:val="num" w:pos="643"/>
        </w:tabs>
        <w:ind w:left="643" w:hanging="360"/>
      </w:pPr>
    </w:lvl>
  </w:abstractNum>
  <w:abstractNum w:abstractNumId="2" w15:restartNumberingAfterBreak="0">
    <w:nsid w:val="07EC1767"/>
    <w:multiLevelType w:val="hybridMultilevel"/>
    <w:tmpl w:val="22B628FE"/>
    <w:lvl w:ilvl="0" w:tplc="04848CDE">
      <w:start w:val="1"/>
      <w:numFmt w:val="bullet"/>
      <w:pStyle w:val="Tablelis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4120C3"/>
    <w:multiLevelType w:val="hybridMultilevel"/>
    <w:tmpl w:val="6BF073CA"/>
    <w:lvl w:ilvl="0" w:tplc="7598D2DE">
      <w:start w:val="1"/>
      <w:numFmt w:val="decimal"/>
      <w:lvlText w:val="%1."/>
      <w:lvlJc w:val="left"/>
      <w:pPr>
        <w:ind w:left="1145" w:hanging="360"/>
      </w:pPr>
      <w:rPr>
        <w:rFonts w:ascii="Franklin Gothic Book" w:hAnsi="Franklin Gothic Book" w:hint="default"/>
        <w:b w:val="0"/>
        <w:i w:val="0"/>
        <w:color w:val="004C97" w:themeColor="accent1"/>
      </w:rPr>
    </w:lvl>
    <w:lvl w:ilvl="1" w:tplc="04090003">
      <w:start w:val="1"/>
      <w:numFmt w:val="bullet"/>
      <w:lvlText w:val="o"/>
      <w:lvlJc w:val="left"/>
      <w:pPr>
        <w:ind w:left="1865" w:hanging="360"/>
      </w:pPr>
      <w:rPr>
        <w:rFonts w:ascii="Courier New" w:hAnsi="Courier New" w:cs="Symbol" w:hint="default"/>
      </w:rPr>
    </w:lvl>
    <w:lvl w:ilvl="2" w:tplc="04090005">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Symbol"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Symbol" w:hint="default"/>
      </w:rPr>
    </w:lvl>
    <w:lvl w:ilvl="8" w:tplc="04090005" w:tentative="1">
      <w:start w:val="1"/>
      <w:numFmt w:val="bullet"/>
      <w:lvlText w:val=""/>
      <w:lvlJc w:val="left"/>
      <w:pPr>
        <w:ind w:left="6905" w:hanging="360"/>
      </w:pPr>
      <w:rPr>
        <w:rFonts w:ascii="Wingdings" w:hAnsi="Wingdings" w:hint="default"/>
      </w:rPr>
    </w:lvl>
  </w:abstractNum>
  <w:abstractNum w:abstractNumId="4" w15:restartNumberingAfterBreak="0">
    <w:nsid w:val="0ACB477F"/>
    <w:multiLevelType w:val="hybridMultilevel"/>
    <w:tmpl w:val="26A60872"/>
    <w:lvl w:ilvl="0" w:tplc="0C09000F">
      <w:start w:val="1"/>
      <w:numFmt w:val="decimal"/>
      <w:lvlText w:val="%1."/>
      <w:lvlJc w:val="left"/>
      <w:pPr>
        <w:ind w:left="785"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2516E5E"/>
    <w:multiLevelType w:val="hybridMultilevel"/>
    <w:tmpl w:val="4366EE42"/>
    <w:lvl w:ilvl="0" w:tplc="79BE0B34">
      <w:start w:val="1"/>
      <w:numFmt w:val="decimal"/>
      <w:pStyle w:val="Tablenoreq"/>
      <w:lvlText w:val="R%1"/>
      <w:lvlJc w:val="left"/>
      <w:pPr>
        <w:ind w:left="360" w:hanging="360"/>
      </w:pPr>
      <w:rPr>
        <w:rFonts w:hint="default"/>
        <w:b w:val="0"/>
        <w:i w:val="0"/>
        <w:color w:val="00B2A9" w:themeColor="accent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36A0502"/>
    <w:multiLevelType w:val="hybridMultilevel"/>
    <w:tmpl w:val="D69A65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7E14ED2"/>
    <w:multiLevelType w:val="hybridMultilevel"/>
    <w:tmpl w:val="4468B82C"/>
    <w:lvl w:ilvl="0" w:tplc="DAA0B1B0">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8" w15:restartNumberingAfterBreak="0">
    <w:nsid w:val="1A770351"/>
    <w:multiLevelType w:val="multilevel"/>
    <w:tmpl w:val="0160F844"/>
    <w:lvl w:ilvl="0">
      <w:start w:val="1"/>
      <w:numFmt w:val="decimal"/>
      <w:pStyle w:val="List1numb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D1A19B3"/>
    <w:multiLevelType w:val="hybridMultilevel"/>
    <w:tmpl w:val="705AB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D5C141E"/>
    <w:multiLevelType w:val="hybridMultilevel"/>
    <w:tmpl w:val="E4BA798A"/>
    <w:lvl w:ilvl="0" w:tplc="C7106070">
      <w:start w:val="1"/>
      <w:numFmt w:val="decimal"/>
      <w:lvlText w:val="%1."/>
      <w:lvlJc w:val="left"/>
      <w:pPr>
        <w:ind w:left="785" w:hanging="360"/>
      </w:pPr>
      <w:rPr>
        <w:rFonts w:ascii="Corbel" w:hAnsi="Corbe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FF11EE0"/>
    <w:multiLevelType w:val="hybridMultilevel"/>
    <w:tmpl w:val="3D78A3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81C7393"/>
    <w:multiLevelType w:val="multilevel"/>
    <w:tmpl w:val="0060C338"/>
    <w:styleLink w:val="NumberedList"/>
    <w:lvl w:ilvl="0">
      <w:start w:val="1"/>
      <w:numFmt w:val="decimal"/>
      <w:lvlText w:val="%1."/>
      <w:lvlJc w:val="left"/>
      <w:pPr>
        <w:ind w:left="720" w:hanging="360"/>
      </w:pPr>
      <w:rPr>
        <w:rFonts w:ascii="Arial Narrow" w:hAnsi="Arial Narro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3364F6A"/>
    <w:multiLevelType w:val="multilevel"/>
    <w:tmpl w:val="394A4F54"/>
    <w:lvl w:ilvl="0">
      <w:start w:val="1"/>
      <w:numFmt w:val="decimal"/>
      <w:lvlText w:val="%1"/>
      <w:lvlJc w:val="left"/>
      <w:pPr>
        <w:ind w:left="0" w:hanging="851"/>
      </w:pPr>
      <w:rPr>
        <w:rFonts w:hint="default"/>
        <w:b w:val="0"/>
        <w:i w:val="0"/>
        <w:color w:val="004C97" w:themeColor="accent1"/>
      </w:rPr>
    </w:lvl>
    <w:lvl w:ilvl="1">
      <w:start w:val="1"/>
      <w:numFmt w:val="decimal"/>
      <w:lvlText w:val="%1.%2"/>
      <w:lvlJc w:val="left"/>
      <w:pPr>
        <w:ind w:left="0" w:hanging="851"/>
      </w:pPr>
      <w:rPr>
        <w:rFonts w:hint="default"/>
        <w:color w:val="004C97" w:themeColor="accent1"/>
      </w:rPr>
    </w:lvl>
    <w:lvl w:ilvl="2">
      <w:start w:val="1"/>
      <w:numFmt w:val="decimal"/>
      <w:lvlText w:val="%1.%2.%3"/>
      <w:lvlJc w:val="left"/>
      <w:pPr>
        <w:ind w:left="0" w:hanging="851"/>
      </w:pPr>
      <w:rPr>
        <w:rFonts w:hint="default"/>
        <w:color w:val="004C97" w:themeColor="accent1"/>
      </w:rPr>
    </w:lvl>
    <w:lvl w:ilvl="3">
      <w:start w:val="1"/>
      <w:numFmt w:val="decimal"/>
      <w:lvlText w:val="%1.%2.%3.%4."/>
      <w:lvlJc w:val="left"/>
      <w:pPr>
        <w:ind w:left="0" w:hanging="851"/>
      </w:pPr>
      <w:rPr>
        <w:rFonts w:hint="default"/>
      </w:rPr>
    </w:lvl>
    <w:lvl w:ilvl="4">
      <w:start w:val="1"/>
      <w:numFmt w:val="decimal"/>
      <w:lvlText w:val="%1.%2.%3.%4.%5."/>
      <w:lvlJc w:val="left"/>
      <w:pPr>
        <w:ind w:left="0" w:hanging="851"/>
      </w:pPr>
      <w:rPr>
        <w:rFonts w:hint="default"/>
      </w:rPr>
    </w:lvl>
    <w:lvl w:ilvl="5">
      <w:start w:val="1"/>
      <w:numFmt w:val="decimal"/>
      <w:lvlText w:val="%1.%2.%3.%4.%5.%6."/>
      <w:lvlJc w:val="left"/>
      <w:pPr>
        <w:ind w:left="0" w:hanging="851"/>
      </w:pPr>
      <w:rPr>
        <w:rFonts w:hint="default"/>
      </w:rPr>
    </w:lvl>
    <w:lvl w:ilvl="6">
      <w:start w:val="1"/>
      <w:numFmt w:val="decimal"/>
      <w:lvlText w:val="%1.%2.%3.%4.%5.%6.%7."/>
      <w:lvlJc w:val="left"/>
      <w:pPr>
        <w:ind w:left="0" w:hanging="851"/>
      </w:pPr>
      <w:rPr>
        <w:rFonts w:hint="default"/>
      </w:rPr>
    </w:lvl>
    <w:lvl w:ilvl="7">
      <w:start w:val="1"/>
      <w:numFmt w:val="decimal"/>
      <w:lvlText w:val="%1.%2.%3.%4.%5.%6.%7.%8."/>
      <w:lvlJc w:val="left"/>
      <w:pPr>
        <w:ind w:left="0" w:hanging="851"/>
      </w:pPr>
      <w:rPr>
        <w:rFonts w:hint="default"/>
      </w:rPr>
    </w:lvl>
    <w:lvl w:ilvl="8">
      <w:start w:val="1"/>
      <w:numFmt w:val="decimal"/>
      <w:lvlText w:val="%1.%2.%3.%4.%5.%6.%7.%8.%9."/>
      <w:lvlJc w:val="left"/>
      <w:pPr>
        <w:ind w:left="0" w:hanging="851"/>
      </w:pPr>
      <w:rPr>
        <w:rFonts w:hint="default"/>
      </w:rPr>
    </w:lvl>
  </w:abstractNum>
  <w:abstractNum w:abstractNumId="14" w15:restartNumberingAfterBreak="0">
    <w:nsid w:val="4396048C"/>
    <w:multiLevelType w:val="multilevel"/>
    <w:tmpl w:val="394A4F54"/>
    <w:lvl w:ilvl="0">
      <w:start w:val="1"/>
      <w:numFmt w:val="decimal"/>
      <w:lvlText w:val="%1"/>
      <w:lvlJc w:val="left"/>
      <w:pPr>
        <w:ind w:left="0" w:hanging="851"/>
      </w:pPr>
      <w:rPr>
        <w:rFonts w:hint="default"/>
        <w:b w:val="0"/>
        <w:i w:val="0"/>
        <w:color w:val="004C97" w:themeColor="accent1"/>
      </w:rPr>
    </w:lvl>
    <w:lvl w:ilvl="1">
      <w:start w:val="1"/>
      <w:numFmt w:val="decimal"/>
      <w:lvlText w:val="%1.%2"/>
      <w:lvlJc w:val="left"/>
      <w:pPr>
        <w:ind w:left="0" w:hanging="851"/>
      </w:pPr>
      <w:rPr>
        <w:rFonts w:hint="default"/>
        <w:color w:val="004C97" w:themeColor="accent1"/>
      </w:rPr>
    </w:lvl>
    <w:lvl w:ilvl="2">
      <w:start w:val="1"/>
      <w:numFmt w:val="decimal"/>
      <w:lvlText w:val="%1.%2.%3"/>
      <w:lvlJc w:val="left"/>
      <w:pPr>
        <w:ind w:left="0" w:hanging="851"/>
      </w:pPr>
      <w:rPr>
        <w:rFonts w:hint="default"/>
        <w:color w:val="004C97" w:themeColor="accent1"/>
      </w:rPr>
    </w:lvl>
    <w:lvl w:ilvl="3">
      <w:start w:val="1"/>
      <w:numFmt w:val="decimal"/>
      <w:lvlText w:val="%1.%2.%3.%4."/>
      <w:lvlJc w:val="left"/>
      <w:pPr>
        <w:ind w:left="0" w:hanging="851"/>
      </w:pPr>
      <w:rPr>
        <w:rFonts w:hint="default"/>
      </w:rPr>
    </w:lvl>
    <w:lvl w:ilvl="4">
      <w:start w:val="1"/>
      <w:numFmt w:val="decimal"/>
      <w:lvlText w:val="%1.%2.%3.%4.%5."/>
      <w:lvlJc w:val="left"/>
      <w:pPr>
        <w:ind w:left="0" w:hanging="851"/>
      </w:pPr>
      <w:rPr>
        <w:rFonts w:hint="default"/>
      </w:rPr>
    </w:lvl>
    <w:lvl w:ilvl="5">
      <w:start w:val="1"/>
      <w:numFmt w:val="decimal"/>
      <w:lvlText w:val="%1.%2.%3.%4.%5.%6."/>
      <w:lvlJc w:val="left"/>
      <w:pPr>
        <w:ind w:left="0" w:hanging="851"/>
      </w:pPr>
      <w:rPr>
        <w:rFonts w:hint="default"/>
      </w:rPr>
    </w:lvl>
    <w:lvl w:ilvl="6">
      <w:start w:val="1"/>
      <w:numFmt w:val="decimal"/>
      <w:lvlText w:val="%1.%2.%3.%4.%5.%6.%7."/>
      <w:lvlJc w:val="left"/>
      <w:pPr>
        <w:ind w:left="0" w:hanging="851"/>
      </w:pPr>
      <w:rPr>
        <w:rFonts w:hint="default"/>
      </w:rPr>
    </w:lvl>
    <w:lvl w:ilvl="7">
      <w:start w:val="1"/>
      <w:numFmt w:val="decimal"/>
      <w:lvlText w:val="%1.%2.%3.%4.%5.%6.%7.%8."/>
      <w:lvlJc w:val="left"/>
      <w:pPr>
        <w:ind w:left="0" w:hanging="851"/>
      </w:pPr>
      <w:rPr>
        <w:rFonts w:hint="default"/>
      </w:rPr>
    </w:lvl>
    <w:lvl w:ilvl="8">
      <w:start w:val="1"/>
      <w:numFmt w:val="decimal"/>
      <w:lvlText w:val="%1.%2.%3.%4.%5.%6.%7.%8.%9."/>
      <w:lvlJc w:val="left"/>
      <w:pPr>
        <w:ind w:left="0" w:hanging="851"/>
      </w:pPr>
      <w:rPr>
        <w:rFonts w:hint="default"/>
      </w:rPr>
    </w:lvl>
  </w:abstractNum>
  <w:abstractNum w:abstractNumId="15" w15:restartNumberingAfterBreak="0">
    <w:nsid w:val="453E1A38"/>
    <w:multiLevelType w:val="hybridMultilevel"/>
    <w:tmpl w:val="365003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F826434"/>
    <w:multiLevelType w:val="multilevel"/>
    <w:tmpl w:val="5B3A2EBA"/>
    <w:lvl w:ilvl="0">
      <w:start w:val="1"/>
      <w:numFmt w:val="decimal"/>
      <w:lvlText w:val="%1"/>
      <w:lvlJc w:val="left"/>
      <w:pPr>
        <w:ind w:left="0" w:hanging="1134"/>
      </w:pPr>
      <w:rPr>
        <w:rFonts w:hint="default"/>
      </w:rPr>
    </w:lvl>
    <w:lvl w:ilvl="1">
      <w:start w:val="1"/>
      <w:numFmt w:val="decimal"/>
      <w:lvlText w:val="%1.%2"/>
      <w:lvlJc w:val="left"/>
      <w:pPr>
        <w:ind w:left="0" w:hanging="1134"/>
      </w:pPr>
      <w:rPr>
        <w:rFonts w:hint="default"/>
      </w:rPr>
    </w:lvl>
    <w:lvl w:ilvl="2">
      <w:start w:val="1"/>
      <w:numFmt w:val="decimal"/>
      <w:lvlText w:val="%1.%2.%3"/>
      <w:lvlJc w:val="left"/>
      <w:pPr>
        <w:ind w:left="0" w:hanging="1134"/>
      </w:pPr>
      <w:rPr>
        <w:rFonts w:hint="default"/>
      </w:rPr>
    </w:lvl>
    <w:lvl w:ilvl="3">
      <w:start w:val="1"/>
      <w:numFmt w:val="decimal"/>
      <w:lvlText w:val="%1.%2.%3.%4"/>
      <w:lvlJc w:val="left"/>
      <w:pPr>
        <w:ind w:left="0" w:hanging="1134"/>
      </w:pPr>
      <w:rPr>
        <w:rFonts w:hint="default"/>
      </w:rPr>
    </w:lvl>
    <w:lvl w:ilvl="4">
      <w:start w:val="1"/>
      <w:numFmt w:val="decimal"/>
      <w:lvlText w:val="%1.%2.%3.%4.%5."/>
      <w:lvlJc w:val="left"/>
      <w:pPr>
        <w:ind w:left="0" w:hanging="1134"/>
      </w:pPr>
      <w:rPr>
        <w:rFonts w:hint="default"/>
      </w:rPr>
    </w:lvl>
    <w:lvl w:ilvl="5">
      <w:start w:val="1"/>
      <w:numFmt w:val="decimal"/>
      <w:lvlText w:val="%1.%2.%3.%4.%5.%6."/>
      <w:lvlJc w:val="left"/>
      <w:pPr>
        <w:ind w:left="0" w:hanging="1134"/>
      </w:pPr>
      <w:rPr>
        <w:rFonts w:hint="default"/>
      </w:rPr>
    </w:lvl>
    <w:lvl w:ilvl="6">
      <w:start w:val="1"/>
      <w:numFmt w:val="decimal"/>
      <w:lvlText w:val="%1.%2.%3.%4.%5.%6.%7."/>
      <w:lvlJc w:val="left"/>
      <w:pPr>
        <w:ind w:left="0" w:hanging="1134"/>
      </w:pPr>
      <w:rPr>
        <w:rFonts w:hint="default"/>
      </w:rPr>
    </w:lvl>
    <w:lvl w:ilvl="7">
      <w:start w:val="1"/>
      <w:numFmt w:val="decimal"/>
      <w:lvlText w:val="%1.%2.%3.%4.%5.%6.%7.%8."/>
      <w:lvlJc w:val="left"/>
      <w:pPr>
        <w:ind w:left="0" w:hanging="1134"/>
      </w:pPr>
      <w:rPr>
        <w:rFonts w:hint="default"/>
      </w:rPr>
    </w:lvl>
    <w:lvl w:ilvl="8">
      <w:start w:val="1"/>
      <w:numFmt w:val="decimal"/>
      <w:lvlText w:val="%1.%2.%3.%4.%5.%6.%7.%8.%9."/>
      <w:lvlJc w:val="left"/>
      <w:pPr>
        <w:ind w:left="0" w:hanging="1134"/>
      </w:pPr>
      <w:rPr>
        <w:rFonts w:hint="default"/>
      </w:rPr>
    </w:lvl>
  </w:abstractNum>
  <w:abstractNum w:abstractNumId="17" w15:restartNumberingAfterBreak="0">
    <w:nsid w:val="55FF53B6"/>
    <w:multiLevelType w:val="hybridMultilevel"/>
    <w:tmpl w:val="EA44C27C"/>
    <w:lvl w:ilvl="0" w:tplc="84088F3E">
      <w:start w:val="1"/>
      <w:numFmt w:val="decimal"/>
      <w:pStyle w:val="Tablenoguid"/>
      <w:lvlText w:val="G%1"/>
      <w:lvlJc w:val="left"/>
      <w:pPr>
        <w:ind w:left="360" w:hanging="360"/>
      </w:pPr>
      <w:rPr>
        <w:rFonts w:hint="default"/>
        <w:b w:val="0"/>
        <w:i w:val="0"/>
        <w:color w:val="5AA5C7" w:themeColor="accent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6152698"/>
    <w:multiLevelType w:val="multilevel"/>
    <w:tmpl w:val="0060C338"/>
    <w:styleLink w:val="Numbers"/>
    <w:lvl w:ilvl="0">
      <w:start w:val="1"/>
      <w:numFmt w:val="decimal"/>
      <w:lvlText w:val="%1."/>
      <w:lvlJc w:val="left"/>
      <w:pPr>
        <w:ind w:left="720" w:hanging="360"/>
      </w:pPr>
      <w:rPr>
        <w:rFonts w:ascii="Arial Narrow" w:hAnsi="Arial Narro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6E97AC7"/>
    <w:multiLevelType w:val="multilevel"/>
    <w:tmpl w:val="026AFB38"/>
    <w:lvl w:ilvl="0">
      <w:start w:val="1"/>
      <w:numFmt w:val="decimal"/>
      <w:lvlText w:val="%1."/>
      <w:lvlJc w:val="left"/>
      <w:pPr>
        <w:ind w:left="360" w:hanging="360"/>
      </w:pPr>
      <w:rPr>
        <w:rFonts w:ascii="Franklin Gothic Demi" w:hAnsi="Franklin Gothic Demi" w:hint="default"/>
        <w:b w:val="0"/>
        <w:i w:val="0"/>
        <w:color w:val="004C97" w:themeColor="accent1"/>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7C029E4"/>
    <w:multiLevelType w:val="hybridMultilevel"/>
    <w:tmpl w:val="89D050B6"/>
    <w:lvl w:ilvl="0" w:tplc="0C090001">
      <w:start w:val="1"/>
      <w:numFmt w:val="bullet"/>
      <w:lvlText w:val=""/>
      <w:lvlJc w:val="left"/>
      <w:pPr>
        <w:ind w:left="1145" w:hanging="360"/>
      </w:pPr>
      <w:rPr>
        <w:rFonts w:ascii="Symbol" w:hAnsi="Symbol" w:hint="default"/>
      </w:rPr>
    </w:lvl>
    <w:lvl w:ilvl="1" w:tplc="04090003">
      <w:start w:val="1"/>
      <w:numFmt w:val="bullet"/>
      <w:lvlText w:val="o"/>
      <w:lvlJc w:val="left"/>
      <w:pPr>
        <w:ind w:left="1865" w:hanging="360"/>
      </w:pPr>
      <w:rPr>
        <w:rFonts w:ascii="Courier New" w:hAnsi="Courier New" w:cs="Symbol" w:hint="default"/>
      </w:rPr>
    </w:lvl>
    <w:lvl w:ilvl="2" w:tplc="04090005">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Symbol"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Symbol" w:hint="default"/>
      </w:rPr>
    </w:lvl>
    <w:lvl w:ilvl="8" w:tplc="04090005" w:tentative="1">
      <w:start w:val="1"/>
      <w:numFmt w:val="bullet"/>
      <w:lvlText w:val=""/>
      <w:lvlJc w:val="left"/>
      <w:pPr>
        <w:ind w:left="6905" w:hanging="360"/>
      </w:pPr>
      <w:rPr>
        <w:rFonts w:ascii="Wingdings" w:hAnsi="Wingdings" w:hint="default"/>
      </w:rPr>
    </w:lvl>
  </w:abstractNum>
  <w:abstractNum w:abstractNumId="21" w15:restartNumberingAfterBreak="0">
    <w:nsid w:val="5BDF52CF"/>
    <w:multiLevelType w:val="hybridMultilevel"/>
    <w:tmpl w:val="799A70CE"/>
    <w:lvl w:ilvl="0" w:tplc="0C090001">
      <w:start w:val="1"/>
      <w:numFmt w:val="decimal"/>
      <w:lvlText w:val="R%1."/>
      <w:lvlJc w:val="right"/>
      <w:pPr>
        <w:ind w:left="720" w:hanging="360"/>
      </w:pPr>
      <w:rPr>
        <w:rFonts w:hint="default"/>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22" w15:restartNumberingAfterBreak="0">
    <w:nsid w:val="618C0288"/>
    <w:multiLevelType w:val="hybridMultilevel"/>
    <w:tmpl w:val="E13C7EEE"/>
    <w:lvl w:ilvl="0" w:tplc="12C438F2">
      <w:start w:val="1"/>
      <w:numFmt w:val="bullet"/>
      <w:pStyle w:val="List3dash"/>
      <w:lvlText w:val=""/>
      <w:lvlJc w:val="left"/>
      <w:pPr>
        <w:ind w:left="1996" w:hanging="360"/>
      </w:pPr>
      <w:rPr>
        <w:rFonts w:ascii="Symbol" w:hAnsi="Symbol" w:hint="default"/>
        <w:color w:val="004C97" w:themeColor="accent1"/>
      </w:rPr>
    </w:lvl>
    <w:lvl w:ilvl="1" w:tplc="0C090003" w:tentative="1">
      <w:start w:val="1"/>
      <w:numFmt w:val="bullet"/>
      <w:lvlText w:val="o"/>
      <w:lvlJc w:val="left"/>
      <w:pPr>
        <w:ind w:left="2716" w:hanging="360"/>
      </w:pPr>
      <w:rPr>
        <w:rFonts w:ascii="Courier New" w:hAnsi="Courier New" w:cs="Symbol" w:hint="default"/>
      </w:rPr>
    </w:lvl>
    <w:lvl w:ilvl="2" w:tplc="0C090005" w:tentative="1">
      <w:start w:val="1"/>
      <w:numFmt w:val="bullet"/>
      <w:lvlText w:val=""/>
      <w:lvlJc w:val="left"/>
      <w:pPr>
        <w:ind w:left="3436" w:hanging="360"/>
      </w:pPr>
      <w:rPr>
        <w:rFonts w:ascii="Wingdings" w:hAnsi="Wingdings" w:hint="default"/>
      </w:rPr>
    </w:lvl>
    <w:lvl w:ilvl="3" w:tplc="0C090001" w:tentative="1">
      <w:start w:val="1"/>
      <w:numFmt w:val="bullet"/>
      <w:lvlText w:val=""/>
      <w:lvlJc w:val="left"/>
      <w:pPr>
        <w:ind w:left="4156" w:hanging="360"/>
      </w:pPr>
      <w:rPr>
        <w:rFonts w:ascii="Symbol" w:hAnsi="Symbol" w:hint="default"/>
      </w:rPr>
    </w:lvl>
    <w:lvl w:ilvl="4" w:tplc="0C090003" w:tentative="1">
      <w:start w:val="1"/>
      <w:numFmt w:val="bullet"/>
      <w:lvlText w:val="o"/>
      <w:lvlJc w:val="left"/>
      <w:pPr>
        <w:ind w:left="4876" w:hanging="360"/>
      </w:pPr>
      <w:rPr>
        <w:rFonts w:ascii="Courier New" w:hAnsi="Courier New" w:cs="Symbol" w:hint="default"/>
      </w:rPr>
    </w:lvl>
    <w:lvl w:ilvl="5" w:tplc="0C090005" w:tentative="1">
      <w:start w:val="1"/>
      <w:numFmt w:val="bullet"/>
      <w:lvlText w:val=""/>
      <w:lvlJc w:val="left"/>
      <w:pPr>
        <w:ind w:left="5596" w:hanging="360"/>
      </w:pPr>
      <w:rPr>
        <w:rFonts w:ascii="Wingdings" w:hAnsi="Wingdings" w:hint="default"/>
      </w:rPr>
    </w:lvl>
    <w:lvl w:ilvl="6" w:tplc="0C090001" w:tentative="1">
      <w:start w:val="1"/>
      <w:numFmt w:val="bullet"/>
      <w:lvlText w:val=""/>
      <w:lvlJc w:val="left"/>
      <w:pPr>
        <w:ind w:left="6316" w:hanging="360"/>
      </w:pPr>
      <w:rPr>
        <w:rFonts w:ascii="Symbol" w:hAnsi="Symbol" w:hint="default"/>
      </w:rPr>
    </w:lvl>
    <w:lvl w:ilvl="7" w:tplc="0C090003" w:tentative="1">
      <w:start w:val="1"/>
      <w:numFmt w:val="bullet"/>
      <w:lvlText w:val="o"/>
      <w:lvlJc w:val="left"/>
      <w:pPr>
        <w:ind w:left="7036" w:hanging="360"/>
      </w:pPr>
      <w:rPr>
        <w:rFonts w:ascii="Courier New" w:hAnsi="Courier New" w:cs="Symbol" w:hint="default"/>
      </w:rPr>
    </w:lvl>
    <w:lvl w:ilvl="8" w:tplc="0C090005" w:tentative="1">
      <w:start w:val="1"/>
      <w:numFmt w:val="bullet"/>
      <w:lvlText w:val=""/>
      <w:lvlJc w:val="left"/>
      <w:pPr>
        <w:ind w:left="7756" w:hanging="360"/>
      </w:pPr>
      <w:rPr>
        <w:rFonts w:ascii="Wingdings" w:hAnsi="Wingdings" w:hint="default"/>
      </w:rPr>
    </w:lvl>
  </w:abstractNum>
  <w:abstractNum w:abstractNumId="23" w15:restartNumberingAfterBreak="0">
    <w:nsid w:val="61D85C15"/>
    <w:multiLevelType w:val="hybridMultilevel"/>
    <w:tmpl w:val="A5D670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2CF6CD9"/>
    <w:multiLevelType w:val="hybridMultilevel"/>
    <w:tmpl w:val="43C2F74A"/>
    <w:lvl w:ilvl="0" w:tplc="8D465EB6">
      <w:start w:val="1"/>
      <w:numFmt w:val="bullet"/>
      <w:lvlText w:val=""/>
      <w:lvlJc w:val="left"/>
      <w:pPr>
        <w:ind w:left="1996" w:hanging="360"/>
      </w:pPr>
      <w:rPr>
        <w:rFonts w:ascii="Symbol" w:hAnsi="Symbol" w:hint="default"/>
      </w:rPr>
    </w:lvl>
    <w:lvl w:ilvl="1" w:tplc="0C090003" w:tentative="1">
      <w:start w:val="1"/>
      <w:numFmt w:val="bullet"/>
      <w:lvlText w:val="o"/>
      <w:lvlJc w:val="left"/>
      <w:pPr>
        <w:ind w:left="2716" w:hanging="360"/>
      </w:pPr>
      <w:rPr>
        <w:rFonts w:ascii="Courier New" w:hAnsi="Courier New" w:cs="Symbol" w:hint="default"/>
      </w:rPr>
    </w:lvl>
    <w:lvl w:ilvl="2" w:tplc="0C090005" w:tentative="1">
      <w:start w:val="1"/>
      <w:numFmt w:val="bullet"/>
      <w:lvlText w:val=""/>
      <w:lvlJc w:val="left"/>
      <w:pPr>
        <w:ind w:left="3436" w:hanging="360"/>
      </w:pPr>
      <w:rPr>
        <w:rFonts w:ascii="Wingdings" w:hAnsi="Wingdings" w:hint="default"/>
      </w:rPr>
    </w:lvl>
    <w:lvl w:ilvl="3" w:tplc="0C090001" w:tentative="1">
      <w:start w:val="1"/>
      <w:numFmt w:val="bullet"/>
      <w:lvlText w:val=""/>
      <w:lvlJc w:val="left"/>
      <w:pPr>
        <w:ind w:left="4156" w:hanging="360"/>
      </w:pPr>
      <w:rPr>
        <w:rFonts w:ascii="Symbol" w:hAnsi="Symbol" w:hint="default"/>
      </w:rPr>
    </w:lvl>
    <w:lvl w:ilvl="4" w:tplc="0C090003" w:tentative="1">
      <w:start w:val="1"/>
      <w:numFmt w:val="bullet"/>
      <w:lvlText w:val="o"/>
      <w:lvlJc w:val="left"/>
      <w:pPr>
        <w:ind w:left="4876" w:hanging="360"/>
      </w:pPr>
      <w:rPr>
        <w:rFonts w:ascii="Courier New" w:hAnsi="Courier New" w:cs="Symbol" w:hint="default"/>
      </w:rPr>
    </w:lvl>
    <w:lvl w:ilvl="5" w:tplc="0C090005" w:tentative="1">
      <w:start w:val="1"/>
      <w:numFmt w:val="bullet"/>
      <w:lvlText w:val=""/>
      <w:lvlJc w:val="left"/>
      <w:pPr>
        <w:ind w:left="5596" w:hanging="360"/>
      </w:pPr>
      <w:rPr>
        <w:rFonts w:ascii="Wingdings" w:hAnsi="Wingdings" w:hint="default"/>
      </w:rPr>
    </w:lvl>
    <w:lvl w:ilvl="6" w:tplc="0C090001" w:tentative="1">
      <w:start w:val="1"/>
      <w:numFmt w:val="bullet"/>
      <w:lvlText w:val=""/>
      <w:lvlJc w:val="left"/>
      <w:pPr>
        <w:ind w:left="6316" w:hanging="360"/>
      </w:pPr>
      <w:rPr>
        <w:rFonts w:ascii="Symbol" w:hAnsi="Symbol" w:hint="default"/>
      </w:rPr>
    </w:lvl>
    <w:lvl w:ilvl="7" w:tplc="0C090003" w:tentative="1">
      <w:start w:val="1"/>
      <w:numFmt w:val="bullet"/>
      <w:lvlText w:val="o"/>
      <w:lvlJc w:val="left"/>
      <w:pPr>
        <w:ind w:left="7036" w:hanging="360"/>
      </w:pPr>
      <w:rPr>
        <w:rFonts w:ascii="Courier New" w:hAnsi="Courier New" w:cs="Symbol" w:hint="default"/>
      </w:rPr>
    </w:lvl>
    <w:lvl w:ilvl="8" w:tplc="0C090005" w:tentative="1">
      <w:start w:val="1"/>
      <w:numFmt w:val="bullet"/>
      <w:lvlText w:val=""/>
      <w:lvlJc w:val="left"/>
      <w:pPr>
        <w:ind w:left="7756" w:hanging="360"/>
      </w:pPr>
      <w:rPr>
        <w:rFonts w:ascii="Wingdings" w:hAnsi="Wingdings" w:hint="default"/>
      </w:rPr>
    </w:lvl>
  </w:abstractNum>
  <w:abstractNum w:abstractNumId="25" w15:restartNumberingAfterBreak="0">
    <w:nsid w:val="682F1407"/>
    <w:multiLevelType w:val="hybridMultilevel"/>
    <w:tmpl w:val="1BDE78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CAE27BE"/>
    <w:multiLevelType w:val="hybridMultilevel"/>
    <w:tmpl w:val="B52E19EC"/>
    <w:lvl w:ilvl="0" w:tplc="0C09000B">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7" w15:restartNumberingAfterBreak="0">
    <w:nsid w:val="6F7E1148"/>
    <w:multiLevelType w:val="hybridMultilevel"/>
    <w:tmpl w:val="72DA7620"/>
    <w:lvl w:ilvl="0" w:tplc="21DEC20E">
      <w:start w:val="1"/>
      <w:numFmt w:val="bullet"/>
      <w:pStyle w:val="List1bullet"/>
      <w:lvlText w:val=""/>
      <w:lvlJc w:val="left"/>
      <w:pPr>
        <w:ind w:left="1145" w:hanging="360"/>
      </w:pPr>
      <w:rPr>
        <w:rFonts w:ascii="Symbol" w:hAnsi="Symbol" w:hint="default"/>
        <w:color w:val="004C97" w:themeColor="accent1"/>
      </w:rPr>
    </w:lvl>
    <w:lvl w:ilvl="1" w:tplc="04090003">
      <w:start w:val="1"/>
      <w:numFmt w:val="bullet"/>
      <w:lvlText w:val="o"/>
      <w:lvlJc w:val="left"/>
      <w:pPr>
        <w:ind w:left="1865" w:hanging="360"/>
      </w:pPr>
      <w:rPr>
        <w:rFonts w:ascii="Courier New" w:hAnsi="Courier New" w:cs="Symbol" w:hint="default"/>
      </w:rPr>
    </w:lvl>
    <w:lvl w:ilvl="2" w:tplc="04090005">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Symbol"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Symbol" w:hint="default"/>
      </w:rPr>
    </w:lvl>
    <w:lvl w:ilvl="8" w:tplc="04090005" w:tentative="1">
      <w:start w:val="1"/>
      <w:numFmt w:val="bullet"/>
      <w:lvlText w:val=""/>
      <w:lvlJc w:val="left"/>
      <w:pPr>
        <w:ind w:left="6905" w:hanging="360"/>
      </w:pPr>
      <w:rPr>
        <w:rFonts w:ascii="Wingdings" w:hAnsi="Wingdings" w:hint="default"/>
      </w:rPr>
    </w:lvl>
  </w:abstractNum>
  <w:abstractNum w:abstractNumId="28" w15:restartNumberingAfterBreak="0">
    <w:nsid w:val="71550F91"/>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1564122"/>
    <w:multiLevelType w:val="hybridMultilevel"/>
    <w:tmpl w:val="2AC8BD40"/>
    <w:lvl w:ilvl="0" w:tplc="D3A4BDE4">
      <w:start w:val="1"/>
      <w:numFmt w:val="decimal"/>
      <w:lvlText w:val="O%1"/>
      <w:lvlJc w:val="left"/>
      <w:pPr>
        <w:ind w:left="720" w:hanging="360"/>
      </w:pPr>
      <w:rPr>
        <w:rFonts w:hint="default"/>
        <w:b/>
        <w:i w:val="0"/>
        <w:color w:val="7030A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71D83F97"/>
    <w:multiLevelType w:val="hybridMultilevel"/>
    <w:tmpl w:val="1F149BB6"/>
    <w:lvl w:ilvl="0" w:tplc="C22C9534">
      <w:start w:val="1"/>
      <w:numFmt w:val="bullet"/>
      <w:lvlText w:val=""/>
      <w:lvlJc w:val="left"/>
      <w:pPr>
        <w:ind w:left="1145" w:hanging="360"/>
      </w:pPr>
      <w:rPr>
        <w:rFonts w:ascii="Wingdings" w:hAnsi="Wingdings" w:hint="default"/>
      </w:rPr>
    </w:lvl>
    <w:lvl w:ilvl="1" w:tplc="04090003">
      <w:start w:val="1"/>
      <w:numFmt w:val="bullet"/>
      <w:lvlText w:val="o"/>
      <w:lvlJc w:val="left"/>
      <w:pPr>
        <w:ind w:left="1865" w:hanging="360"/>
      </w:pPr>
      <w:rPr>
        <w:rFonts w:ascii="Courier New" w:hAnsi="Courier New" w:cs="Symbol" w:hint="default"/>
      </w:rPr>
    </w:lvl>
    <w:lvl w:ilvl="2" w:tplc="04090005">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Symbol"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Symbol" w:hint="default"/>
      </w:rPr>
    </w:lvl>
    <w:lvl w:ilvl="8" w:tplc="04090005" w:tentative="1">
      <w:start w:val="1"/>
      <w:numFmt w:val="bullet"/>
      <w:lvlText w:val=""/>
      <w:lvlJc w:val="left"/>
      <w:pPr>
        <w:ind w:left="6905" w:hanging="360"/>
      </w:pPr>
      <w:rPr>
        <w:rFonts w:ascii="Wingdings" w:hAnsi="Wingdings" w:hint="default"/>
      </w:rPr>
    </w:lvl>
  </w:abstractNum>
  <w:abstractNum w:abstractNumId="31" w15:restartNumberingAfterBreak="0">
    <w:nsid w:val="74D54F9A"/>
    <w:multiLevelType w:val="multilevel"/>
    <w:tmpl w:val="69F2D6C6"/>
    <w:lvl w:ilvl="0">
      <w:start w:val="1"/>
      <w:numFmt w:val="decimal"/>
      <w:pStyle w:val="Heading1"/>
      <w:lvlText w:val="%1"/>
      <w:lvlJc w:val="left"/>
      <w:pPr>
        <w:ind w:left="0" w:hanging="851"/>
      </w:pPr>
      <w:rPr>
        <w:rFonts w:ascii="Arial" w:hAnsi="Arial" w:cs="Arial" w:hint="default"/>
        <w:b/>
        <w:i w:val="0"/>
        <w:color w:val="004C97" w:themeColor="accent1"/>
      </w:rPr>
    </w:lvl>
    <w:lvl w:ilvl="1">
      <w:start w:val="1"/>
      <w:numFmt w:val="decimal"/>
      <w:pStyle w:val="Heading2"/>
      <w:lvlText w:val="%1.%2"/>
      <w:lvlJc w:val="left"/>
      <w:pPr>
        <w:ind w:left="0" w:hanging="851"/>
      </w:pPr>
      <w:rPr>
        <w:rFonts w:hint="default"/>
        <w:color w:val="004C97" w:themeColor="accent1"/>
      </w:rPr>
    </w:lvl>
    <w:lvl w:ilvl="2">
      <w:start w:val="1"/>
      <w:numFmt w:val="decimal"/>
      <w:pStyle w:val="Heading3"/>
      <w:lvlText w:val="%1.%2.%3"/>
      <w:lvlJc w:val="left"/>
      <w:pPr>
        <w:ind w:left="0" w:hanging="851"/>
      </w:pPr>
      <w:rPr>
        <w:rFonts w:hint="default"/>
        <w:color w:val="004C97" w:themeColor="accent1"/>
      </w:rPr>
    </w:lvl>
    <w:lvl w:ilvl="3">
      <w:start w:val="1"/>
      <w:numFmt w:val="decimal"/>
      <w:lvlText w:val="%1.%2.%3.%4."/>
      <w:lvlJc w:val="left"/>
      <w:pPr>
        <w:ind w:left="0" w:hanging="851"/>
      </w:pPr>
      <w:rPr>
        <w:rFonts w:hint="default"/>
      </w:rPr>
    </w:lvl>
    <w:lvl w:ilvl="4">
      <w:start w:val="1"/>
      <w:numFmt w:val="decimal"/>
      <w:lvlText w:val="%1.%2.%3.%4.%5."/>
      <w:lvlJc w:val="left"/>
      <w:pPr>
        <w:ind w:left="0" w:hanging="851"/>
      </w:pPr>
      <w:rPr>
        <w:rFonts w:hint="default"/>
      </w:rPr>
    </w:lvl>
    <w:lvl w:ilvl="5">
      <w:start w:val="1"/>
      <w:numFmt w:val="decimal"/>
      <w:lvlText w:val="%1.%2.%3.%4.%5.%6."/>
      <w:lvlJc w:val="left"/>
      <w:pPr>
        <w:ind w:left="0" w:hanging="851"/>
      </w:pPr>
      <w:rPr>
        <w:rFonts w:hint="default"/>
      </w:rPr>
    </w:lvl>
    <w:lvl w:ilvl="6">
      <w:start w:val="1"/>
      <w:numFmt w:val="decimal"/>
      <w:lvlText w:val="%1.%2.%3.%4.%5.%6.%7."/>
      <w:lvlJc w:val="left"/>
      <w:pPr>
        <w:ind w:left="0" w:hanging="851"/>
      </w:pPr>
      <w:rPr>
        <w:rFonts w:hint="default"/>
      </w:rPr>
    </w:lvl>
    <w:lvl w:ilvl="7">
      <w:start w:val="1"/>
      <w:numFmt w:val="decimal"/>
      <w:lvlText w:val="%1.%2.%3.%4.%5.%6.%7.%8."/>
      <w:lvlJc w:val="left"/>
      <w:pPr>
        <w:ind w:left="0" w:hanging="851"/>
      </w:pPr>
      <w:rPr>
        <w:rFonts w:hint="default"/>
      </w:rPr>
    </w:lvl>
    <w:lvl w:ilvl="8">
      <w:start w:val="1"/>
      <w:numFmt w:val="decimal"/>
      <w:lvlText w:val="%1.%2.%3.%4.%5.%6.%7.%8.%9."/>
      <w:lvlJc w:val="left"/>
      <w:pPr>
        <w:ind w:left="0" w:hanging="851"/>
      </w:pPr>
      <w:rPr>
        <w:rFonts w:hint="default"/>
      </w:rPr>
    </w:lvl>
  </w:abstractNum>
  <w:abstractNum w:abstractNumId="32" w15:restartNumberingAfterBreak="0">
    <w:nsid w:val="7B5C3F53"/>
    <w:multiLevelType w:val="multilevel"/>
    <w:tmpl w:val="0060C338"/>
    <w:numStyleLink w:val="NumberedList"/>
  </w:abstractNum>
  <w:abstractNum w:abstractNumId="33" w15:restartNumberingAfterBreak="0">
    <w:nsid w:val="7F45563A"/>
    <w:multiLevelType w:val="hybridMultilevel"/>
    <w:tmpl w:val="A620B504"/>
    <w:lvl w:ilvl="0" w:tplc="0292E5C0">
      <w:start w:val="1"/>
      <w:numFmt w:val="decimal"/>
      <w:pStyle w:val="Tablenoobj"/>
      <w:lvlText w:val="O%1"/>
      <w:lvlJc w:val="left"/>
      <w:pPr>
        <w:ind w:left="360" w:hanging="360"/>
      </w:pPr>
      <w:rPr>
        <w:rFonts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2"/>
  </w:num>
  <w:num w:numId="2">
    <w:abstractNumId w:val="18"/>
  </w:num>
  <w:num w:numId="3">
    <w:abstractNumId w:val="2"/>
  </w:num>
  <w:num w:numId="4">
    <w:abstractNumId w:val="30"/>
  </w:num>
  <w:num w:numId="5">
    <w:abstractNumId w:val="7"/>
  </w:num>
  <w:num w:numId="6">
    <w:abstractNumId w:val="24"/>
  </w:num>
  <w:num w:numId="7">
    <w:abstractNumId w:val="10"/>
  </w:num>
  <w:num w:numId="8">
    <w:abstractNumId w:val="16"/>
  </w:num>
  <w:num w:numId="9">
    <w:abstractNumId w:val="25"/>
  </w:num>
  <w:num w:numId="10">
    <w:abstractNumId w:val="1"/>
  </w:num>
  <w:num w:numId="11">
    <w:abstractNumId w:val="0"/>
  </w:num>
  <w:num w:numId="12">
    <w:abstractNumId w:val="16"/>
  </w:num>
  <w:num w:numId="13">
    <w:abstractNumId w:val="16"/>
  </w:num>
  <w:num w:numId="14">
    <w:abstractNumId w:val="24"/>
  </w:num>
  <w:num w:numId="15">
    <w:abstractNumId w:val="10"/>
  </w:num>
  <w:num w:numId="16">
    <w:abstractNumId w:val="2"/>
  </w:num>
  <w:num w:numId="17">
    <w:abstractNumId w:val="30"/>
  </w:num>
  <w:num w:numId="18">
    <w:abstractNumId w:val="7"/>
  </w:num>
  <w:num w:numId="19">
    <w:abstractNumId w:val="19"/>
  </w:num>
  <w:num w:numId="20">
    <w:abstractNumId w:val="31"/>
  </w:num>
  <w:num w:numId="21">
    <w:abstractNumId w:val="28"/>
  </w:num>
  <w:num w:numId="22">
    <w:abstractNumId w:val="31"/>
    <w:lvlOverride w:ilvl="0">
      <w:lvl w:ilvl="0">
        <w:start w:val="1"/>
        <w:numFmt w:val="decimal"/>
        <w:pStyle w:val="Heading1"/>
        <w:lvlText w:val="%1."/>
        <w:lvlJc w:val="left"/>
        <w:pPr>
          <w:ind w:left="0" w:hanging="851"/>
        </w:pPr>
        <w:rPr>
          <w:rFonts w:ascii="Franklin Gothic Demi" w:hAnsi="Franklin Gothic Demi" w:hint="default"/>
          <w:b w:val="0"/>
          <w:i w:val="0"/>
          <w:color w:val="004C97" w:themeColor="accent1"/>
        </w:rPr>
      </w:lvl>
    </w:lvlOverride>
    <w:lvlOverride w:ilvl="1">
      <w:lvl w:ilvl="1">
        <w:start w:val="1"/>
        <w:numFmt w:val="decimal"/>
        <w:pStyle w:val="Heading2"/>
        <w:lvlText w:val="%1.%2."/>
        <w:lvlJc w:val="left"/>
        <w:pPr>
          <w:ind w:left="0" w:hanging="709"/>
        </w:pPr>
        <w:rPr>
          <w:rFonts w:hint="default"/>
          <w:color w:val="004C97" w:themeColor="accent1"/>
        </w:rPr>
      </w:lvl>
    </w:lvlOverride>
    <w:lvlOverride w:ilvl="2">
      <w:lvl w:ilvl="2">
        <w:start w:val="1"/>
        <w:numFmt w:val="decimal"/>
        <w:pStyle w:val="Heading3"/>
        <w:lvlText w:val="%1.%2.%3."/>
        <w:lvlJc w:val="left"/>
        <w:pPr>
          <w:ind w:left="0" w:hanging="709"/>
        </w:pPr>
        <w:rPr>
          <w:rFonts w:hint="default"/>
        </w:rPr>
      </w:lvl>
    </w:lvlOverride>
    <w:lvlOverride w:ilvl="3">
      <w:lvl w:ilvl="3">
        <w:start w:val="1"/>
        <w:numFmt w:val="decimal"/>
        <w:lvlText w:val="%1.%2.%3.%4."/>
        <w:lvlJc w:val="left"/>
        <w:pPr>
          <w:ind w:left="0" w:hanging="709"/>
        </w:pPr>
        <w:rPr>
          <w:rFonts w:hint="default"/>
        </w:rPr>
      </w:lvl>
    </w:lvlOverride>
    <w:lvlOverride w:ilvl="4">
      <w:lvl w:ilvl="4">
        <w:start w:val="1"/>
        <w:numFmt w:val="decimal"/>
        <w:lvlText w:val="%1.%2.%3.%4.%5."/>
        <w:lvlJc w:val="left"/>
        <w:pPr>
          <w:ind w:left="0" w:hanging="709"/>
        </w:pPr>
        <w:rPr>
          <w:rFonts w:hint="default"/>
        </w:rPr>
      </w:lvl>
    </w:lvlOverride>
    <w:lvlOverride w:ilvl="5">
      <w:lvl w:ilvl="5">
        <w:start w:val="1"/>
        <w:numFmt w:val="decimal"/>
        <w:lvlText w:val="%1.%2.%3.%4.%5.%6."/>
        <w:lvlJc w:val="left"/>
        <w:pPr>
          <w:ind w:left="0" w:hanging="709"/>
        </w:pPr>
        <w:rPr>
          <w:rFonts w:hint="default"/>
        </w:rPr>
      </w:lvl>
    </w:lvlOverride>
    <w:lvlOverride w:ilvl="6">
      <w:lvl w:ilvl="6">
        <w:start w:val="1"/>
        <w:numFmt w:val="decimal"/>
        <w:lvlText w:val="%1.%2.%3.%4.%5.%6.%7."/>
        <w:lvlJc w:val="left"/>
        <w:pPr>
          <w:ind w:left="0" w:hanging="709"/>
        </w:pPr>
        <w:rPr>
          <w:rFonts w:hint="default"/>
        </w:rPr>
      </w:lvl>
    </w:lvlOverride>
    <w:lvlOverride w:ilvl="7">
      <w:lvl w:ilvl="7">
        <w:start w:val="1"/>
        <w:numFmt w:val="decimal"/>
        <w:lvlText w:val="%1.%2.%3.%4.%5.%6.%7.%8."/>
        <w:lvlJc w:val="left"/>
        <w:pPr>
          <w:ind w:left="0" w:hanging="709"/>
        </w:pPr>
        <w:rPr>
          <w:rFonts w:hint="default"/>
        </w:rPr>
      </w:lvl>
    </w:lvlOverride>
    <w:lvlOverride w:ilvl="8">
      <w:lvl w:ilvl="8">
        <w:start w:val="1"/>
        <w:numFmt w:val="decimal"/>
        <w:lvlText w:val="%1.%2.%3.%4.%5.%6.%7.%8.%9."/>
        <w:lvlJc w:val="left"/>
        <w:pPr>
          <w:ind w:left="0" w:hanging="709"/>
        </w:pPr>
        <w:rPr>
          <w:rFonts w:hint="default"/>
        </w:rPr>
      </w:lvl>
    </w:lvlOverride>
  </w:num>
  <w:num w:numId="23">
    <w:abstractNumId w:val="31"/>
    <w:lvlOverride w:ilvl="0">
      <w:lvl w:ilvl="0">
        <w:start w:val="1"/>
        <w:numFmt w:val="decimal"/>
        <w:pStyle w:val="Heading1"/>
        <w:lvlText w:val="%1."/>
        <w:lvlJc w:val="left"/>
        <w:pPr>
          <w:ind w:left="0" w:hanging="851"/>
        </w:pPr>
        <w:rPr>
          <w:rFonts w:ascii="Franklin Gothic Demi" w:hAnsi="Franklin Gothic Demi" w:hint="default"/>
          <w:b w:val="0"/>
          <w:i w:val="0"/>
          <w:color w:val="004C97" w:themeColor="accent1"/>
        </w:rPr>
      </w:lvl>
    </w:lvlOverride>
    <w:lvlOverride w:ilvl="1">
      <w:lvl w:ilvl="1">
        <w:start w:val="1"/>
        <w:numFmt w:val="decimal"/>
        <w:pStyle w:val="Heading2"/>
        <w:lvlText w:val="%1.%2."/>
        <w:lvlJc w:val="left"/>
        <w:pPr>
          <w:ind w:left="0" w:hanging="851"/>
        </w:pPr>
        <w:rPr>
          <w:rFonts w:hint="default"/>
          <w:color w:val="004C97" w:themeColor="accent1"/>
        </w:rPr>
      </w:lvl>
    </w:lvlOverride>
    <w:lvlOverride w:ilvl="2">
      <w:lvl w:ilvl="2">
        <w:start w:val="1"/>
        <w:numFmt w:val="decimal"/>
        <w:pStyle w:val="Heading3"/>
        <w:lvlText w:val="%1.%2.%3."/>
        <w:lvlJc w:val="left"/>
        <w:pPr>
          <w:ind w:left="0" w:hanging="851"/>
        </w:pPr>
        <w:rPr>
          <w:rFonts w:hint="default"/>
          <w:color w:val="004C97"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24">
    <w:abstractNumId w:val="20"/>
  </w:num>
  <w:num w:numId="25">
    <w:abstractNumId w:val="27"/>
  </w:num>
  <w:num w:numId="26">
    <w:abstractNumId w:val="22"/>
  </w:num>
  <w:num w:numId="27">
    <w:abstractNumId w:val="4"/>
  </w:num>
  <w:num w:numId="28">
    <w:abstractNumId w:val="31"/>
    <w:lvlOverride w:ilvl="0">
      <w:lvl w:ilvl="0">
        <w:start w:val="1"/>
        <w:numFmt w:val="decimal"/>
        <w:pStyle w:val="Heading1"/>
        <w:lvlText w:val="%1"/>
        <w:lvlJc w:val="left"/>
        <w:pPr>
          <w:ind w:left="0" w:hanging="851"/>
        </w:pPr>
        <w:rPr>
          <w:rFonts w:hint="default"/>
          <w:b w:val="0"/>
          <w:i w:val="0"/>
          <w:color w:val="004C97" w:themeColor="accent1"/>
        </w:rPr>
      </w:lvl>
    </w:lvlOverride>
    <w:lvlOverride w:ilvl="1">
      <w:lvl w:ilvl="1">
        <w:start w:val="1"/>
        <w:numFmt w:val="decimal"/>
        <w:pStyle w:val="Heading2"/>
        <w:lvlText w:val="%1.%2"/>
        <w:lvlJc w:val="left"/>
        <w:pPr>
          <w:ind w:left="0" w:hanging="851"/>
        </w:pPr>
        <w:rPr>
          <w:rFonts w:hint="default"/>
          <w:color w:val="004C97" w:themeColor="accent1"/>
        </w:rPr>
      </w:lvl>
    </w:lvlOverride>
    <w:lvlOverride w:ilvl="2">
      <w:lvl w:ilvl="2">
        <w:start w:val="1"/>
        <w:numFmt w:val="decimal"/>
        <w:pStyle w:val="Heading3"/>
        <w:lvlText w:val="%1.%2.%3"/>
        <w:lvlJc w:val="left"/>
        <w:pPr>
          <w:ind w:left="0" w:hanging="851"/>
        </w:pPr>
        <w:rPr>
          <w:rFonts w:hint="default"/>
          <w:color w:val="004C97"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29">
    <w:abstractNumId w:val="33"/>
  </w:num>
  <w:num w:numId="30">
    <w:abstractNumId w:val="29"/>
  </w:num>
  <w:num w:numId="31">
    <w:abstractNumId w:val="5"/>
  </w:num>
  <w:num w:numId="32">
    <w:abstractNumId w:val="17"/>
  </w:num>
  <w:num w:numId="33">
    <w:abstractNumId w:val="21"/>
  </w:num>
  <w:num w:numId="34">
    <w:abstractNumId w:val="13"/>
  </w:num>
  <w:num w:numId="35">
    <w:abstractNumId w:val="14"/>
  </w:num>
  <w:num w:numId="36">
    <w:abstractNumId w:val="31"/>
    <w:lvlOverride w:ilvl="0">
      <w:lvl w:ilvl="0">
        <w:start w:val="1"/>
        <w:numFmt w:val="decimal"/>
        <w:pStyle w:val="Heading1"/>
        <w:lvlText w:val="%1"/>
        <w:lvlJc w:val="left"/>
        <w:pPr>
          <w:ind w:left="0" w:hanging="851"/>
        </w:pPr>
        <w:rPr>
          <w:rFonts w:ascii="VIC SemiBold" w:hAnsi="VIC SemiBold" w:hint="default"/>
          <w:b w:val="0"/>
          <w:i w:val="0"/>
          <w:color w:val="004C97" w:themeColor="accent1"/>
        </w:rPr>
      </w:lvl>
    </w:lvlOverride>
    <w:lvlOverride w:ilvl="1">
      <w:lvl w:ilvl="1">
        <w:start w:val="1"/>
        <w:numFmt w:val="decimal"/>
        <w:pStyle w:val="Heading2"/>
        <w:lvlText w:val="%1.%2"/>
        <w:lvlJc w:val="left"/>
        <w:pPr>
          <w:ind w:left="0" w:hanging="851"/>
        </w:pPr>
        <w:rPr>
          <w:rFonts w:ascii="VIC SemiBold" w:hAnsi="VIC SemiBold" w:hint="default"/>
          <w:color w:val="004C97" w:themeColor="accent1"/>
        </w:rPr>
      </w:lvl>
    </w:lvlOverride>
    <w:lvlOverride w:ilvl="2">
      <w:lvl w:ilvl="2">
        <w:start w:val="1"/>
        <w:numFmt w:val="decimal"/>
        <w:pStyle w:val="Heading3"/>
        <w:lvlText w:val="%1.%2.%3"/>
        <w:lvlJc w:val="left"/>
        <w:pPr>
          <w:ind w:left="0" w:hanging="851"/>
        </w:pPr>
        <w:rPr>
          <w:rFonts w:hint="default"/>
          <w:color w:val="004C97"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37">
    <w:abstractNumId w:val="31"/>
    <w:lvlOverride w:ilvl="0">
      <w:lvl w:ilvl="0">
        <w:start w:val="1"/>
        <w:numFmt w:val="decimal"/>
        <w:pStyle w:val="Heading1"/>
        <w:lvlText w:val="%1"/>
        <w:lvlJc w:val="left"/>
        <w:pPr>
          <w:ind w:left="0" w:hanging="851"/>
        </w:pPr>
        <w:rPr>
          <w:rFonts w:ascii="VIC SemiBold" w:hAnsi="VIC SemiBold" w:hint="default"/>
          <w:b w:val="0"/>
          <w:i w:val="0"/>
          <w:color w:val="004C97" w:themeColor="accent1"/>
        </w:rPr>
      </w:lvl>
    </w:lvlOverride>
    <w:lvlOverride w:ilvl="1">
      <w:lvl w:ilvl="1">
        <w:start w:val="1"/>
        <w:numFmt w:val="decimal"/>
        <w:pStyle w:val="Heading2"/>
        <w:lvlText w:val="%1.%2"/>
        <w:lvlJc w:val="left"/>
        <w:pPr>
          <w:ind w:left="0" w:hanging="851"/>
        </w:pPr>
        <w:rPr>
          <w:rFonts w:ascii="VIC SemiBold" w:hAnsi="VIC SemiBold" w:hint="default"/>
          <w:color w:val="004C97" w:themeColor="accent1"/>
        </w:rPr>
      </w:lvl>
    </w:lvlOverride>
    <w:lvlOverride w:ilvl="2">
      <w:lvl w:ilvl="2">
        <w:start w:val="1"/>
        <w:numFmt w:val="decimal"/>
        <w:pStyle w:val="Heading3"/>
        <w:lvlText w:val="%1.%2.%3"/>
        <w:lvlJc w:val="left"/>
        <w:pPr>
          <w:ind w:left="0" w:hanging="851"/>
        </w:pPr>
        <w:rPr>
          <w:rFonts w:ascii="VIC SemiBold" w:hAnsi="VIC SemiBold" w:hint="default"/>
          <w:color w:val="004C97"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38">
    <w:abstractNumId w:val="3"/>
  </w:num>
  <w:num w:numId="39">
    <w:abstractNumId w:val="32"/>
  </w:num>
  <w:num w:numId="40">
    <w:abstractNumId w:val="8"/>
  </w:num>
  <w:num w:numId="41">
    <w:abstractNumId w:val="6"/>
  </w:num>
  <w:num w:numId="42">
    <w:abstractNumId w:val="23"/>
  </w:num>
  <w:num w:numId="43">
    <w:abstractNumId w:val="26"/>
  </w:num>
  <w:num w:numId="44">
    <w:abstractNumId w:val="15"/>
  </w:num>
  <w:num w:numId="45">
    <w:abstractNumId w:val="11"/>
  </w:num>
  <w:num w:numId="46">
    <w:abstractNumId w:val="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saveSubsetFonts/>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evenAndOddHeaders/>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3DB4"/>
    <w:rsid w:val="00003E8E"/>
    <w:rsid w:val="00007FCC"/>
    <w:rsid w:val="0001745F"/>
    <w:rsid w:val="0003639D"/>
    <w:rsid w:val="0004111B"/>
    <w:rsid w:val="000427EC"/>
    <w:rsid w:val="000455B0"/>
    <w:rsid w:val="0005543A"/>
    <w:rsid w:val="00065392"/>
    <w:rsid w:val="00073058"/>
    <w:rsid w:val="0008382A"/>
    <w:rsid w:val="00085705"/>
    <w:rsid w:val="00097894"/>
    <w:rsid w:val="000A328E"/>
    <w:rsid w:val="000A60B0"/>
    <w:rsid w:val="000B2876"/>
    <w:rsid w:val="000C28B1"/>
    <w:rsid w:val="000C73D1"/>
    <w:rsid w:val="000E1D93"/>
    <w:rsid w:val="000E6341"/>
    <w:rsid w:val="000F36DC"/>
    <w:rsid w:val="000F3D5F"/>
    <w:rsid w:val="00100076"/>
    <w:rsid w:val="00106314"/>
    <w:rsid w:val="001352AE"/>
    <w:rsid w:val="00136EE1"/>
    <w:rsid w:val="00137B47"/>
    <w:rsid w:val="00151100"/>
    <w:rsid w:val="00165845"/>
    <w:rsid w:val="00174FB6"/>
    <w:rsid w:val="001A465C"/>
    <w:rsid w:val="001B43BF"/>
    <w:rsid w:val="001C1179"/>
    <w:rsid w:val="001C66E4"/>
    <w:rsid w:val="001C6B21"/>
    <w:rsid w:val="001C6BD9"/>
    <w:rsid w:val="001E3B39"/>
    <w:rsid w:val="002024A7"/>
    <w:rsid w:val="002054DA"/>
    <w:rsid w:val="0022602A"/>
    <w:rsid w:val="00237BB7"/>
    <w:rsid w:val="002461EB"/>
    <w:rsid w:val="00250703"/>
    <w:rsid w:val="00252250"/>
    <w:rsid w:val="00255934"/>
    <w:rsid w:val="00255C40"/>
    <w:rsid w:val="002618E5"/>
    <w:rsid w:val="0027653B"/>
    <w:rsid w:val="00282CC9"/>
    <w:rsid w:val="00287C35"/>
    <w:rsid w:val="002A7BB3"/>
    <w:rsid w:val="002B284B"/>
    <w:rsid w:val="002E746C"/>
    <w:rsid w:val="002F1993"/>
    <w:rsid w:val="0033207D"/>
    <w:rsid w:val="00333785"/>
    <w:rsid w:val="0033506D"/>
    <w:rsid w:val="00337B9D"/>
    <w:rsid w:val="003435FC"/>
    <w:rsid w:val="00351ACD"/>
    <w:rsid w:val="003561D3"/>
    <w:rsid w:val="003704B0"/>
    <w:rsid w:val="0037719F"/>
    <w:rsid w:val="00392409"/>
    <w:rsid w:val="003C7045"/>
    <w:rsid w:val="003D1377"/>
    <w:rsid w:val="003E1598"/>
    <w:rsid w:val="003E637D"/>
    <w:rsid w:val="003F07F0"/>
    <w:rsid w:val="003F2D9F"/>
    <w:rsid w:val="00412483"/>
    <w:rsid w:val="00414CC4"/>
    <w:rsid w:val="004311C9"/>
    <w:rsid w:val="0043755E"/>
    <w:rsid w:val="0045269F"/>
    <w:rsid w:val="004614FA"/>
    <w:rsid w:val="00467552"/>
    <w:rsid w:val="0047222D"/>
    <w:rsid w:val="00481C3C"/>
    <w:rsid w:val="00485837"/>
    <w:rsid w:val="004A504E"/>
    <w:rsid w:val="004D5044"/>
    <w:rsid w:val="004D7343"/>
    <w:rsid w:val="004E043D"/>
    <w:rsid w:val="004E4F99"/>
    <w:rsid w:val="004F421C"/>
    <w:rsid w:val="00507B1A"/>
    <w:rsid w:val="00521693"/>
    <w:rsid w:val="0053280D"/>
    <w:rsid w:val="00533248"/>
    <w:rsid w:val="00543609"/>
    <w:rsid w:val="00543DEB"/>
    <w:rsid w:val="00544BAA"/>
    <w:rsid w:val="00545D48"/>
    <w:rsid w:val="00552F9A"/>
    <w:rsid w:val="00561D8B"/>
    <w:rsid w:val="00572A90"/>
    <w:rsid w:val="00581A4E"/>
    <w:rsid w:val="00586925"/>
    <w:rsid w:val="00595E7F"/>
    <w:rsid w:val="005A0886"/>
    <w:rsid w:val="005A728A"/>
    <w:rsid w:val="005B15ED"/>
    <w:rsid w:val="005B5340"/>
    <w:rsid w:val="005B6C28"/>
    <w:rsid w:val="005C0D72"/>
    <w:rsid w:val="005C2E8D"/>
    <w:rsid w:val="005C5489"/>
    <w:rsid w:val="005D6B50"/>
    <w:rsid w:val="005E5986"/>
    <w:rsid w:val="005E64C6"/>
    <w:rsid w:val="005F57E2"/>
    <w:rsid w:val="006025C6"/>
    <w:rsid w:val="00610326"/>
    <w:rsid w:val="00616AC5"/>
    <w:rsid w:val="00632AA1"/>
    <w:rsid w:val="00633DB4"/>
    <w:rsid w:val="00657EC1"/>
    <w:rsid w:val="00673BF4"/>
    <w:rsid w:val="006746F2"/>
    <w:rsid w:val="006A4D34"/>
    <w:rsid w:val="006A715A"/>
    <w:rsid w:val="006C38E1"/>
    <w:rsid w:val="006D3D19"/>
    <w:rsid w:val="006F797F"/>
    <w:rsid w:val="00716740"/>
    <w:rsid w:val="0072244E"/>
    <w:rsid w:val="00754C26"/>
    <w:rsid w:val="00756099"/>
    <w:rsid w:val="00756D2C"/>
    <w:rsid w:val="00764DCA"/>
    <w:rsid w:val="007651DC"/>
    <w:rsid w:val="0077490F"/>
    <w:rsid w:val="0078355D"/>
    <w:rsid w:val="00784D31"/>
    <w:rsid w:val="007902DF"/>
    <w:rsid w:val="00791F1B"/>
    <w:rsid w:val="00797790"/>
    <w:rsid w:val="007E203E"/>
    <w:rsid w:val="007E2E88"/>
    <w:rsid w:val="007E4E62"/>
    <w:rsid w:val="007F0B30"/>
    <w:rsid w:val="008236A7"/>
    <w:rsid w:val="00847808"/>
    <w:rsid w:val="00850117"/>
    <w:rsid w:val="0086193B"/>
    <w:rsid w:val="008654AB"/>
    <w:rsid w:val="00866594"/>
    <w:rsid w:val="00881B08"/>
    <w:rsid w:val="008851DF"/>
    <w:rsid w:val="008865F6"/>
    <w:rsid w:val="008B0A44"/>
    <w:rsid w:val="008C0BBB"/>
    <w:rsid w:val="008C5740"/>
    <w:rsid w:val="008D7974"/>
    <w:rsid w:val="009069C2"/>
    <w:rsid w:val="009263F3"/>
    <w:rsid w:val="00937364"/>
    <w:rsid w:val="009501FD"/>
    <w:rsid w:val="0095183A"/>
    <w:rsid w:val="00960918"/>
    <w:rsid w:val="00965002"/>
    <w:rsid w:val="00985C5F"/>
    <w:rsid w:val="00987CB7"/>
    <w:rsid w:val="009920B2"/>
    <w:rsid w:val="009957D3"/>
    <w:rsid w:val="009A0103"/>
    <w:rsid w:val="009B0F78"/>
    <w:rsid w:val="009B17E8"/>
    <w:rsid w:val="009C0CAD"/>
    <w:rsid w:val="009D0417"/>
    <w:rsid w:val="009D1823"/>
    <w:rsid w:val="009E0313"/>
    <w:rsid w:val="009F44C7"/>
    <w:rsid w:val="009F57DA"/>
    <w:rsid w:val="00A026A8"/>
    <w:rsid w:val="00A116B6"/>
    <w:rsid w:val="00A54BF7"/>
    <w:rsid w:val="00A61404"/>
    <w:rsid w:val="00A616A8"/>
    <w:rsid w:val="00A6488F"/>
    <w:rsid w:val="00A77293"/>
    <w:rsid w:val="00A81C71"/>
    <w:rsid w:val="00A8287C"/>
    <w:rsid w:val="00A8299B"/>
    <w:rsid w:val="00A9595C"/>
    <w:rsid w:val="00AA5F37"/>
    <w:rsid w:val="00AD0FDC"/>
    <w:rsid w:val="00B21758"/>
    <w:rsid w:val="00B22519"/>
    <w:rsid w:val="00B25E21"/>
    <w:rsid w:val="00B427C0"/>
    <w:rsid w:val="00B6402D"/>
    <w:rsid w:val="00B7210B"/>
    <w:rsid w:val="00B77892"/>
    <w:rsid w:val="00B952E8"/>
    <w:rsid w:val="00B95652"/>
    <w:rsid w:val="00BB2AEA"/>
    <w:rsid w:val="00BC2895"/>
    <w:rsid w:val="00BC3117"/>
    <w:rsid w:val="00BC38C5"/>
    <w:rsid w:val="00BD129D"/>
    <w:rsid w:val="00BE145B"/>
    <w:rsid w:val="00C5425D"/>
    <w:rsid w:val="00C5549D"/>
    <w:rsid w:val="00C603A8"/>
    <w:rsid w:val="00C71111"/>
    <w:rsid w:val="00C73C71"/>
    <w:rsid w:val="00C86778"/>
    <w:rsid w:val="00C92B9B"/>
    <w:rsid w:val="00C95F84"/>
    <w:rsid w:val="00CB05DF"/>
    <w:rsid w:val="00CB3A49"/>
    <w:rsid w:val="00CD3E97"/>
    <w:rsid w:val="00CF75FF"/>
    <w:rsid w:val="00D029C5"/>
    <w:rsid w:val="00D23473"/>
    <w:rsid w:val="00D271C1"/>
    <w:rsid w:val="00D60B69"/>
    <w:rsid w:val="00D671D9"/>
    <w:rsid w:val="00D8680D"/>
    <w:rsid w:val="00D879C8"/>
    <w:rsid w:val="00D913E1"/>
    <w:rsid w:val="00D968DC"/>
    <w:rsid w:val="00DA32A6"/>
    <w:rsid w:val="00DC2717"/>
    <w:rsid w:val="00DD0540"/>
    <w:rsid w:val="00DE6FF1"/>
    <w:rsid w:val="00DF758C"/>
    <w:rsid w:val="00E11707"/>
    <w:rsid w:val="00E33FF5"/>
    <w:rsid w:val="00E34FA9"/>
    <w:rsid w:val="00E572E9"/>
    <w:rsid w:val="00E57D03"/>
    <w:rsid w:val="00E75B3A"/>
    <w:rsid w:val="00E8359F"/>
    <w:rsid w:val="00E84FF9"/>
    <w:rsid w:val="00E87E23"/>
    <w:rsid w:val="00E91979"/>
    <w:rsid w:val="00EA0BB1"/>
    <w:rsid w:val="00EA63C1"/>
    <w:rsid w:val="00EC54A1"/>
    <w:rsid w:val="00EC633E"/>
    <w:rsid w:val="00ED593D"/>
    <w:rsid w:val="00EE0D08"/>
    <w:rsid w:val="00EE1649"/>
    <w:rsid w:val="00EE2C46"/>
    <w:rsid w:val="00EE4BC2"/>
    <w:rsid w:val="00EF1C5F"/>
    <w:rsid w:val="00F00B8E"/>
    <w:rsid w:val="00F056BF"/>
    <w:rsid w:val="00F15103"/>
    <w:rsid w:val="00F15237"/>
    <w:rsid w:val="00F16B89"/>
    <w:rsid w:val="00F17671"/>
    <w:rsid w:val="00F2422A"/>
    <w:rsid w:val="00F32B77"/>
    <w:rsid w:val="00F46727"/>
    <w:rsid w:val="00F85A6B"/>
    <w:rsid w:val="00F95F5C"/>
    <w:rsid w:val="00FA4629"/>
    <w:rsid w:val="00FB638D"/>
    <w:rsid w:val="00FC0E91"/>
    <w:rsid w:val="00FC3134"/>
    <w:rsid w:val="00FD3307"/>
    <w:rsid w:val="00FD6A9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3C7FF3A"/>
  <w15:docId w15:val="{3D2035B6-BAF2-476A-BAA6-4ABA401E3E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w:hAnsi="Arial" w:cs="Times New Roman"/>
        <w:sz w:val="18"/>
        <w:szCs w:val="18"/>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5" w:uiPriority="98"/>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qFormat="1"/>
    <w:lsdException w:name="index heading" w:semiHidden="1" w:unhideWhenUsed="1"/>
    <w:lsdException w:name="caption"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uiPriority="66"/>
    <w:lsdException w:name="Medium Grid 1 Accent 1"/>
    <w:lsdException w:name="Medium Grid 2 Accent 1" w:uiPriority="68"/>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uiPriority="66"/>
    <w:lsdException w:name="Medium Grid 1 Accent 2"/>
    <w:lsdException w:name="Medium Grid 2 Accent 2" w:uiPriority="68"/>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uiPriority="66"/>
    <w:lsdException w:name="Medium Grid 1 Accent 3"/>
    <w:lsdException w:name="Medium Grid 2 Accent 3" w:uiPriority="68"/>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uiPriority="66"/>
    <w:lsdException w:name="Medium Grid 1 Accent 4"/>
    <w:lsdException w:name="Medium Grid 2 Accent 4" w:uiPriority="68"/>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uiPriority="66"/>
    <w:lsdException w:name="Medium Grid 1 Accent 5"/>
    <w:lsdException w:name="Medium Grid 2 Accent 5" w:uiPriority="68"/>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uiPriority="66"/>
    <w:lsdException w:name="Medium Grid 1 Accent 6"/>
    <w:lsdException w:name="Medium Grid 2 Accent 6" w:uiPriority="68"/>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7210B"/>
    <w:pPr>
      <w:suppressAutoHyphens/>
      <w:spacing w:before="200" w:line="276" w:lineRule="auto"/>
      <w:jc w:val="both"/>
    </w:pPr>
  </w:style>
  <w:style w:type="paragraph" w:styleId="Heading1">
    <w:name w:val="heading 1"/>
    <w:basedOn w:val="Normal"/>
    <w:next w:val="Normal"/>
    <w:link w:val="Heading1Char"/>
    <w:qFormat/>
    <w:rsid w:val="00595E7F"/>
    <w:pPr>
      <w:keepNext/>
      <w:pageBreakBefore/>
      <w:numPr>
        <w:numId w:val="20"/>
      </w:numPr>
      <w:pBdr>
        <w:bottom w:val="single" w:sz="4" w:space="1" w:color="004C97" w:themeColor="accent1"/>
      </w:pBdr>
      <w:suppressAutoHyphens w:val="0"/>
      <w:spacing w:before="0" w:after="40"/>
      <w:jc w:val="left"/>
      <w:outlineLvl w:val="0"/>
    </w:pPr>
    <w:rPr>
      <w:rFonts w:cs="Arial"/>
      <w:caps/>
      <w:color w:val="005EA1"/>
      <w:spacing w:val="10"/>
      <w:sz w:val="32"/>
      <w:szCs w:val="32"/>
      <w:lang w:eastAsia="en-US"/>
    </w:rPr>
  </w:style>
  <w:style w:type="paragraph" w:styleId="Heading2">
    <w:name w:val="heading 2"/>
    <w:basedOn w:val="Heading1"/>
    <w:next w:val="Normal"/>
    <w:link w:val="Heading2Char"/>
    <w:qFormat/>
    <w:rsid w:val="009D1823"/>
    <w:pPr>
      <w:pageBreakBefore w:val="0"/>
      <w:numPr>
        <w:ilvl w:val="1"/>
        <w:numId w:val="36"/>
      </w:numPr>
      <w:pBdr>
        <w:bottom w:val="none" w:sz="0" w:space="0" w:color="auto"/>
      </w:pBdr>
      <w:spacing w:before="320"/>
      <w:outlineLvl w:val="1"/>
    </w:pPr>
    <w:rPr>
      <w:rFonts w:ascii="Arial Bold" w:hAnsi="Arial Bold"/>
      <w:b/>
      <w:caps w:val="0"/>
      <w:sz w:val="26"/>
      <w:szCs w:val="28"/>
    </w:rPr>
  </w:style>
  <w:style w:type="paragraph" w:styleId="Heading3">
    <w:name w:val="heading 3"/>
    <w:basedOn w:val="Heading2"/>
    <w:next w:val="Normal"/>
    <w:link w:val="Heading3Char"/>
    <w:qFormat/>
    <w:rsid w:val="0045269F"/>
    <w:pPr>
      <w:numPr>
        <w:ilvl w:val="2"/>
        <w:numId w:val="37"/>
      </w:numPr>
      <w:spacing w:before="280"/>
      <w:outlineLvl w:val="2"/>
    </w:pPr>
    <w:rPr>
      <w:sz w:val="22"/>
      <w:szCs w:val="22"/>
    </w:rPr>
  </w:style>
  <w:style w:type="paragraph" w:styleId="Heading4">
    <w:name w:val="heading 4"/>
    <w:basedOn w:val="Normal"/>
    <w:next w:val="Normal"/>
    <w:link w:val="Heading4Char"/>
    <w:rsid w:val="005C5489"/>
    <w:pPr>
      <w:keepNext/>
      <w:spacing w:before="240" w:after="40"/>
      <w:outlineLvl w:val="3"/>
    </w:pPr>
    <w:rPr>
      <w:color w:val="004C97" w:themeColor="accent1"/>
      <w:lang w:eastAsia="en-US"/>
    </w:rPr>
  </w:style>
  <w:style w:type="paragraph" w:styleId="Heading5">
    <w:name w:val="heading 5"/>
    <w:basedOn w:val="Heading4"/>
    <w:next w:val="Normal"/>
    <w:link w:val="Heading5Char"/>
    <w:uiPriority w:val="98"/>
    <w:semiHidden/>
    <w:rsid w:val="00F878B0"/>
    <w:pPr>
      <w:outlineLvl w:val="4"/>
    </w:pPr>
    <w:rPr>
      <w:rFonts w:eastAsia="Times New Roman"/>
      <w:u w:color="808080"/>
    </w:rPr>
  </w:style>
  <w:style w:type="paragraph" w:styleId="Heading6">
    <w:name w:val="heading 6"/>
    <w:basedOn w:val="NormalLeftAlign"/>
    <w:next w:val="Normal"/>
    <w:semiHidden/>
    <w:unhideWhenUsed/>
    <w:rsid w:val="008F228F"/>
    <w:pPr>
      <w:keepNext/>
      <w:tabs>
        <w:tab w:val="left" w:pos="357"/>
      </w:tabs>
      <w:spacing w:before="240"/>
      <w:outlineLvl w:val="5"/>
    </w:pPr>
    <w:rPr>
      <w:rFonts w:eastAsia="Times New Roman"/>
    </w:rPr>
  </w:style>
  <w:style w:type="paragraph" w:styleId="Heading7">
    <w:name w:val="heading 7"/>
    <w:basedOn w:val="NormalLeftAlign"/>
    <w:next w:val="Normal"/>
    <w:semiHidden/>
    <w:unhideWhenUsed/>
    <w:rsid w:val="00EE6E35"/>
    <w:pPr>
      <w:keepNext/>
      <w:spacing w:before="200"/>
      <w:outlineLvl w:val="6"/>
    </w:pPr>
  </w:style>
  <w:style w:type="paragraph" w:styleId="Heading8">
    <w:name w:val="heading 8"/>
    <w:basedOn w:val="Normal"/>
    <w:next w:val="Normal"/>
    <w:semiHidden/>
    <w:rsid w:val="00D03EDA"/>
    <w:pPr>
      <w:spacing w:after="40"/>
      <w:outlineLvl w:val="7"/>
    </w:pPr>
  </w:style>
  <w:style w:type="paragraph" w:styleId="Heading9">
    <w:name w:val="heading 9"/>
    <w:basedOn w:val="Heading8"/>
    <w:next w:val="Normal"/>
    <w:link w:val="Heading9Char"/>
    <w:semiHidden/>
    <w:unhideWhenUsed/>
    <w:qFormat/>
    <w:rsid w:val="00756D2C"/>
    <w:pPr>
      <w:keepNext/>
      <w:keepLines/>
      <w:outlineLvl w:val="8"/>
    </w:pPr>
    <w:rPr>
      <w:rFonts w:eastAsiaTheme="majorEastAsia" w:cstheme="majorBidi"/>
      <w:i/>
      <w:iCs/>
      <w:color w:val="404040" w:themeColor="text1" w:themeTint="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ListBigIndent">
    <w:name w:val="Indent List Big Indent"/>
    <w:basedOn w:val="NormalLeftAlign"/>
    <w:semiHidden/>
    <w:rsid w:val="006A4B4A"/>
    <w:pPr>
      <w:tabs>
        <w:tab w:val="left" w:pos="1134"/>
        <w:tab w:val="left" w:pos="1985"/>
      </w:tabs>
      <w:spacing w:before="0"/>
      <w:ind w:left="1134"/>
    </w:pPr>
  </w:style>
  <w:style w:type="table" w:styleId="TableGrid">
    <w:name w:val="Table Grid"/>
    <w:basedOn w:val="TableNormal"/>
    <w:uiPriority w:val="39"/>
    <w:rsid w:val="005D6B50"/>
    <w:pPr>
      <w:tabs>
        <w:tab w:val="left" w:pos="425"/>
        <w:tab w:val="left" w:pos="709"/>
        <w:tab w:val="left" w:pos="992"/>
      </w:tabs>
      <w:suppressAutoHyphens/>
    </w:pPr>
    <w:rPr>
      <w:sz w:val="20"/>
    </w:rPr>
    <w:tblPr>
      <w:tblBorders>
        <w:bottom w:val="single" w:sz="4" w:space="0" w:color="808080"/>
        <w:insideH w:val="single" w:sz="4" w:space="0" w:color="808080"/>
      </w:tblBorders>
    </w:tblPr>
  </w:style>
  <w:style w:type="character" w:customStyle="1" w:styleId="TableheadingsChar">
    <w:name w:val="Table / headings Char"/>
    <w:basedOn w:val="DefaultParagraphFont"/>
    <w:link w:val="Tableheadings"/>
    <w:rsid w:val="005C5489"/>
    <w:rPr>
      <w:rFonts w:ascii="Arial Black" w:hAnsi="Arial Black"/>
      <w:b/>
      <w:caps/>
      <w:color w:val="FFFFFF" w:themeColor="background1"/>
      <w:sz w:val="16"/>
    </w:rPr>
  </w:style>
  <w:style w:type="character" w:customStyle="1" w:styleId="TabletextChar">
    <w:name w:val="Table / text Char"/>
    <w:basedOn w:val="TableheadingsChar"/>
    <w:link w:val="Tabletext"/>
    <w:rsid w:val="001B43BF"/>
    <w:rPr>
      <w:rFonts w:ascii="VIC SemiBold" w:hAnsi="VIC SemiBold"/>
      <w:b w:val="0"/>
      <w:caps w:val="0"/>
      <w:color w:val="262626" w:themeColor="text1" w:themeTint="D9"/>
      <w:sz w:val="16"/>
    </w:rPr>
  </w:style>
  <w:style w:type="paragraph" w:customStyle="1" w:styleId="Marginbox">
    <w:name w:val="Margin box"/>
    <w:basedOn w:val="NormalLeftAlign"/>
    <w:next w:val="Normal"/>
    <w:semiHidden/>
    <w:rsid w:val="002F2B1E"/>
    <w:pPr>
      <w:spacing w:before="0"/>
      <w:ind w:right="113"/>
      <w:jc w:val="right"/>
    </w:pPr>
    <w:rPr>
      <w:i/>
      <w:sz w:val="24"/>
    </w:rPr>
  </w:style>
  <w:style w:type="paragraph" w:customStyle="1" w:styleId="NormalLeftAlign">
    <w:name w:val="Normal Left Align"/>
    <w:semiHidden/>
    <w:rsid w:val="00960299"/>
    <w:pPr>
      <w:suppressAutoHyphens/>
      <w:spacing w:before="160"/>
    </w:pPr>
    <w:rPr>
      <w:sz w:val="21"/>
      <w:lang w:eastAsia="en-US"/>
    </w:rPr>
  </w:style>
  <w:style w:type="paragraph" w:customStyle="1" w:styleId="Tableheadings">
    <w:name w:val="Table / headings"/>
    <w:basedOn w:val="Normal"/>
    <w:link w:val="TableheadingsChar"/>
    <w:rsid w:val="005C5489"/>
    <w:pPr>
      <w:keepNext/>
      <w:spacing w:before="120" w:after="80"/>
      <w:jc w:val="left"/>
    </w:pPr>
    <w:rPr>
      <w:rFonts w:ascii="Arial Black" w:hAnsi="Arial Black"/>
      <w:b/>
      <w:caps/>
      <w:color w:val="FFFFFF" w:themeColor="background1"/>
      <w:sz w:val="16"/>
    </w:rPr>
  </w:style>
  <w:style w:type="paragraph" w:customStyle="1" w:styleId="List3dash">
    <w:name w:val="List 3 / dash"/>
    <w:basedOn w:val="Normal"/>
    <w:qFormat/>
    <w:rsid w:val="00B7210B"/>
    <w:pPr>
      <w:keepLines/>
      <w:numPr>
        <w:numId w:val="26"/>
      </w:numPr>
      <w:spacing w:before="40"/>
      <w:ind w:left="568" w:hanging="284"/>
      <w:jc w:val="left"/>
    </w:pPr>
    <w:rPr>
      <w:rFonts w:eastAsia="Arial Unicode MS" w:cs="Arial"/>
      <w:lang w:eastAsia="en-US"/>
    </w:rPr>
  </w:style>
  <w:style w:type="character" w:customStyle="1" w:styleId="TablenoobjChar">
    <w:name w:val="Table / no. obj Char"/>
    <w:basedOn w:val="TabletextChar"/>
    <w:link w:val="Tablenoobj"/>
    <w:rsid w:val="005C5489"/>
    <w:rPr>
      <w:rFonts w:ascii="Arial Black" w:hAnsi="Arial Black"/>
      <w:b w:val="0"/>
      <w:caps w:val="0"/>
      <w:color w:val="201547" w:themeColor="text2"/>
      <w:sz w:val="24"/>
    </w:rPr>
  </w:style>
  <w:style w:type="paragraph" w:customStyle="1" w:styleId="Tabletext">
    <w:name w:val="Table / text"/>
    <w:basedOn w:val="Normal"/>
    <w:link w:val="TabletextChar"/>
    <w:qFormat/>
    <w:rsid w:val="001B43BF"/>
    <w:pPr>
      <w:spacing w:before="40" w:after="40"/>
      <w:jc w:val="left"/>
    </w:pPr>
    <w:rPr>
      <w:color w:val="262626" w:themeColor="text1" w:themeTint="D9"/>
      <w:sz w:val="16"/>
    </w:rPr>
  </w:style>
  <w:style w:type="paragraph" w:styleId="BodyTextIndent">
    <w:name w:val="Body Text Indent"/>
    <w:aliases w:val="Quote1"/>
    <w:basedOn w:val="Normal"/>
    <w:link w:val="BodyTextIndentChar"/>
    <w:semiHidden/>
    <w:rsid w:val="00181D1D"/>
    <w:pPr>
      <w:tabs>
        <w:tab w:val="left" w:pos="426"/>
      </w:tabs>
      <w:ind w:left="426"/>
    </w:pPr>
    <w:rPr>
      <w:i/>
    </w:rPr>
  </w:style>
  <w:style w:type="paragraph" w:customStyle="1" w:styleId="List2indent">
    <w:name w:val="List 2 / indent"/>
    <w:basedOn w:val="Normal"/>
    <w:qFormat/>
    <w:rsid w:val="00B7210B"/>
    <w:pPr>
      <w:keepLines/>
      <w:spacing w:before="120"/>
      <w:ind w:left="284"/>
      <w:jc w:val="left"/>
    </w:pPr>
    <w:rPr>
      <w:rFonts w:eastAsia="Arial Unicode MS" w:cs="Arial"/>
    </w:rPr>
  </w:style>
  <w:style w:type="paragraph" w:styleId="BodyText">
    <w:name w:val="Body Text"/>
    <w:basedOn w:val="Normal"/>
    <w:link w:val="BodyTextChar"/>
    <w:semiHidden/>
    <w:rsid w:val="00F93BB6"/>
    <w:rPr>
      <w:color w:val="000000"/>
    </w:rPr>
  </w:style>
  <w:style w:type="numbering" w:customStyle="1" w:styleId="NumberedList">
    <w:name w:val="Numbered List"/>
    <w:basedOn w:val="NoList"/>
    <w:rsid w:val="00FE70B6"/>
    <w:pPr>
      <w:numPr>
        <w:numId w:val="1"/>
      </w:numPr>
    </w:pPr>
  </w:style>
  <w:style w:type="paragraph" w:customStyle="1" w:styleId="Heading1nonumbers">
    <w:name w:val="Heading 1 no numbers"/>
    <w:basedOn w:val="Heading1"/>
    <w:next w:val="Normal"/>
    <w:qFormat/>
    <w:rsid w:val="005A728A"/>
    <w:pPr>
      <w:numPr>
        <w:numId w:val="0"/>
      </w:numPr>
    </w:pPr>
  </w:style>
  <w:style w:type="numbering" w:customStyle="1" w:styleId="Numbers">
    <w:name w:val="Numbers"/>
    <w:basedOn w:val="NoList"/>
    <w:rsid w:val="00FE70B6"/>
    <w:pPr>
      <w:numPr>
        <w:numId w:val="2"/>
      </w:numPr>
    </w:pPr>
  </w:style>
  <w:style w:type="paragraph" w:styleId="Footer">
    <w:name w:val="footer"/>
    <w:basedOn w:val="Normal"/>
    <w:link w:val="FooterChar"/>
    <w:uiPriority w:val="99"/>
    <w:unhideWhenUsed/>
    <w:qFormat/>
    <w:rsid w:val="000A60B0"/>
    <w:pPr>
      <w:tabs>
        <w:tab w:val="center" w:pos="4513"/>
        <w:tab w:val="right" w:pos="9026"/>
      </w:tabs>
      <w:spacing w:before="0"/>
    </w:pPr>
  </w:style>
  <w:style w:type="character" w:customStyle="1" w:styleId="Heading1Char">
    <w:name w:val="Heading 1 Char"/>
    <w:basedOn w:val="DefaultParagraphFont"/>
    <w:link w:val="Heading1"/>
    <w:rsid w:val="00595E7F"/>
    <w:rPr>
      <w:rFonts w:cs="Arial"/>
      <w:caps/>
      <w:color w:val="005EA1"/>
      <w:spacing w:val="10"/>
      <w:sz w:val="32"/>
      <w:szCs w:val="32"/>
      <w:lang w:eastAsia="en-US"/>
    </w:rPr>
  </w:style>
  <w:style w:type="character" w:customStyle="1" w:styleId="Heading2Char">
    <w:name w:val="Heading 2 Char"/>
    <w:basedOn w:val="DefaultParagraphFont"/>
    <w:link w:val="Heading2"/>
    <w:rsid w:val="009D1823"/>
    <w:rPr>
      <w:rFonts w:ascii="Arial Bold" w:hAnsi="Arial Bold" w:cs="Arial"/>
      <w:b/>
      <w:spacing w:val="10"/>
      <w:sz w:val="26"/>
      <w:szCs w:val="28"/>
      <w:lang w:eastAsia="en-US"/>
    </w:rPr>
  </w:style>
  <w:style w:type="character" w:customStyle="1" w:styleId="Heading3Char">
    <w:name w:val="Heading 3 Char"/>
    <w:basedOn w:val="DefaultParagraphFont"/>
    <w:link w:val="Heading3"/>
    <w:rsid w:val="0045269F"/>
    <w:rPr>
      <w:rFonts w:ascii="VIC" w:hAnsi="VIC" w:cs="Arial"/>
      <w:sz w:val="22"/>
      <w:szCs w:val="22"/>
      <w:lang w:eastAsia="en-US"/>
    </w:rPr>
  </w:style>
  <w:style w:type="character" w:customStyle="1" w:styleId="Heading4Char">
    <w:name w:val="Heading 4 Char"/>
    <w:basedOn w:val="DefaultParagraphFont"/>
    <w:link w:val="Heading4"/>
    <w:rsid w:val="005C5489"/>
    <w:rPr>
      <w:color w:val="004C97" w:themeColor="accent1"/>
      <w:lang w:eastAsia="en-US"/>
    </w:rPr>
  </w:style>
  <w:style w:type="character" w:customStyle="1" w:styleId="Heading5Char">
    <w:name w:val="Heading 5 Char"/>
    <w:basedOn w:val="DefaultParagraphFont"/>
    <w:link w:val="Heading5"/>
    <w:uiPriority w:val="98"/>
    <w:semiHidden/>
    <w:rsid w:val="000361CF"/>
    <w:rPr>
      <w:rFonts w:ascii="Swis721 BlkCn BT" w:eastAsia="Times New Roman" w:hAnsi="Swis721 BlkCn BT"/>
      <w:u w:color="808080"/>
      <w:lang w:eastAsia="en-US"/>
    </w:rPr>
  </w:style>
  <w:style w:type="paragraph" w:customStyle="1" w:styleId="Tablelists">
    <w:name w:val="Table / lists"/>
    <w:basedOn w:val="Tabletext"/>
    <w:qFormat/>
    <w:rsid w:val="00B7210B"/>
    <w:pPr>
      <w:numPr>
        <w:numId w:val="16"/>
      </w:numPr>
      <w:ind w:left="284" w:hanging="284"/>
    </w:pPr>
    <w:rPr>
      <w:rFonts w:cs="Tahoma"/>
      <w:szCs w:val="16"/>
    </w:rPr>
  </w:style>
  <w:style w:type="paragraph" w:customStyle="1" w:styleId="List1bullet">
    <w:name w:val="List 1 / bullet"/>
    <w:basedOn w:val="Normal"/>
    <w:qFormat/>
    <w:rsid w:val="0045269F"/>
    <w:pPr>
      <w:keepLines/>
      <w:numPr>
        <w:numId w:val="25"/>
      </w:numPr>
      <w:spacing w:before="120"/>
      <w:ind w:left="284" w:hanging="284"/>
      <w:jc w:val="left"/>
    </w:pPr>
    <w:rPr>
      <w:rFonts w:eastAsia="Arial Unicode MS" w:cs="Arial"/>
    </w:rPr>
  </w:style>
  <w:style w:type="paragraph" w:customStyle="1" w:styleId="Tablenoobj">
    <w:name w:val="Table / no. obj"/>
    <w:basedOn w:val="Tabletext"/>
    <w:link w:val="TablenoobjChar"/>
    <w:qFormat/>
    <w:rsid w:val="005C5489"/>
    <w:pPr>
      <w:numPr>
        <w:numId w:val="29"/>
      </w:numPr>
      <w:tabs>
        <w:tab w:val="left" w:pos="425"/>
        <w:tab w:val="left" w:pos="709"/>
        <w:tab w:val="left" w:pos="992"/>
      </w:tabs>
      <w:jc w:val="center"/>
    </w:pPr>
    <w:rPr>
      <w:rFonts w:ascii="Arial Black" w:hAnsi="Arial Black"/>
      <w:color w:val="201547" w:themeColor="text2"/>
      <w:sz w:val="24"/>
    </w:rPr>
  </w:style>
  <w:style w:type="character" w:customStyle="1" w:styleId="FooterChar">
    <w:name w:val="Footer Char"/>
    <w:basedOn w:val="DefaultParagraphFont"/>
    <w:link w:val="Footer"/>
    <w:uiPriority w:val="99"/>
    <w:rsid w:val="000A60B0"/>
  </w:style>
  <w:style w:type="table" w:customStyle="1" w:styleId="Lined">
    <w:name w:val="Lined"/>
    <w:basedOn w:val="TableNormal"/>
    <w:uiPriority w:val="99"/>
    <w:qFormat/>
    <w:rsid w:val="00E04BEC"/>
    <w:tblPr>
      <w:tblBorders>
        <w:top w:val="single" w:sz="12" w:space="0" w:color="auto"/>
        <w:bottom w:val="single" w:sz="12" w:space="0" w:color="auto"/>
        <w:insideH w:val="single" w:sz="4" w:space="0" w:color="auto"/>
      </w:tblBorders>
      <w:tblCellMar>
        <w:top w:w="57" w:type="dxa"/>
        <w:left w:w="57" w:type="dxa"/>
        <w:bottom w:w="57" w:type="dxa"/>
        <w:right w:w="57" w:type="dxa"/>
      </w:tblCellMar>
    </w:tblPr>
    <w:trPr>
      <w:cantSplit/>
    </w:trPr>
    <w:tblStylePr w:type="firstRow">
      <w:tblPr/>
      <w:tcPr>
        <w:tcBorders>
          <w:top w:val="single" w:sz="12" w:space="0" w:color="auto"/>
          <w:left w:val="nil"/>
          <w:bottom w:val="single" w:sz="4" w:space="0" w:color="auto"/>
          <w:right w:val="nil"/>
          <w:insideH w:val="nil"/>
          <w:insideV w:val="nil"/>
          <w:tl2br w:val="nil"/>
          <w:tr2bl w:val="nil"/>
        </w:tcBorders>
      </w:tcPr>
    </w:tblStylePr>
    <w:tblStylePr w:type="lastRow">
      <w:rPr>
        <w:rFonts w:ascii="Arial" w:hAnsi="Arial"/>
      </w:rPr>
      <w:tblPr/>
      <w:tcPr>
        <w:tcBorders>
          <w:top w:val="single" w:sz="4" w:space="0" w:color="auto"/>
          <w:left w:val="nil"/>
          <w:bottom w:val="single" w:sz="12" w:space="0" w:color="auto"/>
          <w:right w:val="nil"/>
          <w:insideH w:val="nil"/>
          <w:insideV w:val="nil"/>
          <w:tl2br w:val="nil"/>
          <w:tr2bl w:val="nil"/>
        </w:tcBorders>
      </w:tcPr>
    </w:tblStylePr>
  </w:style>
  <w:style w:type="table" w:styleId="Table3Deffects3">
    <w:name w:val="Table 3D effects 3"/>
    <w:basedOn w:val="TableNormal"/>
    <w:rsid w:val="00F76502"/>
    <w:pPr>
      <w:tabs>
        <w:tab w:val="left" w:pos="425"/>
        <w:tab w:val="left" w:pos="709"/>
        <w:tab w:val="left" w:pos="992"/>
      </w:tabs>
      <w:suppressAutoHyphens/>
      <w:spacing w:before="16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Base">
    <w:name w:val="Table Base"/>
    <w:basedOn w:val="TableNormal"/>
    <w:uiPriority w:val="99"/>
    <w:qFormat/>
    <w:rsid w:val="001723E4"/>
    <w:tblPr/>
  </w:style>
  <w:style w:type="table" w:customStyle="1" w:styleId="MPA">
    <w:name w:val="MPA"/>
    <w:basedOn w:val="TableNormal"/>
    <w:uiPriority w:val="99"/>
    <w:rsid w:val="00065392"/>
    <w:rPr>
      <w:sz w:val="20"/>
    </w:rPr>
    <w:tblP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b w:val="0"/>
        <w:color w:val="FFFFFF" w:themeColor="background1"/>
      </w:rPr>
      <w:tblPr/>
      <w:tcPr>
        <w:tcBorders>
          <w:top w:val="nil"/>
          <w:left w:val="nil"/>
          <w:bottom w:val="nil"/>
          <w:right w:val="nil"/>
          <w:insideH w:val="nil"/>
          <w:insideV w:val="nil"/>
          <w:tl2br w:val="nil"/>
          <w:tr2bl w:val="nil"/>
        </w:tcBorders>
        <w:shd w:val="solid" w:color="7030A0" w:fill="7030A0"/>
      </w:tcPr>
    </w:tblStylePr>
  </w:style>
  <w:style w:type="paragraph" w:styleId="BalloonText">
    <w:name w:val="Balloon Text"/>
    <w:basedOn w:val="Normal"/>
    <w:link w:val="BalloonTextChar"/>
    <w:semiHidden/>
    <w:unhideWhenUsed/>
    <w:rsid w:val="00587F30"/>
    <w:pPr>
      <w:spacing w:before="0"/>
    </w:pPr>
    <w:rPr>
      <w:rFonts w:cs="Tahoma"/>
      <w:sz w:val="16"/>
      <w:szCs w:val="16"/>
    </w:rPr>
  </w:style>
  <w:style w:type="character" w:customStyle="1" w:styleId="BalloonTextChar">
    <w:name w:val="Balloon Text Char"/>
    <w:basedOn w:val="DefaultParagraphFont"/>
    <w:link w:val="BalloonText"/>
    <w:semiHidden/>
    <w:rsid w:val="00587F30"/>
    <w:rPr>
      <w:rFonts w:cs="Tahoma"/>
      <w:sz w:val="16"/>
      <w:szCs w:val="16"/>
      <w:lang w:eastAsia="en-US"/>
    </w:rPr>
  </w:style>
  <w:style w:type="paragraph" w:customStyle="1" w:styleId="Tablenoreq">
    <w:name w:val="Table / no. req"/>
    <w:basedOn w:val="Tablenoobj"/>
    <w:qFormat/>
    <w:rsid w:val="008C5740"/>
    <w:pPr>
      <w:numPr>
        <w:numId w:val="31"/>
      </w:numPr>
    </w:pPr>
    <w:rPr>
      <w:color w:val="00B2A9" w:themeColor="accent3"/>
    </w:rPr>
  </w:style>
  <w:style w:type="paragraph" w:customStyle="1" w:styleId="Tablenoguid">
    <w:name w:val="Table / no. guid"/>
    <w:basedOn w:val="Tablenoobj"/>
    <w:qFormat/>
    <w:rsid w:val="008C5740"/>
    <w:pPr>
      <w:numPr>
        <w:numId w:val="32"/>
      </w:numPr>
    </w:pPr>
    <w:rPr>
      <w:color w:val="5AA5C7" w:themeColor="accent2"/>
    </w:rPr>
  </w:style>
  <w:style w:type="table" w:styleId="TableClassic1">
    <w:name w:val="Table Classic 1"/>
    <w:basedOn w:val="TableNormal"/>
    <w:rsid w:val="00411E4E"/>
    <w:pPr>
      <w:suppressAutoHyphens/>
      <w:spacing w:before="160" w:line="264"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411E4E"/>
    <w:pPr>
      <w:suppressAutoHyphens/>
      <w:spacing w:before="160" w:line="264"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GreyBar">
    <w:name w:val="Grey Bar"/>
    <w:basedOn w:val="Lined"/>
    <w:uiPriority w:val="99"/>
    <w:qFormat/>
    <w:rsid w:val="00B5012F"/>
    <w:tblPr>
      <w:tblBorders>
        <w:top w:val="none" w:sz="0" w:space="0" w:color="auto"/>
        <w:bottom w:val="single" w:sz="8" w:space="0" w:color="A6A6A6" w:themeColor="background1" w:themeShade="A6"/>
        <w:insideH w:val="single" w:sz="8" w:space="0" w:color="A6A6A6" w:themeColor="background1" w:themeShade="A6"/>
      </w:tblBorders>
    </w:tblPr>
    <w:tblStylePr w:type="firstRow">
      <w:rPr>
        <w:color w:val="FFFFFF" w:themeColor="background1"/>
      </w:rPr>
      <w:tblPr/>
      <w:tcPr>
        <w:tcBorders>
          <w:top w:val="nil"/>
          <w:left w:val="nil"/>
          <w:bottom w:val="nil"/>
          <w:right w:val="nil"/>
          <w:insideH w:val="nil"/>
          <w:insideV w:val="nil"/>
          <w:tl2br w:val="nil"/>
          <w:tr2bl w:val="nil"/>
        </w:tcBorders>
        <w:shd w:val="clear" w:color="auto" w:fill="A6A6A6" w:themeFill="background1" w:themeFillShade="A6"/>
      </w:tcPr>
    </w:tblStylePr>
    <w:tblStylePr w:type="lastRow">
      <w:rPr>
        <w:rFonts w:ascii="Arial" w:hAnsi="Arial"/>
      </w:rPr>
      <w:tblPr/>
      <w:tcPr>
        <w:tcBorders>
          <w:top w:val="single" w:sz="8" w:space="0" w:color="A6A6A6" w:themeColor="background1" w:themeShade="A6"/>
          <w:left w:val="nil"/>
          <w:bottom w:val="single" w:sz="8" w:space="0" w:color="A6A6A6" w:themeColor="background1" w:themeShade="A6"/>
          <w:right w:val="nil"/>
          <w:insideH w:val="nil"/>
          <w:insideV w:val="nil"/>
          <w:tl2br w:val="nil"/>
          <w:tr2bl w:val="nil"/>
        </w:tcBorders>
      </w:tcPr>
    </w:tblStylePr>
    <w:tblStylePr w:type="band1Horz">
      <w:tblPr/>
      <w:tcPr>
        <w:tcBorders>
          <w:top w:val="nil"/>
          <w:bottom w:val="nil"/>
          <w:insideH w:val="single" w:sz="4" w:space="0" w:color="auto"/>
        </w:tcBorders>
      </w:tcPr>
    </w:tblStylePr>
  </w:style>
  <w:style w:type="table" w:styleId="MediumGrid2-Accent6">
    <w:name w:val="Medium Grid 2 Accent 6"/>
    <w:basedOn w:val="TableNormal"/>
    <w:uiPriority w:val="68"/>
    <w:rsid w:val="00587F30"/>
    <w:rPr>
      <w:rFonts w:eastAsiaTheme="majorEastAsia" w:cstheme="majorBidi"/>
      <w:color w:val="000000" w:themeColor="text1"/>
    </w:rPr>
    <w:tblPr>
      <w:tblStyleRowBandSize w:val="1"/>
      <w:tblStyleColBandSize w:val="1"/>
      <w:tblBorders>
        <w:top w:val="single" w:sz="8" w:space="0" w:color="93C8E7" w:themeColor="accent6"/>
        <w:left w:val="single" w:sz="8" w:space="0" w:color="93C8E7" w:themeColor="accent6"/>
        <w:bottom w:val="single" w:sz="8" w:space="0" w:color="93C8E7" w:themeColor="accent6"/>
        <w:right w:val="single" w:sz="8" w:space="0" w:color="93C8E7" w:themeColor="accent6"/>
        <w:insideH w:val="single" w:sz="8" w:space="0" w:color="93C8E7" w:themeColor="accent6"/>
        <w:insideV w:val="single" w:sz="8" w:space="0" w:color="93C8E7" w:themeColor="accent6"/>
      </w:tblBorders>
    </w:tblPr>
    <w:tcPr>
      <w:shd w:val="clear" w:color="auto" w:fill="E4F1F9" w:themeFill="accent6" w:themeFillTint="3F"/>
    </w:tcPr>
    <w:tblStylePr w:type="firstRow">
      <w:rPr>
        <w:b/>
        <w:bCs/>
        <w:color w:val="000000" w:themeColor="text1"/>
      </w:rPr>
      <w:tblPr/>
      <w:tcPr>
        <w:shd w:val="clear" w:color="auto" w:fill="F4F9F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F3FA" w:themeFill="accent6" w:themeFillTint="33"/>
      </w:tcPr>
    </w:tblStylePr>
    <w:tblStylePr w:type="band1Vert">
      <w:tblPr/>
      <w:tcPr>
        <w:shd w:val="clear" w:color="auto" w:fill="C9E3F3" w:themeFill="accent6" w:themeFillTint="7F"/>
      </w:tcPr>
    </w:tblStylePr>
    <w:tblStylePr w:type="band1Horz">
      <w:tblPr/>
      <w:tcPr>
        <w:tcBorders>
          <w:insideH w:val="single" w:sz="6" w:space="0" w:color="93C8E7" w:themeColor="accent6"/>
          <w:insideV w:val="single" w:sz="6" w:space="0" w:color="93C8E7" w:themeColor="accent6"/>
        </w:tcBorders>
        <w:shd w:val="clear" w:color="auto" w:fill="C9E3F3" w:themeFill="accent6"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587F30"/>
    <w:rPr>
      <w:rFonts w:eastAsiaTheme="majorEastAsia" w:cstheme="majorBidi"/>
      <w:color w:val="000000" w:themeColor="text1"/>
    </w:rPr>
    <w:tblPr>
      <w:tblStyleRowBandSize w:val="1"/>
      <w:tblStyleColBandSize w:val="1"/>
      <w:tblBorders>
        <w:top w:val="single" w:sz="8" w:space="0" w:color="00B2A9" w:themeColor="accent5"/>
        <w:left w:val="single" w:sz="8" w:space="0" w:color="00B2A9" w:themeColor="accent5"/>
        <w:bottom w:val="single" w:sz="8" w:space="0" w:color="00B2A9" w:themeColor="accent5"/>
        <w:right w:val="single" w:sz="8" w:space="0" w:color="00B2A9" w:themeColor="accent5"/>
        <w:insideH w:val="single" w:sz="8" w:space="0" w:color="00B2A9" w:themeColor="accent5"/>
        <w:insideV w:val="single" w:sz="8" w:space="0" w:color="00B2A9" w:themeColor="accent5"/>
      </w:tblBorders>
    </w:tblPr>
    <w:tcPr>
      <w:shd w:val="clear" w:color="auto" w:fill="ACFFFA" w:themeFill="accent5" w:themeFillTint="3F"/>
    </w:tcPr>
    <w:tblStylePr w:type="firstRow">
      <w:rPr>
        <w:b/>
        <w:bCs/>
        <w:color w:val="000000" w:themeColor="text1"/>
      </w:rPr>
      <w:tblPr/>
      <w:tcPr>
        <w:shd w:val="clear" w:color="auto" w:fill="DEFFFD"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CFFFB" w:themeFill="accent5" w:themeFillTint="33"/>
      </w:tcPr>
    </w:tblStylePr>
    <w:tblStylePr w:type="band1Vert">
      <w:tblPr/>
      <w:tcPr>
        <w:shd w:val="clear" w:color="auto" w:fill="59FFF6" w:themeFill="accent5" w:themeFillTint="7F"/>
      </w:tcPr>
    </w:tblStylePr>
    <w:tblStylePr w:type="band1Horz">
      <w:tblPr/>
      <w:tcPr>
        <w:tcBorders>
          <w:insideH w:val="single" w:sz="6" w:space="0" w:color="00B2A9" w:themeColor="accent5"/>
          <w:insideV w:val="single" w:sz="6" w:space="0" w:color="00B2A9" w:themeColor="accent5"/>
        </w:tcBorders>
        <w:shd w:val="clear" w:color="auto" w:fill="59FFF6" w:themeFill="accent5"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587F30"/>
    <w:rPr>
      <w:rFonts w:eastAsiaTheme="majorEastAsia" w:cstheme="majorBidi"/>
      <w:color w:val="000000" w:themeColor="text1"/>
    </w:rPr>
    <w:tblPr>
      <w:tblStyleRowBandSize w:val="1"/>
      <w:tblStyleColBandSize w:val="1"/>
      <w:tblBorders>
        <w:top w:val="single" w:sz="8" w:space="0" w:color="9CA0A3" w:themeColor="accent4"/>
        <w:left w:val="single" w:sz="8" w:space="0" w:color="9CA0A3" w:themeColor="accent4"/>
        <w:bottom w:val="single" w:sz="8" w:space="0" w:color="9CA0A3" w:themeColor="accent4"/>
        <w:right w:val="single" w:sz="8" w:space="0" w:color="9CA0A3" w:themeColor="accent4"/>
        <w:insideH w:val="single" w:sz="8" w:space="0" w:color="9CA0A3" w:themeColor="accent4"/>
        <w:insideV w:val="single" w:sz="8" w:space="0" w:color="9CA0A3" w:themeColor="accent4"/>
      </w:tblBorders>
    </w:tblPr>
    <w:tcPr>
      <w:shd w:val="clear" w:color="auto" w:fill="E6E7E8" w:themeFill="accent4" w:themeFillTint="3F"/>
    </w:tcPr>
    <w:tblStylePr w:type="firstRow">
      <w:rPr>
        <w:b/>
        <w:bCs/>
        <w:color w:val="000000" w:themeColor="text1"/>
      </w:rPr>
      <w:tblPr/>
      <w:tcPr>
        <w:shd w:val="clear" w:color="auto" w:fill="F5F5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BEC" w:themeFill="accent4" w:themeFillTint="33"/>
      </w:tcPr>
    </w:tblStylePr>
    <w:tblStylePr w:type="band1Vert">
      <w:tblPr/>
      <w:tcPr>
        <w:shd w:val="clear" w:color="auto" w:fill="CDCFD1" w:themeFill="accent4" w:themeFillTint="7F"/>
      </w:tcPr>
    </w:tblStylePr>
    <w:tblStylePr w:type="band1Horz">
      <w:tblPr/>
      <w:tcPr>
        <w:tcBorders>
          <w:insideH w:val="single" w:sz="6" w:space="0" w:color="9CA0A3" w:themeColor="accent4"/>
          <w:insideV w:val="single" w:sz="6" w:space="0" w:color="9CA0A3" w:themeColor="accent4"/>
        </w:tcBorders>
        <w:shd w:val="clear" w:color="auto" w:fill="CDCFD1" w:themeFill="accent4"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587F30"/>
    <w:rPr>
      <w:rFonts w:eastAsiaTheme="majorEastAsia" w:cstheme="majorBidi"/>
      <w:color w:val="000000" w:themeColor="text1"/>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000000" w:themeColor="text1"/>
      </w:rPr>
      <w:tblPr/>
      <w:tcPr>
        <w:shd w:val="clear" w:color="auto" w:fill="DEFFF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587F30"/>
    <w:rPr>
      <w:rFonts w:eastAsiaTheme="majorEastAsia" w:cstheme="majorBidi"/>
      <w:color w:val="000000" w:themeColor="text1"/>
    </w:rPr>
    <w:tblPr>
      <w:tblStyleRowBandSize w:val="1"/>
      <w:tblStyleColBandSize w:val="1"/>
      <w:tblBorders>
        <w:top w:val="single" w:sz="8" w:space="0" w:color="5AA5C7" w:themeColor="accent2"/>
        <w:left w:val="single" w:sz="8" w:space="0" w:color="5AA5C7" w:themeColor="accent2"/>
        <w:bottom w:val="single" w:sz="8" w:space="0" w:color="5AA5C7" w:themeColor="accent2"/>
        <w:right w:val="single" w:sz="8" w:space="0" w:color="5AA5C7" w:themeColor="accent2"/>
        <w:insideH w:val="single" w:sz="8" w:space="0" w:color="5AA5C7" w:themeColor="accent2"/>
        <w:insideV w:val="single" w:sz="8" w:space="0" w:color="5AA5C7" w:themeColor="accent2"/>
      </w:tblBorders>
    </w:tblPr>
    <w:tcPr>
      <w:shd w:val="clear" w:color="auto" w:fill="D6E8F1" w:themeFill="accent2" w:themeFillTint="3F"/>
    </w:tcPr>
    <w:tblStylePr w:type="firstRow">
      <w:rPr>
        <w:b/>
        <w:bCs/>
        <w:color w:val="000000" w:themeColor="text1"/>
      </w:rPr>
      <w:tblPr/>
      <w:tcPr>
        <w:shd w:val="clear" w:color="auto" w:fill="EEF6F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DECF3" w:themeFill="accent2" w:themeFillTint="33"/>
      </w:tcPr>
    </w:tblStylePr>
    <w:tblStylePr w:type="band1Vert">
      <w:tblPr/>
      <w:tcPr>
        <w:shd w:val="clear" w:color="auto" w:fill="ACD2E3" w:themeFill="accent2" w:themeFillTint="7F"/>
      </w:tcPr>
    </w:tblStylePr>
    <w:tblStylePr w:type="band1Horz">
      <w:tblPr/>
      <w:tcPr>
        <w:tcBorders>
          <w:insideH w:val="single" w:sz="6" w:space="0" w:color="5AA5C7" w:themeColor="accent2"/>
          <w:insideV w:val="single" w:sz="6" w:space="0" w:color="5AA5C7" w:themeColor="accent2"/>
        </w:tcBorders>
        <w:shd w:val="clear" w:color="auto" w:fill="ACD2E3" w:themeFill="accent2"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587F30"/>
    <w:rPr>
      <w:rFonts w:eastAsiaTheme="majorEastAsia" w:cstheme="majorBidi"/>
      <w:color w:val="000000" w:themeColor="text1"/>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cPr>
      <w:shd w:val="clear" w:color="auto" w:fill="A6D2FF" w:themeFill="accent1" w:themeFillTint="3F"/>
    </w:tcPr>
    <w:tblStylePr w:type="firstRow">
      <w:rPr>
        <w:b/>
        <w:bCs/>
        <w:color w:val="000000" w:themeColor="text1"/>
      </w:rPr>
      <w:tblPr/>
      <w:tcPr>
        <w:shd w:val="clear" w:color="auto" w:fill="DBED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7DBFF" w:themeFill="accent1" w:themeFillTint="33"/>
      </w:tcPr>
    </w:tblStylePr>
    <w:tblStylePr w:type="band1Vert">
      <w:tblPr/>
      <w:tcPr>
        <w:shd w:val="clear" w:color="auto" w:fill="4CA5FF" w:themeFill="accent1" w:themeFillTint="7F"/>
      </w:tcPr>
    </w:tblStylePr>
    <w:tblStylePr w:type="band1Horz">
      <w:tblPr/>
      <w:tcPr>
        <w:tcBorders>
          <w:insideH w:val="single" w:sz="6" w:space="0" w:color="004C97" w:themeColor="accent1"/>
          <w:insideV w:val="single" w:sz="6" w:space="0" w:color="004C97" w:themeColor="accent1"/>
        </w:tcBorders>
        <w:shd w:val="clear" w:color="auto" w:fill="4CA5FF" w:themeFill="accent1" w:themeFillTint="7F"/>
      </w:tcPr>
    </w:tblStylePr>
    <w:tblStylePr w:type="nwCell">
      <w:tblPr/>
      <w:tcPr>
        <w:shd w:val="clear" w:color="auto" w:fill="FFFFFF" w:themeFill="background1"/>
      </w:tcPr>
    </w:tblStylePr>
  </w:style>
  <w:style w:type="table" w:customStyle="1" w:styleId="MediumGrid21">
    <w:name w:val="Medium Grid 21"/>
    <w:basedOn w:val="TableNormal"/>
    <w:uiPriority w:val="68"/>
    <w:rsid w:val="00587F3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List2-Accent6">
    <w:name w:val="Medium List 2 Accent 6"/>
    <w:basedOn w:val="TableNormal"/>
    <w:uiPriority w:val="66"/>
    <w:rsid w:val="00587F30"/>
    <w:rPr>
      <w:rFonts w:eastAsiaTheme="majorEastAsia" w:cstheme="majorBidi"/>
      <w:color w:val="000000" w:themeColor="text1"/>
    </w:rPr>
    <w:tblPr>
      <w:tblStyleRowBandSize w:val="1"/>
      <w:tblStyleColBandSize w:val="1"/>
      <w:tblBorders>
        <w:top w:val="single" w:sz="8" w:space="0" w:color="93C8E7" w:themeColor="accent6"/>
        <w:left w:val="single" w:sz="8" w:space="0" w:color="93C8E7" w:themeColor="accent6"/>
        <w:bottom w:val="single" w:sz="8" w:space="0" w:color="93C8E7" w:themeColor="accent6"/>
        <w:right w:val="single" w:sz="8" w:space="0" w:color="93C8E7" w:themeColor="accent6"/>
      </w:tblBorders>
    </w:tblPr>
    <w:tblStylePr w:type="firstRow">
      <w:rPr>
        <w:sz w:val="24"/>
        <w:szCs w:val="24"/>
      </w:rPr>
      <w:tblPr/>
      <w:tcPr>
        <w:tcBorders>
          <w:top w:val="nil"/>
          <w:left w:val="nil"/>
          <w:bottom w:val="single" w:sz="24" w:space="0" w:color="93C8E7" w:themeColor="accent6"/>
          <w:right w:val="nil"/>
          <w:insideH w:val="nil"/>
          <w:insideV w:val="nil"/>
        </w:tcBorders>
        <w:shd w:val="clear" w:color="auto" w:fill="FFFFFF" w:themeFill="background1"/>
      </w:tcPr>
    </w:tblStylePr>
    <w:tblStylePr w:type="lastRow">
      <w:tblPr/>
      <w:tcPr>
        <w:tcBorders>
          <w:top w:val="single" w:sz="8" w:space="0" w:color="93C8E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3C8E7" w:themeColor="accent6"/>
          <w:insideH w:val="nil"/>
          <w:insideV w:val="nil"/>
        </w:tcBorders>
        <w:shd w:val="clear" w:color="auto" w:fill="FFFFFF" w:themeFill="background1"/>
      </w:tcPr>
    </w:tblStylePr>
    <w:tblStylePr w:type="lastCol">
      <w:tblPr/>
      <w:tcPr>
        <w:tcBorders>
          <w:top w:val="nil"/>
          <w:left w:val="single" w:sz="8" w:space="0" w:color="93C8E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F1F9" w:themeFill="accent6" w:themeFillTint="3F"/>
      </w:tcPr>
    </w:tblStylePr>
    <w:tblStylePr w:type="band1Horz">
      <w:tblPr/>
      <w:tcPr>
        <w:tcBorders>
          <w:top w:val="nil"/>
          <w:bottom w:val="nil"/>
          <w:insideH w:val="nil"/>
          <w:insideV w:val="nil"/>
        </w:tcBorders>
        <w:shd w:val="clear" w:color="auto" w:fill="E4F1F9"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587F30"/>
    <w:rPr>
      <w:rFonts w:eastAsiaTheme="majorEastAsia" w:cstheme="majorBidi"/>
      <w:color w:val="000000" w:themeColor="text1"/>
    </w:rPr>
    <w:tblPr>
      <w:tblStyleRowBandSize w:val="1"/>
      <w:tblStyleColBandSize w:val="1"/>
      <w:tblBorders>
        <w:top w:val="single" w:sz="8" w:space="0" w:color="00B2A9" w:themeColor="accent5"/>
        <w:left w:val="single" w:sz="8" w:space="0" w:color="00B2A9" w:themeColor="accent5"/>
        <w:bottom w:val="single" w:sz="8" w:space="0" w:color="00B2A9" w:themeColor="accent5"/>
        <w:right w:val="single" w:sz="8" w:space="0" w:color="00B2A9" w:themeColor="accent5"/>
      </w:tblBorders>
    </w:tblPr>
    <w:tblStylePr w:type="firstRow">
      <w:rPr>
        <w:sz w:val="24"/>
        <w:szCs w:val="24"/>
      </w:rPr>
      <w:tblPr/>
      <w:tcPr>
        <w:tcBorders>
          <w:top w:val="nil"/>
          <w:left w:val="nil"/>
          <w:bottom w:val="single" w:sz="24" w:space="0" w:color="00B2A9" w:themeColor="accent5"/>
          <w:right w:val="nil"/>
          <w:insideH w:val="nil"/>
          <w:insideV w:val="nil"/>
        </w:tcBorders>
        <w:shd w:val="clear" w:color="auto" w:fill="FFFFFF" w:themeFill="background1"/>
      </w:tcPr>
    </w:tblStylePr>
    <w:tblStylePr w:type="lastRow">
      <w:tblPr/>
      <w:tcPr>
        <w:tcBorders>
          <w:top w:val="single" w:sz="8" w:space="0" w:color="00B2A9"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5"/>
          <w:insideH w:val="nil"/>
          <w:insideV w:val="nil"/>
        </w:tcBorders>
        <w:shd w:val="clear" w:color="auto" w:fill="FFFFFF" w:themeFill="background1"/>
      </w:tcPr>
    </w:tblStylePr>
    <w:tblStylePr w:type="lastCol">
      <w:tblPr/>
      <w:tcPr>
        <w:tcBorders>
          <w:top w:val="nil"/>
          <w:left w:val="single" w:sz="8" w:space="0" w:color="00B2A9"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5" w:themeFillTint="3F"/>
      </w:tcPr>
    </w:tblStylePr>
    <w:tblStylePr w:type="band1Horz">
      <w:tblPr/>
      <w:tcPr>
        <w:tcBorders>
          <w:top w:val="nil"/>
          <w:bottom w:val="nil"/>
          <w:insideH w:val="nil"/>
          <w:insideV w:val="nil"/>
        </w:tcBorders>
        <w:shd w:val="clear" w:color="auto" w:fill="ACFFF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587F30"/>
    <w:rPr>
      <w:rFonts w:eastAsiaTheme="majorEastAsia" w:cstheme="majorBidi"/>
      <w:color w:val="000000" w:themeColor="text1"/>
    </w:rPr>
    <w:tblPr>
      <w:tblStyleRowBandSize w:val="1"/>
      <w:tblStyleColBandSize w:val="1"/>
      <w:tblBorders>
        <w:top w:val="single" w:sz="8" w:space="0" w:color="9CA0A3" w:themeColor="accent4"/>
        <w:left w:val="single" w:sz="8" w:space="0" w:color="9CA0A3" w:themeColor="accent4"/>
        <w:bottom w:val="single" w:sz="8" w:space="0" w:color="9CA0A3" w:themeColor="accent4"/>
        <w:right w:val="single" w:sz="8" w:space="0" w:color="9CA0A3" w:themeColor="accent4"/>
      </w:tblBorders>
    </w:tblPr>
    <w:tblStylePr w:type="firstRow">
      <w:rPr>
        <w:sz w:val="24"/>
        <w:szCs w:val="24"/>
      </w:rPr>
      <w:tblPr/>
      <w:tcPr>
        <w:tcBorders>
          <w:top w:val="nil"/>
          <w:left w:val="nil"/>
          <w:bottom w:val="single" w:sz="24" w:space="0" w:color="9CA0A3" w:themeColor="accent4"/>
          <w:right w:val="nil"/>
          <w:insideH w:val="nil"/>
          <w:insideV w:val="nil"/>
        </w:tcBorders>
        <w:shd w:val="clear" w:color="auto" w:fill="FFFFFF" w:themeFill="background1"/>
      </w:tcPr>
    </w:tblStylePr>
    <w:tblStylePr w:type="lastRow">
      <w:tblPr/>
      <w:tcPr>
        <w:tcBorders>
          <w:top w:val="single" w:sz="8" w:space="0" w:color="9CA0A3"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CA0A3" w:themeColor="accent4"/>
          <w:insideH w:val="nil"/>
          <w:insideV w:val="nil"/>
        </w:tcBorders>
        <w:shd w:val="clear" w:color="auto" w:fill="FFFFFF" w:themeFill="background1"/>
      </w:tcPr>
    </w:tblStylePr>
    <w:tblStylePr w:type="lastCol">
      <w:tblPr/>
      <w:tcPr>
        <w:tcBorders>
          <w:top w:val="nil"/>
          <w:left w:val="single" w:sz="8" w:space="0" w:color="9CA0A3"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7E8" w:themeFill="accent4" w:themeFillTint="3F"/>
      </w:tcPr>
    </w:tblStylePr>
    <w:tblStylePr w:type="band1Horz">
      <w:tblPr/>
      <w:tcPr>
        <w:tcBorders>
          <w:top w:val="nil"/>
          <w:bottom w:val="nil"/>
          <w:insideH w:val="nil"/>
          <w:insideV w:val="nil"/>
        </w:tcBorders>
        <w:shd w:val="clear" w:color="auto" w:fill="E6E7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587F30"/>
    <w:rPr>
      <w:rFonts w:eastAsiaTheme="majorEastAsia" w:cstheme="majorBidi"/>
      <w:color w:val="000000" w:themeColor="text1"/>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587F30"/>
    <w:rPr>
      <w:rFonts w:eastAsiaTheme="majorEastAsia" w:cstheme="majorBidi"/>
      <w:color w:val="000000" w:themeColor="text1"/>
    </w:rPr>
    <w:tblPr>
      <w:tblStyleRowBandSize w:val="1"/>
      <w:tblStyleColBandSize w:val="1"/>
      <w:tblBorders>
        <w:top w:val="single" w:sz="8" w:space="0" w:color="5AA5C7" w:themeColor="accent2"/>
        <w:left w:val="single" w:sz="8" w:space="0" w:color="5AA5C7" w:themeColor="accent2"/>
        <w:bottom w:val="single" w:sz="8" w:space="0" w:color="5AA5C7" w:themeColor="accent2"/>
        <w:right w:val="single" w:sz="8" w:space="0" w:color="5AA5C7" w:themeColor="accent2"/>
      </w:tblBorders>
    </w:tblPr>
    <w:tblStylePr w:type="firstRow">
      <w:rPr>
        <w:sz w:val="24"/>
        <w:szCs w:val="24"/>
      </w:rPr>
      <w:tblPr/>
      <w:tcPr>
        <w:tcBorders>
          <w:top w:val="nil"/>
          <w:left w:val="nil"/>
          <w:bottom w:val="single" w:sz="24" w:space="0" w:color="5AA5C7" w:themeColor="accent2"/>
          <w:right w:val="nil"/>
          <w:insideH w:val="nil"/>
          <w:insideV w:val="nil"/>
        </w:tcBorders>
        <w:shd w:val="clear" w:color="auto" w:fill="FFFFFF" w:themeFill="background1"/>
      </w:tcPr>
    </w:tblStylePr>
    <w:tblStylePr w:type="lastRow">
      <w:tblPr/>
      <w:tcPr>
        <w:tcBorders>
          <w:top w:val="single" w:sz="8" w:space="0" w:color="5AA5C7"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AA5C7" w:themeColor="accent2"/>
          <w:insideH w:val="nil"/>
          <w:insideV w:val="nil"/>
        </w:tcBorders>
        <w:shd w:val="clear" w:color="auto" w:fill="FFFFFF" w:themeFill="background1"/>
      </w:tcPr>
    </w:tblStylePr>
    <w:tblStylePr w:type="lastCol">
      <w:tblPr/>
      <w:tcPr>
        <w:tcBorders>
          <w:top w:val="nil"/>
          <w:left w:val="single" w:sz="8" w:space="0" w:color="5AA5C7"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8F1" w:themeFill="accent2" w:themeFillTint="3F"/>
      </w:tcPr>
    </w:tblStylePr>
    <w:tblStylePr w:type="band1Horz">
      <w:tblPr/>
      <w:tcPr>
        <w:tcBorders>
          <w:top w:val="nil"/>
          <w:bottom w:val="nil"/>
          <w:insideH w:val="nil"/>
          <w:insideV w:val="nil"/>
        </w:tcBorders>
        <w:shd w:val="clear" w:color="auto" w:fill="D6E8F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587F30"/>
    <w:rPr>
      <w:rFonts w:eastAsiaTheme="majorEastAsia" w:cstheme="majorBidi"/>
      <w:color w:val="000000" w:themeColor="text1"/>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rPr>
        <w:sz w:val="24"/>
        <w:szCs w:val="24"/>
      </w:rPr>
      <w:tblPr/>
      <w:tcPr>
        <w:tcBorders>
          <w:top w:val="nil"/>
          <w:left w:val="nil"/>
          <w:bottom w:val="single" w:sz="24" w:space="0" w:color="004C97" w:themeColor="accent1"/>
          <w:right w:val="nil"/>
          <w:insideH w:val="nil"/>
          <w:insideV w:val="nil"/>
        </w:tcBorders>
        <w:shd w:val="clear" w:color="auto" w:fill="FFFFFF" w:themeFill="background1"/>
      </w:tcPr>
    </w:tblStylePr>
    <w:tblStylePr w:type="lastRow">
      <w:tblPr/>
      <w:tcPr>
        <w:tcBorders>
          <w:top w:val="single" w:sz="8" w:space="0" w:color="004C9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C97" w:themeColor="accent1"/>
          <w:insideH w:val="nil"/>
          <w:insideV w:val="nil"/>
        </w:tcBorders>
        <w:shd w:val="clear" w:color="auto" w:fill="FFFFFF" w:themeFill="background1"/>
      </w:tcPr>
    </w:tblStylePr>
    <w:tblStylePr w:type="lastCol">
      <w:tblPr/>
      <w:tcPr>
        <w:tcBorders>
          <w:top w:val="nil"/>
          <w:left w:val="single" w:sz="8" w:space="0" w:color="004C9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top w:val="nil"/>
          <w:bottom w:val="nil"/>
          <w:insideH w:val="nil"/>
          <w:insideV w:val="nil"/>
        </w:tcBorders>
        <w:shd w:val="clear" w:color="auto" w:fill="A6D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1">
    <w:name w:val="Medium List 21"/>
    <w:basedOn w:val="TableNormal"/>
    <w:uiPriority w:val="66"/>
    <w:rsid w:val="00587F3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TOCHeading">
    <w:name w:val="TOC Heading"/>
    <w:basedOn w:val="Heading1"/>
    <w:next w:val="Normal"/>
    <w:uiPriority w:val="39"/>
    <w:semiHidden/>
    <w:unhideWhenUsed/>
    <w:qFormat/>
    <w:rsid w:val="00756D2C"/>
    <w:pPr>
      <w:keepLines/>
      <w:pageBreakBefore w:val="0"/>
      <w:numPr>
        <w:numId w:val="0"/>
      </w:numPr>
      <w:suppressAutoHyphens/>
      <w:spacing w:before="480" w:after="0"/>
      <w:outlineLvl w:val="9"/>
    </w:pPr>
    <w:rPr>
      <w:rFonts w:eastAsiaTheme="majorEastAsia" w:cstheme="majorBidi"/>
      <w:bCs/>
      <w:caps w:val="0"/>
      <w:color w:val="003871" w:themeColor="accent1" w:themeShade="BF"/>
      <w:sz w:val="28"/>
      <w:szCs w:val="28"/>
    </w:rPr>
  </w:style>
  <w:style w:type="character" w:customStyle="1" w:styleId="Heading9Char">
    <w:name w:val="Heading 9 Char"/>
    <w:basedOn w:val="DefaultParagraphFont"/>
    <w:link w:val="Heading9"/>
    <w:semiHidden/>
    <w:rsid w:val="00756D2C"/>
    <w:rPr>
      <w:rFonts w:eastAsiaTheme="majorEastAsia" w:cstheme="majorBidi"/>
      <w:i/>
      <w:iCs/>
      <w:color w:val="404040" w:themeColor="text1" w:themeTint="BF"/>
      <w:lang w:eastAsia="en-US"/>
    </w:rPr>
  </w:style>
  <w:style w:type="character" w:customStyle="1" w:styleId="BodyTextIndentChar">
    <w:name w:val="Body Text Indent Char"/>
    <w:aliases w:val="Quote1 Char"/>
    <w:basedOn w:val="DefaultParagraphFont"/>
    <w:link w:val="BodyTextIndent"/>
    <w:semiHidden/>
    <w:rsid w:val="00587F30"/>
    <w:rPr>
      <w:i/>
      <w:sz w:val="18"/>
      <w:szCs w:val="18"/>
      <w:lang w:eastAsia="en-US"/>
    </w:rPr>
  </w:style>
  <w:style w:type="character" w:customStyle="1" w:styleId="BodyTextChar">
    <w:name w:val="Body Text Char"/>
    <w:basedOn w:val="DefaultParagraphFont"/>
    <w:link w:val="BodyText"/>
    <w:semiHidden/>
    <w:rsid w:val="00587F30"/>
    <w:rPr>
      <w:color w:val="000000"/>
      <w:szCs w:val="22"/>
      <w:lang w:eastAsia="en-US"/>
    </w:rPr>
  </w:style>
  <w:style w:type="paragraph" w:styleId="TOC1">
    <w:name w:val="toc 1"/>
    <w:basedOn w:val="Normal"/>
    <w:next w:val="Normal"/>
    <w:autoRedefine/>
    <w:uiPriority w:val="39"/>
    <w:unhideWhenUsed/>
    <w:rsid w:val="005C5489"/>
    <w:pPr>
      <w:tabs>
        <w:tab w:val="left" w:pos="360"/>
        <w:tab w:val="right" w:leader="dot" w:pos="8488"/>
      </w:tabs>
      <w:spacing w:after="100"/>
    </w:pPr>
  </w:style>
  <w:style w:type="paragraph" w:styleId="TOC2">
    <w:name w:val="toc 2"/>
    <w:basedOn w:val="Normal"/>
    <w:next w:val="Normal"/>
    <w:autoRedefine/>
    <w:uiPriority w:val="39"/>
    <w:unhideWhenUsed/>
    <w:rsid w:val="005C5489"/>
    <w:pPr>
      <w:tabs>
        <w:tab w:val="left" w:pos="880"/>
        <w:tab w:val="right" w:leader="dot" w:pos="8488"/>
      </w:tabs>
      <w:spacing w:after="100"/>
      <w:ind w:left="220"/>
    </w:pPr>
  </w:style>
  <w:style w:type="character" w:styleId="Hyperlink">
    <w:name w:val="Hyperlink"/>
    <w:basedOn w:val="DefaultParagraphFont"/>
    <w:uiPriority w:val="99"/>
    <w:unhideWhenUsed/>
    <w:rsid w:val="00A81C71"/>
    <w:rPr>
      <w:color w:val="00B0F0" w:themeColor="hyperlink"/>
      <w:u w:val="single"/>
    </w:rPr>
  </w:style>
  <w:style w:type="paragraph" w:customStyle="1" w:styleId="HeadingContents">
    <w:name w:val="Heading / Contents"/>
    <w:basedOn w:val="Normal"/>
    <w:next w:val="Normal"/>
    <w:qFormat/>
    <w:rsid w:val="009D1823"/>
    <w:pPr>
      <w:pBdr>
        <w:bottom w:val="single" w:sz="4" w:space="1" w:color="004C97" w:themeColor="accent1"/>
      </w:pBdr>
      <w:spacing w:before="240" w:after="120"/>
    </w:pPr>
    <w:rPr>
      <w:rFonts w:cs="Arial"/>
      <w:b/>
      <w:caps/>
      <w:sz w:val="32"/>
      <w:lang w:eastAsia="en-US"/>
    </w:rPr>
  </w:style>
  <w:style w:type="paragraph" w:customStyle="1" w:styleId="Heading2nonumbers">
    <w:name w:val="Heading 2 no numbers"/>
    <w:basedOn w:val="Heading2"/>
    <w:next w:val="Normal"/>
    <w:qFormat/>
    <w:rsid w:val="0045269F"/>
    <w:pPr>
      <w:numPr>
        <w:ilvl w:val="0"/>
        <w:numId w:val="0"/>
      </w:numPr>
    </w:pPr>
  </w:style>
  <w:style w:type="paragraph" w:customStyle="1" w:styleId="Referencesource">
    <w:name w:val="Reference / source"/>
    <w:basedOn w:val="Normal"/>
    <w:next w:val="Normal"/>
    <w:qFormat/>
    <w:rsid w:val="00D968DC"/>
    <w:pPr>
      <w:spacing w:before="80"/>
    </w:pPr>
    <w:rPr>
      <w:i/>
      <w:sz w:val="16"/>
      <w:lang w:eastAsia="en-US"/>
    </w:rPr>
  </w:style>
  <w:style w:type="paragraph" w:customStyle="1" w:styleId="List2quote">
    <w:name w:val="List 2 / quote"/>
    <w:basedOn w:val="List2indent"/>
    <w:qFormat/>
    <w:rsid w:val="00B7210B"/>
    <w:rPr>
      <w:i/>
    </w:rPr>
  </w:style>
  <w:style w:type="paragraph" w:customStyle="1" w:styleId="Heading3nonumbers">
    <w:name w:val="Heading 3 no numbers"/>
    <w:basedOn w:val="Heading3"/>
    <w:next w:val="Normal"/>
    <w:qFormat/>
    <w:rsid w:val="006C38E1"/>
    <w:pPr>
      <w:numPr>
        <w:ilvl w:val="0"/>
        <w:numId w:val="0"/>
      </w:numPr>
    </w:pPr>
  </w:style>
  <w:style w:type="paragraph" w:styleId="Caption">
    <w:name w:val="caption"/>
    <w:basedOn w:val="Normal"/>
    <w:next w:val="Normal"/>
    <w:qFormat/>
    <w:rsid w:val="009D1823"/>
    <w:pPr>
      <w:keepNext/>
      <w:spacing w:after="80"/>
    </w:pPr>
    <w:rPr>
      <w:iCs/>
      <w:color w:val="004C97" w:themeColor="accent1"/>
    </w:rPr>
  </w:style>
  <w:style w:type="paragraph" w:styleId="TableofFigures">
    <w:name w:val="table of figures"/>
    <w:basedOn w:val="Normal"/>
    <w:next w:val="Normal"/>
    <w:uiPriority w:val="99"/>
    <w:unhideWhenUsed/>
    <w:rsid w:val="006A715A"/>
    <w:pPr>
      <w:spacing w:before="120"/>
    </w:pPr>
    <w:rPr>
      <w:szCs w:val="22"/>
    </w:rPr>
  </w:style>
  <w:style w:type="paragraph" w:styleId="TOC3">
    <w:name w:val="toc 3"/>
    <w:basedOn w:val="Normal"/>
    <w:next w:val="Normal"/>
    <w:autoRedefine/>
    <w:uiPriority w:val="39"/>
    <w:unhideWhenUsed/>
    <w:rsid w:val="00C92B9B"/>
    <w:pPr>
      <w:spacing w:after="100"/>
      <w:ind w:left="360"/>
    </w:pPr>
  </w:style>
  <w:style w:type="paragraph" w:styleId="TOC4">
    <w:name w:val="toc 4"/>
    <w:basedOn w:val="Normal"/>
    <w:next w:val="Normal"/>
    <w:autoRedefine/>
    <w:uiPriority w:val="39"/>
    <w:unhideWhenUsed/>
    <w:rsid w:val="00C92B9B"/>
    <w:pPr>
      <w:spacing w:after="100"/>
      <w:ind w:left="540"/>
    </w:pPr>
  </w:style>
  <w:style w:type="table" w:styleId="GridTable5Dark-Accent1">
    <w:name w:val="Grid Table 5 Dark Accent 1"/>
    <w:basedOn w:val="TableNormal"/>
    <w:uiPriority w:val="50"/>
    <w:rsid w:val="00A7729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DB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C9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C9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C9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C97" w:themeFill="accent1"/>
      </w:tcPr>
    </w:tblStylePr>
    <w:tblStylePr w:type="band1Vert">
      <w:tblPr/>
      <w:tcPr>
        <w:shd w:val="clear" w:color="auto" w:fill="6FB7FF" w:themeFill="accent1" w:themeFillTint="66"/>
      </w:tcPr>
    </w:tblStylePr>
    <w:tblStylePr w:type="band1Horz">
      <w:tblPr/>
      <w:tcPr>
        <w:shd w:val="clear" w:color="auto" w:fill="6FB7FF" w:themeFill="accent1" w:themeFillTint="66"/>
      </w:tcPr>
    </w:tblStylePr>
  </w:style>
  <w:style w:type="paragraph" w:customStyle="1" w:styleId="List1number">
    <w:name w:val="List 1 / number"/>
    <w:basedOn w:val="List1bullet"/>
    <w:qFormat/>
    <w:rsid w:val="00F16B89"/>
    <w:pPr>
      <w:numPr>
        <w:numId w:val="40"/>
      </w:numPr>
      <w:ind w:left="284" w:hanging="284"/>
    </w:pPr>
    <w:rPr>
      <w:lang w:eastAsia="en-US"/>
    </w:rPr>
  </w:style>
  <w:style w:type="paragraph" w:styleId="Header">
    <w:name w:val="header"/>
    <w:basedOn w:val="Normal"/>
    <w:link w:val="HeaderChar"/>
    <w:unhideWhenUsed/>
    <w:rsid w:val="005C5489"/>
    <w:pPr>
      <w:tabs>
        <w:tab w:val="center" w:pos="4513"/>
        <w:tab w:val="right" w:pos="9026"/>
      </w:tabs>
      <w:spacing w:before="0" w:line="240" w:lineRule="auto"/>
    </w:pPr>
  </w:style>
  <w:style w:type="character" w:customStyle="1" w:styleId="HeaderChar">
    <w:name w:val="Header Char"/>
    <w:basedOn w:val="DefaultParagraphFont"/>
    <w:link w:val="Header"/>
    <w:rsid w:val="005C5489"/>
  </w:style>
  <w:style w:type="character" w:styleId="FootnoteReference">
    <w:name w:val="footnote reference"/>
    <w:basedOn w:val="DefaultParagraphFont"/>
    <w:semiHidden/>
    <w:unhideWhenUsed/>
    <w:rsid w:val="00DD0540"/>
    <w:rPr>
      <w:vertAlign w:val="superscript"/>
    </w:rPr>
  </w:style>
  <w:style w:type="paragraph" w:styleId="ListParagraph">
    <w:name w:val="List Paragraph"/>
    <w:basedOn w:val="Normal"/>
    <w:uiPriority w:val="34"/>
    <w:qFormat/>
    <w:rsid w:val="004E043D"/>
    <w:pPr>
      <w:ind w:left="720"/>
      <w:contextualSpacing/>
    </w:pPr>
  </w:style>
  <w:style w:type="character" w:styleId="Strong">
    <w:name w:val="Strong"/>
    <w:uiPriority w:val="22"/>
    <w:qFormat/>
    <w:rsid w:val="004E043D"/>
    <w:rPr>
      <w:rFonts w:ascii="Arial" w:hAnsi="Arial" w:cs="Arial" w:hint="default"/>
      <w:b/>
      <w:bCs w:val="0"/>
      <w:i/>
      <w:iCs w:val="0"/>
      <w:sz w:val="18"/>
      <w:szCs w:val="18"/>
    </w:rPr>
  </w:style>
  <w:style w:type="table" w:styleId="GridTable1Light-Accent1">
    <w:name w:val="Grid Table 1 Light Accent 1"/>
    <w:basedOn w:val="TableNormal"/>
    <w:uiPriority w:val="46"/>
    <w:rsid w:val="00657EC1"/>
    <w:tblPr>
      <w:tblStyleRowBandSize w:val="1"/>
      <w:tblStyleColBandSize w:val="1"/>
      <w:tblBorders>
        <w:top w:val="single" w:sz="4" w:space="0" w:color="6FB7FF" w:themeColor="accent1" w:themeTint="66"/>
        <w:left w:val="single" w:sz="4" w:space="0" w:color="6FB7FF" w:themeColor="accent1" w:themeTint="66"/>
        <w:bottom w:val="single" w:sz="4" w:space="0" w:color="6FB7FF" w:themeColor="accent1" w:themeTint="66"/>
        <w:right w:val="single" w:sz="4" w:space="0" w:color="6FB7FF" w:themeColor="accent1" w:themeTint="66"/>
        <w:insideH w:val="single" w:sz="4" w:space="0" w:color="6FB7FF" w:themeColor="accent1" w:themeTint="66"/>
        <w:insideV w:val="single" w:sz="4" w:space="0" w:color="6FB7FF" w:themeColor="accent1" w:themeTint="66"/>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2" w:space="0" w:color="2793FF" w:themeColor="accent1" w:themeTint="99"/>
        </w:tcBorders>
      </w:tcPr>
    </w:tblStylePr>
    <w:tblStylePr w:type="firstCol">
      <w:rPr>
        <w:b/>
        <w:bCs/>
      </w:rPr>
    </w:tblStylePr>
    <w:tblStylePr w:type="lastCol">
      <w:rPr>
        <w:b/>
        <w:bCs/>
      </w:rPr>
    </w:tblStylePr>
  </w:style>
  <w:style w:type="paragraph" w:styleId="FootnoteText">
    <w:name w:val="footnote text"/>
    <w:basedOn w:val="Normal"/>
    <w:link w:val="FootnoteTextChar"/>
    <w:semiHidden/>
    <w:unhideWhenUsed/>
    <w:rsid w:val="000427EC"/>
    <w:pPr>
      <w:spacing w:before="0" w:line="240" w:lineRule="auto"/>
    </w:pPr>
    <w:rPr>
      <w:sz w:val="20"/>
      <w:szCs w:val="20"/>
    </w:rPr>
  </w:style>
  <w:style w:type="character" w:customStyle="1" w:styleId="FootnoteTextChar">
    <w:name w:val="Footnote Text Char"/>
    <w:basedOn w:val="DefaultParagraphFont"/>
    <w:link w:val="FootnoteText"/>
    <w:semiHidden/>
    <w:rsid w:val="000427EC"/>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40168">
      <w:bodyDiv w:val="1"/>
      <w:marLeft w:val="0"/>
      <w:marRight w:val="0"/>
      <w:marTop w:val="0"/>
      <w:marBottom w:val="0"/>
      <w:divBdr>
        <w:top w:val="none" w:sz="0" w:space="0" w:color="auto"/>
        <w:left w:val="none" w:sz="0" w:space="0" w:color="auto"/>
        <w:bottom w:val="none" w:sz="0" w:space="0" w:color="auto"/>
        <w:right w:val="none" w:sz="0" w:space="0" w:color="auto"/>
      </w:divBdr>
    </w:div>
    <w:div w:id="194657035">
      <w:bodyDiv w:val="1"/>
      <w:marLeft w:val="0"/>
      <w:marRight w:val="0"/>
      <w:marTop w:val="0"/>
      <w:marBottom w:val="0"/>
      <w:divBdr>
        <w:top w:val="none" w:sz="0" w:space="0" w:color="auto"/>
        <w:left w:val="none" w:sz="0" w:space="0" w:color="auto"/>
        <w:bottom w:val="none" w:sz="0" w:space="0" w:color="auto"/>
        <w:right w:val="none" w:sz="0" w:space="0" w:color="auto"/>
      </w:divBdr>
    </w:div>
    <w:div w:id="275718700">
      <w:bodyDiv w:val="1"/>
      <w:marLeft w:val="0"/>
      <w:marRight w:val="0"/>
      <w:marTop w:val="0"/>
      <w:marBottom w:val="0"/>
      <w:divBdr>
        <w:top w:val="none" w:sz="0" w:space="0" w:color="auto"/>
        <w:left w:val="none" w:sz="0" w:space="0" w:color="auto"/>
        <w:bottom w:val="none" w:sz="0" w:space="0" w:color="auto"/>
        <w:right w:val="none" w:sz="0" w:space="0" w:color="auto"/>
      </w:divBdr>
    </w:div>
    <w:div w:id="288627740">
      <w:bodyDiv w:val="1"/>
      <w:marLeft w:val="0"/>
      <w:marRight w:val="0"/>
      <w:marTop w:val="0"/>
      <w:marBottom w:val="0"/>
      <w:divBdr>
        <w:top w:val="none" w:sz="0" w:space="0" w:color="auto"/>
        <w:left w:val="none" w:sz="0" w:space="0" w:color="auto"/>
        <w:bottom w:val="none" w:sz="0" w:space="0" w:color="auto"/>
        <w:right w:val="none" w:sz="0" w:space="0" w:color="auto"/>
      </w:divBdr>
    </w:div>
    <w:div w:id="513499236">
      <w:bodyDiv w:val="1"/>
      <w:marLeft w:val="0"/>
      <w:marRight w:val="0"/>
      <w:marTop w:val="0"/>
      <w:marBottom w:val="0"/>
      <w:divBdr>
        <w:top w:val="none" w:sz="0" w:space="0" w:color="auto"/>
        <w:left w:val="none" w:sz="0" w:space="0" w:color="auto"/>
        <w:bottom w:val="none" w:sz="0" w:space="0" w:color="auto"/>
        <w:right w:val="none" w:sz="0" w:space="0" w:color="auto"/>
      </w:divBdr>
    </w:div>
    <w:div w:id="515772241">
      <w:bodyDiv w:val="1"/>
      <w:marLeft w:val="0"/>
      <w:marRight w:val="0"/>
      <w:marTop w:val="0"/>
      <w:marBottom w:val="0"/>
      <w:divBdr>
        <w:top w:val="none" w:sz="0" w:space="0" w:color="auto"/>
        <w:left w:val="none" w:sz="0" w:space="0" w:color="auto"/>
        <w:bottom w:val="none" w:sz="0" w:space="0" w:color="auto"/>
        <w:right w:val="none" w:sz="0" w:space="0" w:color="auto"/>
      </w:divBdr>
      <w:divsChild>
        <w:div w:id="845289568">
          <w:marLeft w:val="850"/>
          <w:marRight w:val="0"/>
          <w:marTop w:val="0"/>
          <w:marBottom w:val="0"/>
          <w:divBdr>
            <w:top w:val="none" w:sz="0" w:space="0" w:color="auto"/>
            <w:left w:val="none" w:sz="0" w:space="0" w:color="auto"/>
            <w:bottom w:val="none" w:sz="0" w:space="0" w:color="auto"/>
            <w:right w:val="none" w:sz="0" w:space="0" w:color="auto"/>
          </w:divBdr>
        </w:div>
        <w:div w:id="930965612">
          <w:marLeft w:val="850"/>
          <w:marRight w:val="0"/>
          <w:marTop w:val="0"/>
          <w:marBottom w:val="0"/>
          <w:divBdr>
            <w:top w:val="none" w:sz="0" w:space="0" w:color="auto"/>
            <w:left w:val="none" w:sz="0" w:space="0" w:color="auto"/>
            <w:bottom w:val="none" w:sz="0" w:space="0" w:color="auto"/>
            <w:right w:val="none" w:sz="0" w:space="0" w:color="auto"/>
          </w:divBdr>
        </w:div>
        <w:div w:id="1720007632">
          <w:marLeft w:val="850"/>
          <w:marRight w:val="0"/>
          <w:marTop w:val="0"/>
          <w:marBottom w:val="0"/>
          <w:divBdr>
            <w:top w:val="none" w:sz="0" w:space="0" w:color="auto"/>
            <w:left w:val="none" w:sz="0" w:space="0" w:color="auto"/>
            <w:bottom w:val="none" w:sz="0" w:space="0" w:color="auto"/>
            <w:right w:val="none" w:sz="0" w:space="0" w:color="auto"/>
          </w:divBdr>
        </w:div>
      </w:divsChild>
    </w:div>
    <w:div w:id="552620378">
      <w:bodyDiv w:val="1"/>
      <w:marLeft w:val="0"/>
      <w:marRight w:val="0"/>
      <w:marTop w:val="0"/>
      <w:marBottom w:val="0"/>
      <w:divBdr>
        <w:top w:val="none" w:sz="0" w:space="0" w:color="auto"/>
        <w:left w:val="none" w:sz="0" w:space="0" w:color="auto"/>
        <w:bottom w:val="none" w:sz="0" w:space="0" w:color="auto"/>
        <w:right w:val="none" w:sz="0" w:space="0" w:color="auto"/>
      </w:divBdr>
    </w:div>
    <w:div w:id="606809069">
      <w:bodyDiv w:val="1"/>
      <w:marLeft w:val="0"/>
      <w:marRight w:val="0"/>
      <w:marTop w:val="0"/>
      <w:marBottom w:val="0"/>
      <w:divBdr>
        <w:top w:val="none" w:sz="0" w:space="0" w:color="auto"/>
        <w:left w:val="none" w:sz="0" w:space="0" w:color="auto"/>
        <w:bottom w:val="none" w:sz="0" w:space="0" w:color="auto"/>
        <w:right w:val="none" w:sz="0" w:space="0" w:color="auto"/>
      </w:divBdr>
    </w:div>
    <w:div w:id="929045713">
      <w:bodyDiv w:val="1"/>
      <w:marLeft w:val="0"/>
      <w:marRight w:val="0"/>
      <w:marTop w:val="0"/>
      <w:marBottom w:val="0"/>
      <w:divBdr>
        <w:top w:val="none" w:sz="0" w:space="0" w:color="auto"/>
        <w:left w:val="none" w:sz="0" w:space="0" w:color="auto"/>
        <w:bottom w:val="none" w:sz="0" w:space="0" w:color="auto"/>
        <w:right w:val="none" w:sz="0" w:space="0" w:color="auto"/>
      </w:divBdr>
    </w:div>
    <w:div w:id="1092163054">
      <w:bodyDiv w:val="1"/>
      <w:marLeft w:val="0"/>
      <w:marRight w:val="0"/>
      <w:marTop w:val="0"/>
      <w:marBottom w:val="0"/>
      <w:divBdr>
        <w:top w:val="none" w:sz="0" w:space="0" w:color="auto"/>
        <w:left w:val="none" w:sz="0" w:space="0" w:color="auto"/>
        <w:bottom w:val="none" w:sz="0" w:space="0" w:color="auto"/>
        <w:right w:val="none" w:sz="0" w:space="0" w:color="auto"/>
      </w:divBdr>
    </w:div>
    <w:div w:id="1122528911">
      <w:bodyDiv w:val="1"/>
      <w:marLeft w:val="0"/>
      <w:marRight w:val="0"/>
      <w:marTop w:val="0"/>
      <w:marBottom w:val="0"/>
      <w:divBdr>
        <w:top w:val="none" w:sz="0" w:space="0" w:color="auto"/>
        <w:left w:val="none" w:sz="0" w:space="0" w:color="auto"/>
        <w:bottom w:val="none" w:sz="0" w:space="0" w:color="auto"/>
        <w:right w:val="none" w:sz="0" w:space="0" w:color="auto"/>
      </w:divBdr>
      <w:divsChild>
        <w:div w:id="432550669">
          <w:marLeft w:val="1426"/>
          <w:marRight w:val="0"/>
          <w:marTop w:val="0"/>
          <w:marBottom w:val="0"/>
          <w:divBdr>
            <w:top w:val="none" w:sz="0" w:space="0" w:color="auto"/>
            <w:left w:val="none" w:sz="0" w:space="0" w:color="auto"/>
            <w:bottom w:val="none" w:sz="0" w:space="0" w:color="auto"/>
            <w:right w:val="none" w:sz="0" w:space="0" w:color="auto"/>
          </w:divBdr>
        </w:div>
        <w:div w:id="802889351">
          <w:marLeft w:val="547"/>
          <w:marRight w:val="0"/>
          <w:marTop w:val="0"/>
          <w:marBottom w:val="0"/>
          <w:divBdr>
            <w:top w:val="none" w:sz="0" w:space="0" w:color="auto"/>
            <w:left w:val="none" w:sz="0" w:space="0" w:color="auto"/>
            <w:bottom w:val="none" w:sz="0" w:space="0" w:color="auto"/>
            <w:right w:val="none" w:sz="0" w:space="0" w:color="auto"/>
          </w:divBdr>
        </w:div>
        <w:div w:id="878274818">
          <w:marLeft w:val="1138"/>
          <w:marRight w:val="0"/>
          <w:marTop w:val="0"/>
          <w:marBottom w:val="0"/>
          <w:divBdr>
            <w:top w:val="none" w:sz="0" w:space="0" w:color="auto"/>
            <w:left w:val="none" w:sz="0" w:space="0" w:color="auto"/>
            <w:bottom w:val="none" w:sz="0" w:space="0" w:color="auto"/>
            <w:right w:val="none" w:sz="0" w:space="0" w:color="auto"/>
          </w:divBdr>
        </w:div>
        <w:div w:id="1073505193">
          <w:marLeft w:val="547"/>
          <w:marRight w:val="0"/>
          <w:marTop w:val="0"/>
          <w:marBottom w:val="0"/>
          <w:divBdr>
            <w:top w:val="none" w:sz="0" w:space="0" w:color="auto"/>
            <w:left w:val="none" w:sz="0" w:space="0" w:color="auto"/>
            <w:bottom w:val="none" w:sz="0" w:space="0" w:color="auto"/>
            <w:right w:val="none" w:sz="0" w:space="0" w:color="auto"/>
          </w:divBdr>
        </w:div>
        <w:div w:id="1085806489">
          <w:marLeft w:val="547"/>
          <w:marRight w:val="0"/>
          <w:marTop w:val="0"/>
          <w:marBottom w:val="0"/>
          <w:divBdr>
            <w:top w:val="none" w:sz="0" w:space="0" w:color="auto"/>
            <w:left w:val="none" w:sz="0" w:space="0" w:color="auto"/>
            <w:bottom w:val="none" w:sz="0" w:space="0" w:color="auto"/>
            <w:right w:val="none" w:sz="0" w:space="0" w:color="auto"/>
          </w:divBdr>
        </w:div>
        <w:div w:id="1176727221">
          <w:marLeft w:val="1138"/>
          <w:marRight w:val="0"/>
          <w:marTop w:val="0"/>
          <w:marBottom w:val="0"/>
          <w:divBdr>
            <w:top w:val="none" w:sz="0" w:space="0" w:color="auto"/>
            <w:left w:val="none" w:sz="0" w:space="0" w:color="auto"/>
            <w:bottom w:val="none" w:sz="0" w:space="0" w:color="auto"/>
            <w:right w:val="none" w:sz="0" w:space="0" w:color="auto"/>
          </w:divBdr>
        </w:div>
        <w:div w:id="1217623772">
          <w:marLeft w:val="547"/>
          <w:marRight w:val="0"/>
          <w:marTop w:val="0"/>
          <w:marBottom w:val="0"/>
          <w:divBdr>
            <w:top w:val="none" w:sz="0" w:space="0" w:color="auto"/>
            <w:left w:val="none" w:sz="0" w:space="0" w:color="auto"/>
            <w:bottom w:val="none" w:sz="0" w:space="0" w:color="auto"/>
            <w:right w:val="none" w:sz="0" w:space="0" w:color="auto"/>
          </w:divBdr>
        </w:div>
        <w:div w:id="1381780309">
          <w:marLeft w:val="547"/>
          <w:marRight w:val="0"/>
          <w:marTop w:val="0"/>
          <w:marBottom w:val="0"/>
          <w:divBdr>
            <w:top w:val="none" w:sz="0" w:space="0" w:color="auto"/>
            <w:left w:val="none" w:sz="0" w:space="0" w:color="auto"/>
            <w:bottom w:val="none" w:sz="0" w:space="0" w:color="auto"/>
            <w:right w:val="none" w:sz="0" w:space="0" w:color="auto"/>
          </w:divBdr>
        </w:div>
        <w:div w:id="1452088634">
          <w:marLeft w:val="1426"/>
          <w:marRight w:val="0"/>
          <w:marTop w:val="0"/>
          <w:marBottom w:val="0"/>
          <w:divBdr>
            <w:top w:val="none" w:sz="0" w:space="0" w:color="auto"/>
            <w:left w:val="none" w:sz="0" w:space="0" w:color="auto"/>
            <w:bottom w:val="none" w:sz="0" w:space="0" w:color="auto"/>
            <w:right w:val="none" w:sz="0" w:space="0" w:color="auto"/>
          </w:divBdr>
        </w:div>
        <w:div w:id="1761096633">
          <w:marLeft w:val="547"/>
          <w:marRight w:val="0"/>
          <w:marTop w:val="0"/>
          <w:marBottom w:val="0"/>
          <w:divBdr>
            <w:top w:val="none" w:sz="0" w:space="0" w:color="auto"/>
            <w:left w:val="none" w:sz="0" w:space="0" w:color="auto"/>
            <w:bottom w:val="none" w:sz="0" w:space="0" w:color="auto"/>
            <w:right w:val="none" w:sz="0" w:space="0" w:color="auto"/>
          </w:divBdr>
        </w:div>
        <w:div w:id="2010524266">
          <w:marLeft w:val="547"/>
          <w:marRight w:val="0"/>
          <w:marTop w:val="0"/>
          <w:marBottom w:val="0"/>
          <w:divBdr>
            <w:top w:val="none" w:sz="0" w:space="0" w:color="auto"/>
            <w:left w:val="none" w:sz="0" w:space="0" w:color="auto"/>
            <w:bottom w:val="none" w:sz="0" w:space="0" w:color="auto"/>
            <w:right w:val="none" w:sz="0" w:space="0" w:color="auto"/>
          </w:divBdr>
        </w:div>
        <w:div w:id="2029674634">
          <w:marLeft w:val="547"/>
          <w:marRight w:val="0"/>
          <w:marTop w:val="0"/>
          <w:marBottom w:val="0"/>
          <w:divBdr>
            <w:top w:val="none" w:sz="0" w:space="0" w:color="auto"/>
            <w:left w:val="none" w:sz="0" w:space="0" w:color="auto"/>
            <w:bottom w:val="none" w:sz="0" w:space="0" w:color="auto"/>
            <w:right w:val="none" w:sz="0" w:space="0" w:color="auto"/>
          </w:divBdr>
        </w:div>
        <w:div w:id="2109815779">
          <w:marLeft w:val="547"/>
          <w:marRight w:val="0"/>
          <w:marTop w:val="0"/>
          <w:marBottom w:val="0"/>
          <w:divBdr>
            <w:top w:val="none" w:sz="0" w:space="0" w:color="auto"/>
            <w:left w:val="none" w:sz="0" w:space="0" w:color="auto"/>
            <w:bottom w:val="none" w:sz="0" w:space="0" w:color="auto"/>
            <w:right w:val="none" w:sz="0" w:space="0" w:color="auto"/>
          </w:divBdr>
        </w:div>
        <w:div w:id="2121096714">
          <w:marLeft w:val="547"/>
          <w:marRight w:val="0"/>
          <w:marTop w:val="0"/>
          <w:marBottom w:val="0"/>
          <w:divBdr>
            <w:top w:val="none" w:sz="0" w:space="0" w:color="auto"/>
            <w:left w:val="none" w:sz="0" w:space="0" w:color="auto"/>
            <w:bottom w:val="none" w:sz="0" w:space="0" w:color="auto"/>
            <w:right w:val="none" w:sz="0" w:space="0" w:color="auto"/>
          </w:divBdr>
        </w:div>
      </w:divsChild>
    </w:div>
    <w:div w:id="1159033655">
      <w:bodyDiv w:val="1"/>
      <w:marLeft w:val="0"/>
      <w:marRight w:val="0"/>
      <w:marTop w:val="0"/>
      <w:marBottom w:val="0"/>
      <w:divBdr>
        <w:top w:val="none" w:sz="0" w:space="0" w:color="auto"/>
        <w:left w:val="none" w:sz="0" w:space="0" w:color="auto"/>
        <w:bottom w:val="none" w:sz="0" w:space="0" w:color="auto"/>
        <w:right w:val="none" w:sz="0" w:space="0" w:color="auto"/>
      </w:divBdr>
    </w:div>
    <w:div w:id="1214580668">
      <w:bodyDiv w:val="1"/>
      <w:marLeft w:val="0"/>
      <w:marRight w:val="0"/>
      <w:marTop w:val="0"/>
      <w:marBottom w:val="0"/>
      <w:divBdr>
        <w:top w:val="none" w:sz="0" w:space="0" w:color="auto"/>
        <w:left w:val="none" w:sz="0" w:space="0" w:color="auto"/>
        <w:bottom w:val="none" w:sz="0" w:space="0" w:color="auto"/>
        <w:right w:val="none" w:sz="0" w:space="0" w:color="auto"/>
      </w:divBdr>
    </w:div>
    <w:div w:id="1235700577">
      <w:bodyDiv w:val="1"/>
      <w:marLeft w:val="0"/>
      <w:marRight w:val="0"/>
      <w:marTop w:val="0"/>
      <w:marBottom w:val="0"/>
      <w:divBdr>
        <w:top w:val="none" w:sz="0" w:space="0" w:color="auto"/>
        <w:left w:val="none" w:sz="0" w:space="0" w:color="auto"/>
        <w:bottom w:val="none" w:sz="0" w:space="0" w:color="auto"/>
        <w:right w:val="none" w:sz="0" w:space="0" w:color="auto"/>
      </w:divBdr>
    </w:div>
    <w:div w:id="1317609265">
      <w:bodyDiv w:val="1"/>
      <w:marLeft w:val="0"/>
      <w:marRight w:val="0"/>
      <w:marTop w:val="0"/>
      <w:marBottom w:val="0"/>
      <w:divBdr>
        <w:top w:val="none" w:sz="0" w:space="0" w:color="auto"/>
        <w:left w:val="none" w:sz="0" w:space="0" w:color="auto"/>
        <w:bottom w:val="none" w:sz="0" w:space="0" w:color="auto"/>
        <w:right w:val="none" w:sz="0" w:space="0" w:color="auto"/>
      </w:divBdr>
    </w:div>
    <w:div w:id="1501582596">
      <w:bodyDiv w:val="1"/>
      <w:marLeft w:val="0"/>
      <w:marRight w:val="0"/>
      <w:marTop w:val="0"/>
      <w:marBottom w:val="0"/>
      <w:divBdr>
        <w:top w:val="none" w:sz="0" w:space="0" w:color="auto"/>
        <w:left w:val="none" w:sz="0" w:space="0" w:color="auto"/>
        <w:bottom w:val="none" w:sz="0" w:space="0" w:color="auto"/>
        <w:right w:val="none" w:sz="0" w:space="0" w:color="auto"/>
      </w:divBdr>
    </w:div>
    <w:div w:id="1884554368">
      <w:bodyDiv w:val="1"/>
      <w:marLeft w:val="0"/>
      <w:marRight w:val="0"/>
      <w:marTop w:val="0"/>
      <w:marBottom w:val="0"/>
      <w:divBdr>
        <w:top w:val="none" w:sz="0" w:space="0" w:color="auto"/>
        <w:left w:val="none" w:sz="0" w:space="0" w:color="auto"/>
        <w:bottom w:val="none" w:sz="0" w:space="0" w:color="auto"/>
        <w:right w:val="none" w:sz="0" w:space="0" w:color="auto"/>
      </w:divBdr>
    </w:div>
    <w:div w:id="1892573148">
      <w:bodyDiv w:val="1"/>
      <w:marLeft w:val="0"/>
      <w:marRight w:val="0"/>
      <w:marTop w:val="0"/>
      <w:marBottom w:val="0"/>
      <w:divBdr>
        <w:top w:val="none" w:sz="0" w:space="0" w:color="auto"/>
        <w:left w:val="none" w:sz="0" w:space="0" w:color="auto"/>
        <w:bottom w:val="none" w:sz="0" w:space="0" w:color="auto"/>
        <w:right w:val="none" w:sz="0" w:space="0" w:color="auto"/>
      </w:divBdr>
    </w:div>
    <w:div w:id="2021352261">
      <w:bodyDiv w:val="1"/>
      <w:marLeft w:val="0"/>
      <w:marRight w:val="0"/>
      <w:marTop w:val="0"/>
      <w:marBottom w:val="0"/>
      <w:divBdr>
        <w:top w:val="none" w:sz="0" w:space="0" w:color="auto"/>
        <w:left w:val="none" w:sz="0" w:space="0" w:color="auto"/>
        <w:bottom w:val="none" w:sz="0" w:space="0" w:color="auto"/>
        <w:right w:val="none" w:sz="0" w:space="0" w:color="auto"/>
      </w:divBdr>
    </w:div>
    <w:div w:id="2057585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footer" Target="footer4.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header" Target="header3.xml"/><Relationship Id="rId30" Type="http://schemas.openxmlformats.org/officeDocument/2006/relationships/footer" Target="footer6.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5.xml.rels><?xml version="1.0" encoding="UTF-8" standalone="yes"?>
<Relationships xmlns="http://schemas.openxmlformats.org/package/2006/relationships"><Relationship Id="rId1" Type="http://schemas.openxmlformats.org/officeDocument/2006/relationships/image" Target="media/image13.png"/></Relationships>
</file>

<file path=word/_rels/footer6.xml.rels><?xml version="1.0" encoding="UTF-8" standalone="yes"?>
<Relationships xmlns="http://schemas.openxmlformats.org/package/2006/relationships"><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vpa-fs1\software$\Microsoft\Templates\13_PSP_PORTRAIT_REPORT.dotx" TargetMode="External"/></Relationships>
</file>

<file path=word/theme/theme1.xml><?xml version="1.0" encoding="utf-8"?>
<a:theme xmlns:a="http://schemas.openxmlformats.org/drawingml/2006/main" name="MPA">
  <a:themeElements>
    <a:clrScheme name="Custom 6">
      <a:dk1>
        <a:sysClr val="windowText" lastClr="000000"/>
      </a:dk1>
      <a:lt1>
        <a:sysClr val="window" lastClr="FFFFFF"/>
      </a:lt1>
      <a:dk2>
        <a:srgbClr val="201547"/>
      </a:dk2>
      <a:lt2>
        <a:srgbClr val="E7E6E6"/>
      </a:lt2>
      <a:accent1>
        <a:srgbClr val="004C97"/>
      </a:accent1>
      <a:accent2>
        <a:srgbClr val="5AA5C7"/>
      </a:accent2>
      <a:accent3>
        <a:srgbClr val="00B2A9"/>
      </a:accent3>
      <a:accent4>
        <a:srgbClr val="9CA0A3"/>
      </a:accent4>
      <a:accent5>
        <a:srgbClr val="00B2A9"/>
      </a:accent5>
      <a:accent6>
        <a:srgbClr val="93C8E7"/>
      </a:accent6>
      <a:hlink>
        <a:srgbClr val="00B0F0"/>
      </a:hlink>
      <a:folHlink>
        <a:srgbClr val="E5720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2F32383ABB7747B8FA68290EC24357" ma:contentTypeVersion="4" ma:contentTypeDescription="Create a new document." ma:contentTypeScope="" ma:versionID="955a07d58cd99a8cc7349a3803b13dfa">
  <xsd:schema xmlns:xsd="http://www.w3.org/2001/XMLSchema" xmlns:xs="http://www.w3.org/2001/XMLSchema" xmlns:p="http://schemas.microsoft.com/office/2006/metadata/properties" xmlns:ns2="42cdcba8-db83-43e3-90e5-b50bd35b21ab" targetNamespace="http://schemas.microsoft.com/office/2006/metadata/properties" ma:root="true" ma:fieldsID="b8f07001de500ab5be4d2bbca1a7fe20" ns2:_="">
    <xsd:import namespace="42cdcba8-db83-43e3-90e5-b50bd35b21a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cdcba8-db83-43e3-90e5-b50bd35b21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F648F2-BD12-4C5B-96DA-C7C8C08D64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2cdcba8-db83-43e3-90e5-b50bd35b21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3A5978D-7015-4248-ACBE-0D384BE52682}">
  <ds:schemaRefs>
    <ds:schemaRef ds:uri="http://schemas.microsoft.com/sharepoint/v3/contenttype/forms"/>
  </ds:schemaRefs>
</ds:datastoreItem>
</file>

<file path=customXml/itemProps3.xml><?xml version="1.0" encoding="utf-8"?>
<ds:datastoreItem xmlns:ds="http://schemas.openxmlformats.org/officeDocument/2006/customXml" ds:itemID="{E548D406-D126-4093-9677-651C8719628F}">
  <ds:schemaRefs>
    <ds:schemaRef ds:uri="http://schemas.microsoft.com/office/2006/documentManagement/types"/>
    <ds:schemaRef ds:uri="http://schemas.microsoft.com/office/2006/metadata/properties"/>
    <ds:schemaRef ds:uri="http://purl.org/dc/dcmitype/"/>
    <ds:schemaRef ds:uri="42cdcba8-db83-43e3-90e5-b50bd35b21ab"/>
    <ds:schemaRef ds:uri="http://purl.org/dc/elements/1.1/"/>
    <ds:schemaRef ds:uri="http://schemas.microsoft.com/office/infopath/2007/PartnerControls"/>
    <ds:schemaRef ds:uri="http://schemas.openxmlformats.org/package/2006/metadata/core-properties"/>
    <ds:schemaRef ds:uri="http://www.w3.org/XML/1998/namespace"/>
    <ds:schemaRef ds:uri="http://purl.org/dc/terms/"/>
  </ds:schemaRefs>
</ds:datastoreItem>
</file>

<file path=customXml/itemProps4.xml><?xml version="1.0" encoding="utf-8"?>
<ds:datastoreItem xmlns:ds="http://schemas.openxmlformats.org/officeDocument/2006/customXml" ds:itemID="{9B8F42CF-83FD-49FA-B66B-DF5A0553E1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13_PSP_PORTRAIT_REPORT.dotx</Template>
  <TotalTime>1</TotalTime>
  <Pages>22</Pages>
  <Words>4743</Words>
  <Characters>27040</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Victorian Planning Authority</Company>
  <LinksUpToDate>false</LinksUpToDate>
  <CharactersWithSpaces>31720</CharactersWithSpaces>
  <SharedDoc>false</SharedDoc>
  <HLinks>
    <vt:vector size="6" baseType="variant">
      <vt:variant>
        <vt:i4>1900595</vt:i4>
      </vt:variant>
      <vt:variant>
        <vt:i4>2</vt:i4>
      </vt:variant>
      <vt:variant>
        <vt:i4>0</vt:i4>
      </vt:variant>
      <vt:variant>
        <vt:i4>5</vt:i4>
      </vt:variant>
      <vt:variant>
        <vt:lpwstr/>
      </vt:variant>
      <vt:variant>
        <vt:lpwstr>_Toc286321508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Crystal Tang</dc:creator>
  <cp:keywords/>
  <dc:description/>
  <cp:lastModifiedBy>Emily Killin</cp:lastModifiedBy>
  <cp:revision>2</cp:revision>
  <cp:lastPrinted>2015-12-22T05:31:00Z</cp:lastPrinted>
  <dcterms:created xsi:type="dcterms:W3CDTF">2020-10-12T03:52:00Z</dcterms:created>
  <dcterms:modified xsi:type="dcterms:W3CDTF">2020-10-12T03:52:00Z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0x010100A22F32383ABB7747B8FA68290EC24357</vt:lpwstr>
  </property>
</Properties>
</file>