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E7AEC" w:rsidR="00A15C2E" w:rsidP="00455E90" w:rsidRDefault="00A15C2E" w14:paraId="7A39B260" w14:textId="59058C92">
      <w:pPr>
        <w:pStyle w:val="Quote"/>
      </w:pPr>
      <w:r w:rsidRPr="005E7AEC">
        <w:t>Planning and Environment Act 1987</w:t>
      </w:r>
    </w:p>
    <w:p w:rsidRPr="006358A8" w:rsidR="00A15C2E" w:rsidP="00A15C2E" w:rsidRDefault="006358A8" w14:paraId="127CFD92" w14:textId="3FC0E838">
      <w:pPr>
        <w:pStyle w:val="Heading1"/>
        <w:rPr>
          <w:color w:val="000000" w:themeColor="text1"/>
        </w:rPr>
      </w:pPr>
      <w:r w:rsidRPr="006358A8">
        <w:rPr>
          <w:color w:val="000000" w:themeColor="text1"/>
        </w:rPr>
        <w:t>Greater Bendigo</w:t>
      </w:r>
      <w:r w:rsidRPr="006358A8" w:rsidR="00A15C2E">
        <w:rPr>
          <w:color w:val="000000" w:themeColor="text1"/>
        </w:rPr>
        <w:t xml:space="preserve"> Planning Scheme</w:t>
      </w:r>
    </w:p>
    <w:p w:rsidRPr="006358A8" w:rsidR="00A15C2E" w:rsidP="00A15C2E" w:rsidRDefault="00A15C2E" w14:paraId="27A7F636" w14:textId="683D1408">
      <w:pPr>
        <w:pStyle w:val="Heading1"/>
        <w:rPr>
          <w:color w:val="000000" w:themeColor="text1"/>
        </w:rPr>
      </w:pPr>
      <w:r w:rsidRPr="006358A8">
        <w:rPr>
          <w:color w:val="000000" w:themeColor="text1"/>
        </w:rPr>
        <w:t>Amendment C</w:t>
      </w:r>
      <w:r w:rsidRPr="006358A8" w:rsidR="006358A8">
        <w:rPr>
          <w:color w:val="000000" w:themeColor="text1"/>
        </w:rPr>
        <w:t>296gben</w:t>
      </w:r>
    </w:p>
    <w:p w:rsidRPr="00A15C2E" w:rsidR="00A15C2E" w:rsidP="00A15C2E" w:rsidRDefault="00A15C2E" w14:paraId="719D4304" w14:textId="77777777">
      <w:pPr>
        <w:pStyle w:val="Heading1"/>
      </w:pPr>
      <w:r w:rsidRPr="00A15C2E">
        <w:t>Explanatory Report</w:t>
      </w:r>
    </w:p>
    <w:p w:rsidRPr="00A15C2E" w:rsidR="00A15C2E" w:rsidP="00224E35" w:rsidRDefault="00A15C2E" w14:paraId="3920E2A5" w14:textId="77777777">
      <w:pPr>
        <w:pStyle w:val="Heading2"/>
      </w:pPr>
      <w:r w:rsidRPr="00A15C2E">
        <w:t>Overview</w:t>
      </w:r>
    </w:p>
    <w:p w:rsidR="00B41932" w:rsidP="00A15C2E" w:rsidRDefault="006619EE" w14:paraId="7DBAB121" w14:textId="1F27C5A1">
      <w:r w:rsidR="006619EE">
        <w:rPr/>
        <w:t xml:space="preserve">This </w:t>
      </w:r>
      <w:r w:rsidR="00544FCD">
        <w:rPr/>
        <w:t xml:space="preserve">draft amendment </w:t>
      </w:r>
      <w:r w:rsidR="00DF2CA3">
        <w:rPr/>
        <w:t xml:space="preserve">(the Amendment) </w:t>
      </w:r>
      <w:r w:rsidR="00DF2CA3">
        <w:rPr/>
        <w:t>facilitates</w:t>
      </w:r>
      <w:r w:rsidR="00DF2CA3">
        <w:rPr/>
        <w:t xml:space="preserve"> the master planning of the Bendigo Regional Employment Precinct (BREP)</w:t>
      </w:r>
      <w:r w:rsidR="000B1FFD">
        <w:rPr/>
        <w:t>. The precinct will accommodate approximately 3,0</w:t>
      </w:r>
      <w:r w:rsidR="600009F2">
        <w:rPr/>
        <w:t>00</w:t>
      </w:r>
      <w:r w:rsidR="000B1FFD">
        <w:rPr/>
        <w:t xml:space="preserve"> new jobs</w:t>
      </w:r>
      <w:r w:rsidR="00B41932">
        <w:rPr/>
        <w:t xml:space="preserve">. </w:t>
      </w:r>
    </w:p>
    <w:p w:rsidRPr="006619EE" w:rsidR="00A15C2E" w:rsidP="00A15C2E" w:rsidRDefault="00B41932" w14:paraId="3DA3A6E3" w14:textId="5D9007BD">
      <w:r>
        <w:t>T</w:t>
      </w:r>
      <w:r w:rsidR="00DF2CA3">
        <w:t xml:space="preserve">he Planning Policy Framework </w:t>
      </w:r>
      <w:r>
        <w:t xml:space="preserve">will be amended </w:t>
      </w:r>
      <w:r w:rsidR="00DF2CA3">
        <w:t>to include BREP as part of the Marong Framework Plan, which sets out the future vision for the precinct</w:t>
      </w:r>
      <w:r w:rsidR="00CA26FB">
        <w:t xml:space="preserve">. The amendment will rezone all land in the BREP to Industrial 1 Zone (IN1Z) with the application of Development Plan Overlay Schedule 34 (DPO34). </w:t>
      </w:r>
      <w:r w:rsidR="005F12F2">
        <w:t>Additional changes to the local policy and operational provisions of the Greater Bendigo Planning Scheme are also required</w:t>
      </w:r>
      <w:r w:rsidR="00CB1C79">
        <w:t xml:space="preserve"> to facilitate development of the precinct. </w:t>
      </w:r>
    </w:p>
    <w:p w:rsidR="00A15C2E" w:rsidP="003A4991" w:rsidRDefault="00A15C2E" w14:paraId="4A462F3A" w14:textId="77777777">
      <w:pPr>
        <w:pStyle w:val="Heading3"/>
      </w:pPr>
      <w:r w:rsidRPr="00A15C2E">
        <w:t>Where you may inspect this amendment</w:t>
      </w:r>
    </w:p>
    <w:p w:rsidRPr="00C865CE" w:rsidR="00E104AF" w:rsidP="00284C19" w:rsidRDefault="00E104AF" w14:paraId="64FE413A" w14:textId="48268F5A" w14:noSpellErr="1">
      <w:r w:rsidR="00E104AF">
        <w:rPr/>
        <w:t xml:space="preserve">The amendment can be inspected free of charge at the Engage Victoria website between </w:t>
      </w:r>
      <w:r w:rsidR="004A6DA6">
        <w:rPr/>
        <w:t>1</w:t>
      </w:r>
      <w:r w:rsidR="54B8D210">
        <w:rPr/>
        <w:t xml:space="preserve"> December</w:t>
      </w:r>
      <w:r w:rsidR="00E104AF">
        <w:rPr/>
        <w:t xml:space="preserve"> – </w:t>
      </w:r>
      <w:r w:rsidR="2C3F61FC">
        <w:rPr/>
        <w:t>13 February</w:t>
      </w:r>
      <w:r w:rsidR="00E104AF">
        <w:rPr/>
        <w:t xml:space="preserve"> </w:t>
      </w:r>
      <w:r w:rsidR="00E104AF">
        <w:rPr/>
        <w:t>2025</w:t>
      </w:r>
      <w:r w:rsidR="00E104AF">
        <w:rPr/>
        <w:t xml:space="preserve"> at:</w:t>
      </w:r>
    </w:p>
    <w:p w:rsidRPr="00C865CE" w:rsidR="00E104AF" w:rsidP="00284C19" w:rsidRDefault="00E104AF" w14:paraId="5C0DF6CB" w14:textId="77777777">
      <w:pPr>
        <w:rPr>
          <w:b/>
        </w:rPr>
      </w:pPr>
      <w:r w:rsidRPr="00C865CE">
        <w:rPr>
          <w:b/>
        </w:rPr>
        <w:t>Engage Vic</w:t>
      </w:r>
    </w:p>
    <w:p w:rsidRPr="00E92EC3" w:rsidR="00E104AF" w:rsidP="348AF8B3" w:rsidRDefault="7AE4EAC7" w14:paraId="79E2C773" w14:textId="3E2D0BC5">
      <w:pPr>
        <w:rPr>
          <w:szCs w:val="24"/>
        </w:rPr>
      </w:pPr>
      <w:r w:rsidRPr="00E92EC3">
        <w:rPr>
          <w:szCs w:val="24"/>
        </w:rPr>
        <w:t xml:space="preserve"> </w:t>
      </w:r>
      <w:r w:rsidR="00021DEC">
        <w:rPr>
          <w:szCs w:val="24"/>
        </w:rPr>
        <w:t>https://</w:t>
      </w:r>
      <w:r w:rsidRPr="00E92EC3">
        <w:rPr>
          <w:szCs w:val="24"/>
        </w:rPr>
        <w:t>engage.vic.gov.au/</w:t>
      </w:r>
      <w:r w:rsidRPr="00E92EC3" w:rsidR="3100E9B6">
        <w:rPr>
          <w:szCs w:val="24"/>
        </w:rPr>
        <w:t>BREP</w:t>
      </w:r>
    </w:p>
    <w:p w:rsidR="00F50BB4" w:rsidP="00284C19" w:rsidRDefault="00F50BB4" w14:paraId="49AF4FEC" w14:textId="67543EB7">
      <w:r>
        <w:t>The amendment is available for public inspection, free of charge, during office hours at the following places:</w:t>
      </w:r>
    </w:p>
    <w:p w:rsidRPr="008A13D8" w:rsidR="00F50BB4" w:rsidP="00284C19" w:rsidRDefault="00F50BB4" w14:paraId="500D9430" w14:textId="63E23072">
      <w:pPr>
        <w:rPr>
          <w:b/>
        </w:rPr>
      </w:pPr>
      <w:r w:rsidRPr="008A13D8">
        <w:rPr>
          <w:b/>
        </w:rPr>
        <w:t>Department of Transport and Planning</w:t>
      </w:r>
    </w:p>
    <w:p w:rsidR="00F50BB4" w:rsidP="00284C19" w:rsidRDefault="00F50BB4" w14:paraId="746647DF" w14:textId="762ABC2E">
      <w:r>
        <w:t xml:space="preserve">Department of Transport and Planning website at </w:t>
      </w:r>
    </w:p>
    <w:p w:rsidR="00F50BB4" w:rsidP="00284C19" w:rsidRDefault="00F50BB4" w14:paraId="2EAD3BD8" w14:textId="0C735DCF">
      <w:r>
        <w:t xml:space="preserve"> </w:t>
      </w:r>
      <w:hyperlink w:history="1" r:id="rId14">
        <w:r w:rsidRPr="00610920" w:rsidR="00B11922">
          <w:rPr>
            <w:rStyle w:val="Hyperlink"/>
          </w:rPr>
          <w:t>https://vpa.vic.gov.au/project/brep/</w:t>
        </w:r>
      </w:hyperlink>
      <w:r w:rsidR="00B11922">
        <w:t xml:space="preserve"> </w:t>
      </w:r>
      <w:r>
        <w:t>or by contact</w:t>
      </w:r>
      <w:r w:rsidR="00D94928">
        <w:t>ing</w:t>
      </w:r>
      <w:r>
        <w:t xml:space="preserve"> the office on </w:t>
      </w:r>
      <w:r w:rsidR="00047EFE">
        <w:t xml:space="preserve">9651 9600 to arrange a time to view the amendment documentation. </w:t>
      </w:r>
    </w:p>
    <w:p w:rsidRPr="008A13D8" w:rsidR="00F50BB4" w:rsidP="00284C19" w:rsidRDefault="00F50BB4" w14:paraId="6627E4AE" w14:textId="1C39B785">
      <w:pPr>
        <w:rPr>
          <w:b/>
        </w:rPr>
      </w:pPr>
      <w:r w:rsidRPr="008A13D8">
        <w:rPr>
          <w:b/>
        </w:rPr>
        <w:t>City of Greater Bendigo Council</w:t>
      </w:r>
    </w:p>
    <w:p w:rsidRPr="00124CFF" w:rsidR="00F50BB4" w:rsidP="00284C19" w:rsidRDefault="00590BF2" w14:paraId="23F087E4" w14:textId="5504D4C2">
      <w:pPr>
        <w:rPr>
          <w:rFonts w:ascii="Roboto" w:hAnsi="Roboto"/>
          <w:color w:val="000000" w:themeColor="text1"/>
          <w:szCs w:val="24"/>
          <w:shd w:val="clear" w:color="auto" w:fill="FFFFFF"/>
        </w:rPr>
      </w:pPr>
      <w:r w:rsidRPr="00124CFF">
        <w:rPr>
          <w:rFonts w:ascii="Roboto" w:hAnsi="Roboto"/>
          <w:color w:val="000000" w:themeColor="text1"/>
          <w:szCs w:val="24"/>
          <w:shd w:val="clear" w:color="auto" w:fill="FFFFFF"/>
        </w:rPr>
        <w:t>189-229 Lyttleton Terrace, Bendigo</w:t>
      </w:r>
    </w:p>
    <w:p w:rsidRPr="00284C19" w:rsidR="00590BF2" w:rsidP="00284C19" w:rsidRDefault="0067598F" w14:paraId="605F395E" w14:textId="1927FC85">
      <w:r>
        <w:t xml:space="preserve">Should you not have access to the internet and the above offices are closed or not accessible during office hours, please contact the Department of Transport and Planning on 1800 789 386 to make alternative arrangements to obtain a copy of the amendment. </w:t>
      </w:r>
    </w:p>
    <w:p w:rsidR="00A15C2E" w:rsidP="003A4991" w:rsidRDefault="00A15C2E" w14:paraId="265D3FD5" w14:textId="77777777">
      <w:pPr>
        <w:pStyle w:val="Heading3"/>
      </w:pPr>
      <w:r>
        <w:lastRenderedPageBreak/>
        <w:t>Submissions</w:t>
      </w:r>
    </w:p>
    <w:p w:rsidR="00A24B98" w:rsidP="00284C19" w:rsidRDefault="00A24B98" w14:paraId="50054BEA" w14:textId="66EC78A3">
      <w:r>
        <w:t xml:space="preserve">Any person may make a submission to the Department of Transport and Planning about the amendment. Submissions about the amendment must be received by </w:t>
      </w:r>
      <w:r w:rsidR="00F51DFF">
        <w:t>13 February</w:t>
      </w:r>
      <w:r w:rsidR="00922114">
        <w:t xml:space="preserve"> </w:t>
      </w:r>
      <w:r>
        <w:t>2025. A submission must refer to the Bendigo Regional Employment Precinct draft amendment to be sent to:</w:t>
      </w:r>
    </w:p>
    <w:p w:rsidR="00A24B98" w:rsidP="00284C19" w:rsidRDefault="00A24B98" w14:paraId="4B89B90B" w14:textId="7B1C0540">
      <w:r>
        <w:t xml:space="preserve">Online: </w:t>
      </w:r>
      <w:r w:rsidR="003C58A4">
        <w:rPr>
          <w:szCs w:val="24"/>
        </w:rPr>
        <w:t>https://</w:t>
      </w:r>
      <w:r w:rsidRPr="009C1241" w:rsidR="003C58A4">
        <w:rPr>
          <w:szCs w:val="24"/>
        </w:rPr>
        <w:t>engage.vic.gov.au/BREP</w:t>
      </w:r>
      <w:r w:rsidDel="003C58A4" w:rsidR="003C58A4">
        <w:t xml:space="preserve"> </w:t>
      </w:r>
    </w:p>
    <w:p w:rsidR="00A24B98" w:rsidP="00284C19" w:rsidRDefault="00A24B98" w14:paraId="77E20ADA" w14:textId="7D025AF6">
      <w:r>
        <w:t xml:space="preserve">Email: </w:t>
      </w:r>
      <w:hyperlink w:history="1" r:id="rId15">
        <w:r w:rsidRPr="00610920" w:rsidR="003C58A4">
          <w:rPr>
            <w:rStyle w:val="Hyperlink"/>
          </w:rPr>
          <w:t>BREP@transport.vic.gov.au</w:t>
        </w:r>
      </w:hyperlink>
      <w:r w:rsidR="003C58A4">
        <w:t xml:space="preserve"> </w:t>
      </w:r>
    </w:p>
    <w:p w:rsidRPr="00284C19" w:rsidR="00284C19" w:rsidP="00284C19" w:rsidRDefault="00A24B98" w14:paraId="3503AC08" w14:textId="3FEB0D42">
      <w:r>
        <w:t xml:space="preserve">Post: </w:t>
      </w:r>
      <w:r w:rsidRPr="00B0507A" w:rsidR="00EA46B8">
        <w:t xml:space="preserve">Victorian Planning Authority c/- </w:t>
      </w:r>
      <w:r w:rsidR="00EA46B8">
        <w:t xml:space="preserve">Bendigo Regional Employment Precinct </w:t>
      </w:r>
      <w:r w:rsidRPr="00B0507A" w:rsidR="00EA46B8">
        <w:t>GPO Box 2392 Melbourne, VIC 3001 </w:t>
      </w:r>
    </w:p>
    <w:p w:rsidR="00A15C2E" w:rsidP="003A4991" w:rsidRDefault="00EA46B8" w14:paraId="6561E783" w14:textId="3768667B">
      <w:pPr>
        <w:pStyle w:val="Heading3"/>
      </w:pPr>
      <w:r>
        <w:t>Standing Advisory Committee Dates</w:t>
      </w:r>
    </w:p>
    <w:p w:rsidR="0078444F" w:rsidP="0078444F" w:rsidRDefault="0078444F" w14:paraId="33EB49CB" w14:textId="77777777">
      <w:r>
        <w:t xml:space="preserve">If required, this project may be subject to the Victorian Planning Authority Projects Standing Advisory Committee (SAC), appointed pursuant to Part 7, section 151 of the </w:t>
      </w:r>
      <w:r w:rsidRPr="32AF42BF">
        <w:rPr>
          <w:i/>
          <w:iCs/>
        </w:rPr>
        <w:t>Planning and environment Act 1987</w:t>
      </w:r>
      <w:r>
        <w:t xml:space="preserve"> (the Act) to advise the Minister for Planning and the Victorian Planning Authority on referred projects and plans and associated draft planning scheme amendments.  </w:t>
      </w:r>
    </w:p>
    <w:p w:rsidR="0078444F" w:rsidP="0078444F" w:rsidRDefault="0078444F" w14:paraId="647AB3E1" w14:textId="4D10CB21">
      <w:r>
        <w:t xml:space="preserve">While the Department of Transport and Planning </w:t>
      </w:r>
      <w:r w:rsidR="00322CCB">
        <w:t xml:space="preserve">(DTP) </w:t>
      </w:r>
      <w:r>
        <w:t xml:space="preserve">through the Victorian Planning Authority </w:t>
      </w:r>
      <w:r w:rsidR="00322CCB">
        <w:t xml:space="preserve">(VPA) </w:t>
      </w:r>
      <w:r>
        <w:t xml:space="preserve">will seek to resolve any issues raised, unresolved issues or </w:t>
      </w:r>
      <w:proofErr w:type="gramStart"/>
      <w:r>
        <w:t>particular matters</w:t>
      </w:r>
      <w:proofErr w:type="gramEnd"/>
      <w:r>
        <w:t xml:space="preserve"> may be referred to the </w:t>
      </w:r>
      <w:r w:rsidR="00322CCB">
        <w:t xml:space="preserve">VPA projects </w:t>
      </w:r>
      <w:r>
        <w:t xml:space="preserve">SAC, which will contact submitters and then determine the best way to consider unresolved matters – either by round table discussions, written submissions or a public hearing. The </w:t>
      </w:r>
      <w:r w:rsidR="00600B22">
        <w:t xml:space="preserve">VPA </w:t>
      </w:r>
      <w:r>
        <w:t xml:space="preserve">SAC will provide advice on the amendment to the </w:t>
      </w:r>
      <w:r w:rsidR="00600B22">
        <w:t xml:space="preserve">DTP </w:t>
      </w:r>
      <w:r>
        <w:t xml:space="preserve">and Minister for Planning.  </w:t>
      </w:r>
    </w:p>
    <w:p w:rsidR="0078444F" w:rsidP="0078444F" w:rsidRDefault="0078444F" w14:paraId="5253B559" w14:textId="184D8D3A">
      <w:r>
        <w:t xml:space="preserve">The </w:t>
      </w:r>
      <w:r w:rsidR="0006717F">
        <w:t xml:space="preserve">DTP </w:t>
      </w:r>
      <w:r>
        <w:t xml:space="preserve">will then make recommendations to the Minister for Planning, who will consider the appropriate approval pathway for the amendment. </w:t>
      </w:r>
    </w:p>
    <w:p w:rsidR="0078444F" w:rsidP="0078444F" w:rsidRDefault="0078444F" w14:paraId="706105C6" w14:textId="4B7847E6">
      <w:r>
        <w:t xml:space="preserve">If required, dates for the Bendigo Regional Employment Precinct SAC are reserved for: </w:t>
      </w:r>
    </w:p>
    <w:p w:rsidRPr="00F51DFF" w:rsidR="0078444F" w:rsidP="0078444F" w:rsidRDefault="0078444F" w14:paraId="55277317" w14:textId="0A0E9A08">
      <w:pPr>
        <w:pStyle w:val="Bulletlist"/>
        <w:rPr/>
      </w:pPr>
      <w:r w:rsidR="0078444F">
        <w:rPr/>
        <w:t xml:space="preserve">Directions hearing: Week commencing </w:t>
      </w:r>
      <w:r w:rsidR="6FDB5F97">
        <w:rPr/>
        <w:t>6 April</w:t>
      </w:r>
      <w:r w:rsidR="00F934FB">
        <w:rPr/>
        <w:t xml:space="preserve"> </w:t>
      </w:r>
      <w:r w:rsidR="0078444F">
        <w:rPr/>
        <w:t>2026</w:t>
      </w:r>
    </w:p>
    <w:p w:rsidRPr="00284C19" w:rsidR="00284C19" w:rsidP="00F51DFF" w:rsidRDefault="0078444F" w14:paraId="2CF2F605" w14:textId="63D248AF">
      <w:pPr>
        <w:pStyle w:val="Bulletlist"/>
        <w:rPr/>
      </w:pPr>
      <w:r w:rsidR="0078444F">
        <w:rPr/>
        <w:t xml:space="preserve">Panel hearing: Week </w:t>
      </w:r>
      <w:r w:rsidR="0078444F">
        <w:rPr/>
        <w:t>commencing</w:t>
      </w:r>
      <w:r w:rsidR="0078444F">
        <w:rPr/>
        <w:t xml:space="preserve"> </w:t>
      </w:r>
      <w:r w:rsidR="42802575">
        <w:rPr/>
        <w:t>18 May</w:t>
      </w:r>
      <w:r w:rsidR="00F934FB">
        <w:rPr/>
        <w:t xml:space="preserve"> </w:t>
      </w:r>
      <w:r w:rsidR="0078444F">
        <w:rPr/>
        <w:t>2026</w:t>
      </w:r>
    </w:p>
    <w:p w:rsidR="00A15C2E" w:rsidP="00224E35" w:rsidRDefault="00A15C2E" w14:paraId="659921EF" w14:textId="5BA50B16">
      <w:pPr>
        <w:pStyle w:val="Heading2"/>
      </w:pPr>
      <w:r>
        <w:t>D</w:t>
      </w:r>
      <w:r w:rsidR="00284C19">
        <w:t>e</w:t>
      </w:r>
      <w:r>
        <w:t>tails of the amendment</w:t>
      </w:r>
    </w:p>
    <w:p w:rsidR="00A15C2E" w:rsidP="003A4991" w:rsidRDefault="00A15C2E" w14:paraId="3EB7B06E" w14:textId="77777777">
      <w:pPr>
        <w:pStyle w:val="Heading3"/>
      </w:pPr>
      <w:r>
        <w:t>Who is the planning authority?</w:t>
      </w:r>
    </w:p>
    <w:p w:rsidR="00A15C2E" w:rsidP="00A15C2E" w:rsidRDefault="00A15C2E" w14:paraId="7AD4188E" w14:textId="21B4D9F8">
      <w:r>
        <w:t>This amendment has been prepared by the</w:t>
      </w:r>
      <w:r w:rsidR="00EE4D0B">
        <w:t xml:space="preserve"> </w:t>
      </w:r>
      <w:r w:rsidR="00992A6F">
        <w:t>VPA</w:t>
      </w:r>
      <w:r w:rsidR="00797246">
        <w:t xml:space="preserve">, </w:t>
      </w:r>
      <w:r w:rsidR="00717D9E">
        <w:t xml:space="preserve">now part of </w:t>
      </w:r>
      <w:r w:rsidR="009050F5">
        <w:t xml:space="preserve">the </w:t>
      </w:r>
      <w:r w:rsidR="00717D9E">
        <w:t>DTP</w:t>
      </w:r>
      <w:r w:rsidR="009050F5">
        <w:t>,</w:t>
      </w:r>
      <w:r w:rsidR="00797246">
        <w:t xml:space="preserve"> for the Minister for Planning</w:t>
      </w:r>
      <w:r w:rsidR="00BA409E">
        <w:t xml:space="preserve"> </w:t>
      </w:r>
      <w:r w:rsidR="002429C1">
        <w:t xml:space="preserve">who </w:t>
      </w:r>
      <w:r>
        <w:t>is the planning authority for this amendment.</w:t>
      </w:r>
    </w:p>
    <w:p w:rsidR="00A15C2E" w:rsidP="003A4991" w:rsidRDefault="00A15C2E" w14:paraId="35BEF9A5" w14:textId="77777777">
      <w:pPr>
        <w:pStyle w:val="Heading3"/>
      </w:pPr>
      <w:r>
        <w:t>Land affected by the amendment</w:t>
      </w:r>
    </w:p>
    <w:p w:rsidR="00543C20" w:rsidP="00A15C2E" w:rsidRDefault="00A15C2E" w14:paraId="33C1F6C0" w14:textId="6103202B">
      <w:r>
        <w:t xml:space="preserve">The </w:t>
      </w:r>
      <w:r w:rsidR="00750A7F">
        <w:t xml:space="preserve">draft </w:t>
      </w:r>
      <w:r>
        <w:t>amendment applies to</w:t>
      </w:r>
      <w:r w:rsidR="00750A7F">
        <w:t xml:space="preserve"> land included in the BREP </w:t>
      </w:r>
      <w:r w:rsidR="00CE5DA8">
        <w:t xml:space="preserve">as shown on Map 1 below. </w:t>
      </w:r>
    </w:p>
    <w:p w:rsidRPr="00AC44F8" w:rsidR="00A43DDD" w:rsidP="003A4991" w:rsidRDefault="00CE5DA8" w14:paraId="04DFB063" w14:textId="321AC6A7">
      <w:pPr>
        <w:pStyle w:val="Heading3"/>
        <w:rPr>
          <w:b w:val="0"/>
          <w:sz w:val="24"/>
          <w:szCs w:val="20"/>
        </w:rPr>
      </w:pPr>
      <w:r w:rsidRPr="00AC44F8">
        <w:rPr>
          <w:b w:val="0"/>
          <w:sz w:val="24"/>
          <w:szCs w:val="20"/>
        </w:rPr>
        <w:lastRenderedPageBreak/>
        <w:t>The</w:t>
      </w:r>
      <w:r w:rsidRPr="00AC44F8" w:rsidR="003B0DAF">
        <w:rPr>
          <w:b w:val="0"/>
          <w:sz w:val="24"/>
          <w:szCs w:val="20"/>
        </w:rPr>
        <w:t xml:space="preserve"> </w:t>
      </w:r>
      <w:r w:rsidRPr="00AC44F8" w:rsidR="2C90A254">
        <w:rPr>
          <w:b w:val="0"/>
          <w:sz w:val="24"/>
          <w:szCs w:val="20"/>
        </w:rPr>
        <w:t>BREP</w:t>
      </w:r>
      <w:r w:rsidRPr="00AC44F8">
        <w:rPr>
          <w:b w:val="0"/>
          <w:sz w:val="24"/>
          <w:szCs w:val="20"/>
        </w:rPr>
        <w:t xml:space="preserve"> is located south of the Marong township and covers approximately 294 hectares of land. </w:t>
      </w:r>
      <w:r w:rsidRPr="00AC44F8" w:rsidR="00307037">
        <w:rPr>
          <w:b w:val="0"/>
          <w:sz w:val="24"/>
          <w:szCs w:val="20"/>
        </w:rPr>
        <w:t xml:space="preserve">It is generally defined by </w:t>
      </w:r>
      <w:r w:rsidRPr="00AC44F8" w:rsidR="005D7B33">
        <w:rPr>
          <w:b w:val="0"/>
          <w:sz w:val="24"/>
          <w:szCs w:val="20"/>
        </w:rPr>
        <w:t xml:space="preserve">Cemetery Road to the south, </w:t>
      </w:r>
      <w:r w:rsidR="0041217E">
        <w:rPr>
          <w:b w:val="0"/>
          <w:sz w:val="24"/>
          <w:szCs w:val="20"/>
        </w:rPr>
        <w:t>Calder Alternative Highway to the east</w:t>
      </w:r>
      <w:r w:rsidRPr="00AC44F8" w:rsidR="0061614F">
        <w:rPr>
          <w:b w:val="0"/>
          <w:sz w:val="24"/>
          <w:szCs w:val="20"/>
        </w:rPr>
        <w:t xml:space="preserve">, Wimmera Highway to the north and west, with </w:t>
      </w:r>
      <w:proofErr w:type="spellStart"/>
      <w:r w:rsidRPr="00AC44F8" w:rsidR="0061614F">
        <w:rPr>
          <w:b w:val="0"/>
          <w:sz w:val="24"/>
          <w:szCs w:val="20"/>
        </w:rPr>
        <w:t>O’Sullivans</w:t>
      </w:r>
      <w:proofErr w:type="spellEnd"/>
      <w:r w:rsidRPr="00AC44F8" w:rsidR="0061614F">
        <w:rPr>
          <w:b w:val="0"/>
          <w:sz w:val="24"/>
          <w:szCs w:val="20"/>
        </w:rPr>
        <w:t xml:space="preserve"> road cutting through the centre of the site. </w:t>
      </w:r>
    </w:p>
    <w:p w:rsidRPr="00AC44F8" w:rsidR="008A4C95" w:rsidP="003A4991" w:rsidRDefault="008A4C95" w14:paraId="287690EF" w14:textId="3C030C8E">
      <w:pPr>
        <w:pStyle w:val="Heading3"/>
        <w:rPr>
          <w:sz w:val="24"/>
          <w:szCs w:val="20"/>
        </w:rPr>
      </w:pPr>
      <w:r w:rsidRPr="6DDAAB40">
        <w:rPr>
          <w:sz w:val="24"/>
          <w:szCs w:val="24"/>
        </w:rPr>
        <w:t xml:space="preserve">Map 1 – Land affected by the amendment </w:t>
      </w:r>
    </w:p>
    <w:p w:rsidR="008A4C95" w:rsidP="348AF8B3" w:rsidRDefault="5951F37E" w14:paraId="45936AD7" w14:textId="72A9C9D0">
      <w:r>
        <w:rPr>
          <w:noProof/>
        </w:rPr>
        <w:drawing>
          <wp:inline distT="0" distB="0" distL="0" distR="0" wp14:anchorId="668E0219" wp14:editId="3D0FD3A0">
            <wp:extent cx="5724525" cy="4048125"/>
            <wp:effectExtent l="0" t="0" r="0" b="0"/>
            <wp:docPr id="327157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57680" name="Picture 327157680"/>
                    <pic:cNvPicPr/>
                  </pic:nvPicPr>
                  <pic:blipFill>
                    <a:blip r:embed="rId16">
                      <a:extLst>
                        <a:ext uri="{28A0092B-C50C-407E-A947-70E740481C1C}">
                          <a14:useLocalDpi xmlns:a14="http://schemas.microsoft.com/office/drawing/2010/main"/>
                        </a:ext>
                      </a:extLst>
                    </a:blip>
                    <a:stretch>
                      <a:fillRect/>
                    </a:stretch>
                  </pic:blipFill>
                  <pic:spPr>
                    <a:xfrm>
                      <a:off x="0" y="0"/>
                      <a:ext cx="5724525" cy="4048125"/>
                    </a:xfrm>
                    <a:prstGeom prst="rect">
                      <a:avLst/>
                    </a:prstGeom>
                  </pic:spPr>
                </pic:pic>
              </a:graphicData>
            </a:graphic>
          </wp:inline>
        </w:drawing>
      </w:r>
    </w:p>
    <w:p w:rsidRPr="008A4C95" w:rsidR="008A4C95" w:rsidP="003A4991" w:rsidRDefault="008A4C95" w14:paraId="37E57346" w14:textId="4EA76EBD">
      <w:pPr>
        <w:pStyle w:val="Heading3"/>
        <w:rPr>
          <w:b w:val="0"/>
          <w:bCs w:val="0"/>
          <w:sz w:val="24"/>
          <w:szCs w:val="20"/>
        </w:rPr>
      </w:pPr>
      <w:r w:rsidRPr="008A4C95">
        <w:rPr>
          <w:b w:val="0"/>
          <w:bCs w:val="0"/>
          <w:sz w:val="24"/>
          <w:szCs w:val="20"/>
        </w:rPr>
        <w:t xml:space="preserve">A mapping reference table is attached at Attachment 1 to this Explanatory Report. </w:t>
      </w:r>
    </w:p>
    <w:p w:rsidRPr="008A4C95" w:rsidR="008A4C95" w:rsidP="00AC44F8" w:rsidRDefault="00A15C2E" w14:paraId="78CA031A" w14:textId="3A825F98">
      <w:pPr>
        <w:pStyle w:val="Heading3"/>
      </w:pPr>
      <w:r>
        <w:t>What the amendment does</w:t>
      </w:r>
    </w:p>
    <w:p w:rsidR="007A178C" w:rsidP="00E02841" w:rsidRDefault="00A15C2E" w14:paraId="0E42E35A" w14:textId="03688D64">
      <w:r>
        <w:t>The</w:t>
      </w:r>
      <w:r w:rsidR="009050F5">
        <w:t xml:space="preserve"> A</w:t>
      </w:r>
      <w:r>
        <w:t>mendment</w:t>
      </w:r>
      <w:r w:rsidR="00756549">
        <w:t xml:space="preserve"> proposes </w:t>
      </w:r>
      <w:r w:rsidR="007A178C">
        <w:t>changes to the Greater Bendigo Planning Scheme to facilitate the master planning process of BREP by:</w:t>
      </w:r>
    </w:p>
    <w:p w:rsidRPr="008A13D8" w:rsidR="00DC7F68" w:rsidP="00E02841" w:rsidRDefault="00DC7F68" w14:paraId="756BDF7C" w14:textId="56CB6E9F">
      <w:pPr>
        <w:rPr>
          <w:b/>
          <w:i/>
        </w:rPr>
      </w:pPr>
      <w:r w:rsidRPr="008A13D8">
        <w:rPr>
          <w:b/>
          <w:i/>
        </w:rPr>
        <w:t>Zoning maps</w:t>
      </w:r>
    </w:p>
    <w:p w:rsidR="00377EAC" w:rsidP="007A178C" w:rsidRDefault="00377EAC" w14:paraId="02CAC345" w14:textId="71C21624">
      <w:pPr>
        <w:pStyle w:val="ListParagraph"/>
        <w:numPr>
          <w:ilvl w:val="0"/>
          <w:numId w:val="22"/>
        </w:numPr>
        <w:rPr>
          <w:color w:val="000000" w:themeColor="text1"/>
        </w:rPr>
      </w:pPr>
      <w:r>
        <w:rPr>
          <w:color w:val="000000" w:themeColor="text1"/>
        </w:rPr>
        <w:t>Amends planning scheme Map Nos. 5</w:t>
      </w:r>
      <w:r w:rsidR="00745412">
        <w:rPr>
          <w:color w:val="000000" w:themeColor="text1"/>
        </w:rPr>
        <w:t xml:space="preserve"> and 6</w:t>
      </w:r>
      <w:r>
        <w:rPr>
          <w:color w:val="000000" w:themeColor="text1"/>
        </w:rPr>
        <w:t xml:space="preserve"> to rezone land in the precinct shown on Map 1 from Farming Zone (FZ) to Industrial 1 Zone (IN1Z).</w:t>
      </w:r>
    </w:p>
    <w:p w:rsidR="00377EAC" w:rsidP="00377EAC" w:rsidRDefault="00377EAC" w14:paraId="753F9905" w14:textId="5E47FEF8">
      <w:pPr>
        <w:rPr>
          <w:b/>
          <w:i/>
          <w:color w:val="000000" w:themeColor="text1"/>
        </w:rPr>
      </w:pPr>
      <w:r w:rsidRPr="008A13D8">
        <w:rPr>
          <w:b/>
          <w:i/>
          <w:color w:val="000000" w:themeColor="text1"/>
        </w:rPr>
        <w:t>Overlay maps</w:t>
      </w:r>
    </w:p>
    <w:p w:rsidRPr="008A13D8" w:rsidR="00377EAC" w:rsidP="008A13D8" w:rsidRDefault="000D0C39" w14:paraId="43F522F0" w14:textId="52E51838">
      <w:pPr>
        <w:pStyle w:val="ListParagraph"/>
        <w:numPr>
          <w:ilvl w:val="0"/>
          <w:numId w:val="22"/>
        </w:numPr>
        <w:rPr>
          <w:color w:val="000000" w:themeColor="text1"/>
        </w:rPr>
      </w:pPr>
      <w:r>
        <w:rPr>
          <w:color w:val="000000" w:themeColor="text1"/>
        </w:rPr>
        <w:t xml:space="preserve">Inserts new Planning Scheme Map Nos. 5 </w:t>
      </w:r>
      <w:r w:rsidR="00745412">
        <w:rPr>
          <w:color w:val="000000" w:themeColor="text1"/>
        </w:rPr>
        <w:t xml:space="preserve">and 6 </w:t>
      </w:r>
      <w:r w:rsidR="00670CA3">
        <w:rPr>
          <w:color w:val="000000" w:themeColor="text1"/>
        </w:rPr>
        <w:t xml:space="preserve">to apply the Development Plan Overlay Schedule 34 (DPO34) to land in the amendment area. </w:t>
      </w:r>
    </w:p>
    <w:p w:rsidRPr="008A13D8" w:rsidR="00377EAC" w:rsidP="00377EAC" w:rsidRDefault="008E7B99" w14:paraId="4B582F73" w14:textId="5BF0BD97">
      <w:pPr>
        <w:rPr>
          <w:b/>
          <w:i/>
          <w:color w:val="000000" w:themeColor="text1"/>
        </w:rPr>
      </w:pPr>
      <w:r w:rsidRPr="008A13D8">
        <w:rPr>
          <w:b/>
          <w:i/>
          <w:color w:val="000000" w:themeColor="text1"/>
        </w:rPr>
        <w:t>Planning scheme ordinance</w:t>
      </w:r>
    </w:p>
    <w:p w:rsidR="00DD2836" w:rsidP="00AE74C6" w:rsidRDefault="002724AE" w14:paraId="19D68F2A" w14:textId="50000497">
      <w:pPr>
        <w:pStyle w:val="ListParagraph"/>
        <w:numPr>
          <w:ilvl w:val="0"/>
          <w:numId w:val="22"/>
        </w:numPr>
        <w:rPr>
          <w:color w:val="000000" w:themeColor="text1"/>
        </w:rPr>
      </w:pPr>
      <w:r>
        <w:rPr>
          <w:color w:val="000000" w:themeColor="text1"/>
        </w:rPr>
        <w:t>Amends Clause 2.03 Strategic Directions to include the BREP as the key industrial precinct and employment area</w:t>
      </w:r>
    </w:p>
    <w:p w:rsidRPr="00E92EC3" w:rsidR="002724AE" w:rsidP="002724AE" w:rsidRDefault="002724AE" w14:paraId="36660B0E" w14:textId="5742B5FD">
      <w:pPr>
        <w:pStyle w:val="ListParagraph"/>
        <w:numPr>
          <w:ilvl w:val="0"/>
          <w:numId w:val="22"/>
        </w:numPr>
        <w:rPr>
          <w:color w:val="000000" w:themeColor="text1"/>
        </w:rPr>
      </w:pPr>
      <w:r>
        <w:rPr>
          <w:color w:val="000000" w:themeColor="text1"/>
        </w:rPr>
        <w:lastRenderedPageBreak/>
        <w:t>Amends Clause 11.01-1L (Settlement – Marong) to include BREP in the Marong Framework Plan, which sets out the vision for the Marong precinct.</w:t>
      </w:r>
    </w:p>
    <w:p w:rsidRPr="00E92EC3" w:rsidR="005343DA" w:rsidP="00E92EC3" w:rsidRDefault="00094784" w14:paraId="2F672303" w14:textId="6D93AF7C">
      <w:pPr>
        <w:pStyle w:val="ListParagraph"/>
        <w:numPr>
          <w:ilvl w:val="0"/>
          <w:numId w:val="22"/>
        </w:numPr>
        <w:rPr>
          <w:color w:val="000000" w:themeColor="text1"/>
        </w:rPr>
      </w:pPr>
      <w:r w:rsidRPr="32AF42BF">
        <w:rPr>
          <w:color w:val="000000" w:themeColor="text1"/>
        </w:rPr>
        <w:t xml:space="preserve">Inserts new Clause </w:t>
      </w:r>
      <w:r w:rsidRPr="32AF42BF" w:rsidR="00770899">
        <w:rPr>
          <w:color w:val="000000" w:themeColor="text1"/>
        </w:rPr>
        <w:t xml:space="preserve">11.03-6L-04 </w:t>
      </w:r>
      <w:r w:rsidRPr="32AF42BF" w:rsidR="00A2625F">
        <w:rPr>
          <w:color w:val="000000" w:themeColor="text1"/>
        </w:rPr>
        <w:t>(</w:t>
      </w:r>
      <w:r w:rsidRPr="32AF42BF" w:rsidR="00CB547F">
        <w:rPr>
          <w:color w:val="000000" w:themeColor="text1"/>
        </w:rPr>
        <w:t xml:space="preserve">Bendigo </w:t>
      </w:r>
      <w:r w:rsidRPr="32AF42BF" w:rsidR="00A2625F">
        <w:rPr>
          <w:color w:val="000000" w:themeColor="text1"/>
        </w:rPr>
        <w:t xml:space="preserve">Regional Employment Precinct) which </w:t>
      </w:r>
      <w:r w:rsidRPr="32AF42BF" w:rsidR="001540D4">
        <w:rPr>
          <w:color w:val="000000" w:themeColor="text1"/>
        </w:rPr>
        <w:t xml:space="preserve">outlines strategies to support the development of BREP as the key industrial precinct for the municipality. </w:t>
      </w:r>
    </w:p>
    <w:p w:rsidR="003960A9" w:rsidP="00AE74C6" w:rsidRDefault="003960A9" w14:paraId="79E68E8F" w14:textId="0FA9AE36">
      <w:pPr>
        <w:pStyle w:val="ListParagraph"/>
        <w:numPr>
          <w:ilvl w:val="0"/>
          <w:numId w:val="22"/>
        </w:numPr>
        <w:rPr>
          <w:color w:val="000000" w:themeColor="text1"/>
        </w:rPr>
      </w:pPr>
      <w:r>
        <w:rPr>
          <w:color w:val="000000" w:themeColor="text1"/>
        </w:rPr>
        <w:t xml:space="preserve">Rezones all land from Farming Zone (FZ) to Industrial 1 Zone (IN1Z). </w:t>
      </w:r>
    </w:p>
    <w:p w:rsidR="003960A9" w:rsidP="00AE74C6" w:rsidRDefault="005343DA" w14:paraId="114D7D54" w14:textId="2EB7B087">
      <w:pPr>
        <w:pStyle w:val="ListParagraph"/>
        <w:numPr>
          <w:ilvl w:val="0"/>
          <w:numId w:val="22"/>
        </w:numPr>
        <w:rPr>
          <w:color w:val="000000" w:themeColor="text1"/>
        </w:rPr>
      </w:pPr>
      <w:r w:rsidRPr="7A33F5DE" w:rsidR="005343DA">
        <w:rPr>
          <w:color w:val="000000" w:themeColor="text1" w:themeTint="FF" w:themeShade="FF"/>
        </w:rPr>
        <w:t xml:space="preserve">Inserts a new Schedule 34 </w:t>
      </w:r>
      <w:r w:rsidRPr="7A33F5DE" w:rsidR="00DE4507">
        <w:rPr>
          <w:color w:val="000000" w:themeColor="text1" w:themeTint="FF" w:themeShade="FF"/>
        </w:rPr>
        <w:t>to the Development Plan Overlay Schedule (</w:t>
      </w:r>
      <w:r w:rsidRPr="7A33F5DE" w:rsidR="003960A9">
        <w:rPr>
          <w:color w:val="000000" w:themeColor="text1" w:themeTint="FF" w:themeShade="FF"/>
        </w:rPr>
        <w:t>DPO</w:t>
      </w:r>
      <w:r w:rsidRPr="7A33F5DE" w:rsidR="543E0C4B">
        <w:rPr>
          <w:color w:val="000000" w:themeColor="text1" w:themeTint="FF" w:themeShade="FF"/>
        </w:rPr>
        <w:t>34</w:t>
      </w:r>
      <w:r w:rsidRPr="7A33F5DE" w:rsidR="003960A9">
        <w:rPr>
          <w:color w:val="000000" w:themeColor="text1" w:themeTint="FF" w:themeShade="FF"/>
        </w:rPr>
        <w:t>) to land within the amendment area.</w:t>
      </w:r>
    </w:p>
    <w:p w:rsidR="004F4C16" w:rsidP="00AE74C6" w:rsidRDefault="004F4C16" w14:paraId="77371EAF" w14:textId="19B93D8C">
      <w:pPr>
        <w:pStyle w:val="ListParagraph"/>
        <w:numPr>
          <w:ilvl w:val="0"/>
          <w:numId w:val="22"/>
        </w:numPr>
        <w:rPr>
          <w:color w:val="000000" w:themeColor="text1"/>
        </w:rPr>
      </w:pPr>
      <w:r>
        <w:rPr>
          <w:color w:val="000000" w:themeColor="text1"/>
        </w:rPr>
        <w:t xml:space="preserve">Amends the Schedule to Clause 66.04 </w:t>
      </w:r>
      <w:r w:rsidRPr="00E92EC3" w:rsidR="00435710">
        <w:rPr>
          <w:rStyle w:val="normaltextrun"/>
          <w:rFonts w:cs="Arial"/>
          <w:color w:val="000000"/>
          <w:szCs w:val="24"/>
          <w:bdr w:val="none" w:color="auto" w:sz="0" w:space="0" w:frame="1"/>
          <w:lang w:val="en-US"/>
        </w:rPr>
        <w:t xml:space="preserve">Referral of permit applications under local provisions to include referrals </w:t>
      </w:r>
      <w:r w:rsidRPr="00E92EC3" w:rsidR="004C7954">
        <w:rPr>
          <w:rStyle w:val="normaltextrun"/>
          <w:rFonts w:cs="Arial"/>
          <w:color w:val="000000"/>
          <w:szCs w:val="24"/>
          <w:bdr w:val="none" w:color="auto" w:sz="0" w:space="0" w:frame="1"/>
          <w:lang w:val="en-US"/>
        </w:rPr>
        <w:t xml:space="preserve">to Head, Transport for Victoria </w:t>
      </w:r>
      <w:r w:rsidRPr="00E92EC3" w:rsidR="0068276E">
        <w:rPr>
          <w:rStyle w:val="normaltextrun"/>
          <w:rFonts w:cs="Arial"/>
          <w:color w:val="000000"/>
          <w:szCs w:val="24"/>
          <w:bdr w:val="none" w:color="auto" w:sz="0" w:space="0" w:frame="1"/>
          <w:lang w:val="en-US"/>
        </w:rPr>
        <w:t xml:space="preserve">for applications within </w:t>
      </w:r>
      <w:r w:rsidRPr="00E92EC3" w:rsidR="00041B51">
        <w:rPr>
          <w:rStyle w:val="normaltextrun"/>
          <w:rFonts w:cs="Arial"/>
          <w:color w:val="000000"/>
          <w:szCs w:val="24"/>
          <w:bdr w:val="none" w:color="auto" w:sz="0" w:space="0" w:frame="1"/>
          <w:lang w:val="en-US"/>
        </w:rPr>
        <w:t xml:space="preserve">50 </w:t>
      </w:r>
      <w:proofErr w:type="spellStart"/>
      <w:r w:rsidRPr="00E92EC3" w:rsidR="00041B51">
        <w:rPr>
          <w:rStyle w:val="normaltextrun"/>
          <w:rFonts w:cs="Arial"/>
          <w:color w:val="000000"/>
          <w:szCs w:val="24"/>
          <w:bdr w:val="none" w:color="auto" w:sz="0" w:space="0" w:frame="1"/>
          <w:lang w:val="en-US"/>
        </w:rPr>
        <w:t>metres</w:t>
      </w:r>
      <w:proofErr w:type="spellEnd"/>
      <w:r w:rsidRPr="00E92EC3" w:rsidR="00041B51">
        <w:rPr>
          <w:rStyle w:val="normaltextrun"/>
          <w:rFonts w:cs="Arial"/>
          <w:color w:val="000000"/>
          <w:szCs w:val="24"/>
          <w:bdr w:val="none" w:color="auto" w:sz="0" w:space="0" w:frame="1"/>
          <w:lang w:val="en-US"/>
        </w:rPr>
        <w:t xml:space="preserve"> of the planned </w:t>
      </w:r>
      <w:proofErr w:type="spellStart"/>
      <w:r w:rsidRPr="00E92EC3" w:rsidR="00041B51">
        <w:rPr>
          <w:rStyle w:val="normaltextrun"/>
          <w:rFonts w:cs="Arial"/>
          <w:color w:val="000000"/>
          <w:szCs w:val="24"/>
          <w:bdr w:val="none" w:color="auto" w:sz="0" w:space="0" w:frame="1"/>
          <w:lang w:val="en-US"/>
        </w:rPr>
        <w:t>Marong</w:t>
      </w:r>
      <w:proofErr w:type="spellEnd"/>
      <w:r w:rsidRPr="00E92EC3" w:rsidR="00041B51">
        <w:rPr>
          <w:rStyle w:val="normaltextrun"/>
          <w:rFonts w:cs="Arial"/>
          <w:color w:val="000000"/>
          <w:szCs w:val="24"/>
          <w:bdr w:val="none" w:color="auto" w:sz="0" w:space="0" w:frame="1"/>
          <w:lang w:val="en-US"/>
        </w:rPr>
        <w:t xml:space="preserve"> Western Freight Corridor and for </w:t>
      </w:r>
      <w:r w:rsidRPr="00E92EC3" w:rsidR="002F7652">
        <w:rPr>
          <w:rStyle w:val="normaltextrun"/>
          <w:rFonts w:cs="Arial"/>
          <w:color w:val="000000"/>
          <w:szCs w:val="24"/>
          <w:bdr w:val="none" w:color="auto" w:sz="0" w:space="0" w:frame="1"/>
          <w:lang w:val="en-US"/>
        </w:rPr>
        <w:t xml:space="preserve">buildings and works </w:t>
      </w:r>
      <w:r w:rsidRPr="00E92EC3" w:rsidR="008630DD">
        <w:rPr>
          <w:rStyle w:val="normaltextrun"/>
          <w:rFonts w:cs="Arial"/>
          <w:color w:val="000000"/>
          <w:szCs w:val="24"/>
          <w:bdr w:val="none" w:color="auto" w:sz="0" w:space="0" w:frame="1"/>
          <w:lang w:val="en-US"/>
        </w:rPr>
        <w:t xml:space="preserve">applications </w:t>
      </w:r>
      <w:r w:rsidRPr="00E92EC3" w:rsidR="00F7505A">
        <w:rPr>
          <w:rStyle w:val="normaltextrun"/>
          <w:rFonts w:cs="Arial"/>
          <w:color w:val="000000"/>
          <w:szCs w:val="24"/>
          <w:bdr w:val="none" w:color="auto" w:sz="0" w:space="0" w:frame="1"/>
          <w:lang w:val="en-US"/>
        </w:rPr>
        <w:t xml:space="preserve">to be referred to </w:t>
      </w:r>
      <w:proofErr w:type="spellStart"/>
      <w:r w:rsidRPr="00E92EC3" w:rsidR="00F7505A">
        <w:rPr>
          <w:rStyle w:val="normaltextrun"/>
          <w:rFonts w:cs="Arial"/>
          <w:color w:val="000000"/>
          <w:szCs w:val="24"/>
          <w:bdr w:val="none" w:color="auto" w:sz="0" w:space="0" w:frame="1"/>
          <w:lang w:val="en-US"/>
        </w:rPr>
        <w:t>Coliban</w:t>
      </w:r>
      <w:proofErr w:type="spellEnd"/>
      <w:r w:rsidRPr="00E92EC3" w:rsidR="00F7505A">
        <w:rPr>
          <w:rStyle w:val="normaltextrun"/>
          <w:rFonts w:cs="Arial"/>
          <w:color w:val="000000"/>
          <w:szCs w:val="24"/>
          <w:bdr w:val="none" w:color="auto" w:sz="0" w:space="0" w:frame="1"/>
          <w:lang w:val="en-US"/>
        </w:rPr>
        <w:t xml:space="preserve"> Water, </w:t>
      </w:r>
    </w:p>
    <w:p w:rsidR="00501ADB" w:rsidP="002946F8" w:rsidRDefault="00520F53" w14:paraId="2FCE1D16" w14:textId="2F397DA2">
      <w:pPr>
        <w:pStyle w:val="ListParagraph"/>
        <w:numPr>
          <w:ilvl w:val="0"/>
          <w:numId w:val="22"/>
        </w:numPr>
        <w:rPr>
          <w:color w:val="000000" w:themeColor="text1"/>
        </w:rPr>
      </w:pPr>
      <w:r>
        <w:rPr>
          <w:color w:val="000000" w:themeColor="text1"/>
        </w:rPr>
        <w:t>Amends the Schedule</w:t>
      </w:r>
      <w:r w:rsidR="00B13EED">
        <w:rPr>
          <w:color w:val="000000" w:themeColor="text1"/>
        </w:rPr>
        <w:t xml:space="preserve"> </w:t>
      </w:r>
      <w:r w:rsidR="004F4C16">
        <w:rPr>
          <w:color w:val="000000" w:themeColor="text1"/>
        </w:rPr>
        <w:t xml:space="preserve">to </w:t>
      </w:r>
      <w:r w:rsidR="00B13EED">
        <w:rPr>
          <w:color w:val="000000" w:themeColor="text1"/>
        </w:rPr>
        <w:t>Clause</w:t>
      </w:r>
      <w:r>
        <w:rPr>
          <w:color w:val="000000" w:themeColor="text1"/>
        </w:rPr>
        <w:t xml:space="preserve"> 7</w:t>
      </w:r>
      <w:r w:rsidR="006D6BBF">
        <w:rPr>
          <w:color w:val="000000" w:themeColor="text1"/>
        </w:rPr>
        <w:t>2.0</w:t>
      </w:r>
      <w:r w:rsidR="00DE7531">
        <w:rPr>
          <w:color w:val="000000" w:themeColor="text1"/>
        </w:rPr>
        <w:t xml:space="preserve">3 Schedule to What does this Planning Scheme Consist of? To update the list of maps for this amendment. </w:t>
      </w:r>
    </w:p>
    <w:p w:rsidR="00FF3980" w:rsidP="002946F8" w:rsidRDefault="00FF3980" w14:paraId="48567896" w14:textId="0F86E8C2">
      <w:pPr>
        <w:pStyle w:val="ListParagraph"/>
        <w:numPr>
          <w:ilvl w:val="0"/>
          <w:numId w:val="22"/>
        </w:numPr>
        <w:rPr>
          <w:color w:val="000000" w:themeColor="text1"/>
        </w:rPr>
      </w:pPr>
      <w:r w:rsidR="00FF3980">
        <w:rPr>
          <w:color w:val="000000" w:themeColor="text1"/>
        </w:rPr>
        <w:t xml:space="preserve">Amends the Schedule to Clause 72.08 to include the </w:t>
      </w:r>
      <w:r w:rsidRPr="7A33F5DE" w:rsidR="00FF3980">
        <w:rPr>
          <w:rStyle w:val="normaltextrun"/>
          <w:rFonts w:cs="Arial"/>
          <w:color w:val="000000" w:themeColor="text1"/>
          <w:shd w:val="clear" w:color="auto" w:fill="FFFFFF"/>
          <w:lang w:val="en-US"/>
        </w:rPr>
        <w:t>Bendigo Regional Employment Precinct Guideline for Preparing Shared Infrastructure Plan for State Transport Infrastructure (Victorian Planning Authority, November 2025)</w:t>
      </w:r>
      <w:r w:rsidRPr="7A33F5DE" w:rsidR="00FF3980">
        <w:rPr>
          <w:rStyle w:val="eop"/>
          <w:rFonts w:cs="Arial"/>
          <w:color w:val="000000" w:themeColor="text1"/>
          <w:shd w:val="clear" w:color="auto" w:fill="FFFFFF"/>
        </w:rPr>
        <w:t>.</w:t>
      </w:r>
    </w:p>
    <w:p w:rsidRPr="00E92EC3" w:rsidR="00094784" w:rsidP="00E92EC3" w:rsidRDefault="000A24C6" w14:paraId="18EE4DC2" w14:textId="45D561A1">
      <w:pPr>
        <w:pStyle w:val="ListParagraph"/>
        <w:numPr>
          <w:ilvl w:val="0"/>
          <w:numId w:val="22"/>
        </w:numPr>
        <w:rPr>
          <w:color w:val="000000" w:themeColor="text1"/>
        </w:rPr>
      </w:pPr>
      <w:r w:rsidRPr="32AF42BF">
        <w:rPr>
          <w:color w:val="000000" w:themeColor="text1"/>
        </w:rPr>
        <w:t>Amends the Schedule to Clause 74.01</w:t>
      </w:r>
      <w:r w:rsidRPr="32AF42BF" w:rsidR="004661ED">
        <w:rPr>
          <w:color w:val="000000" w:themeColor="text1"/>
        </w:rPr>
        <w:t xml:space="preserve"> Application of Zones, Overlays and Provisions</w:t>
      </w:r>
      <w:r w:rsidRPr="32AF42BF" w:rsidR="0005121B">
        <w:rPr>
          <w:color w:val="000000" w:themeColor="text1"/>
        </w:rPr>
        <w:t xml:space="preserve">. </w:t>
      </w:r>
    </w:p>
    <w:p w:rsidRPr="00224E35" w:rsidR="00A15C2E" w:rsidP="00224E35" w:rsidRDefault="00A15C2E" w14:paraId="020F605D" w14:textId="77777777">
      <w:pPr>
        <w:pStyle w:val="Heading2"/>
      </w:pPr>
      <w:r w:rsidRPr="00224E35">
        <w:t>Strategic assessment of the amendment</w:t>
      </w:r>
    </w:p>
    <w:p w:rsidR="00A15C2E" w:rsidP="003A4991" w:rsidRDefault="00A15C2E" w14:paraId="7F027D5B" w14:textId="77777777">
      <w:pPr>
        <w:pStyle w:val="Heading3"/>
      </w:pPr>
      <w:r w:rsidRPr="003A4991">
        <w:t>Why is the amendment required?</w:t>
      </w:r>
    </w:p>
    <w:p w:rsidR="00B27C5B" w:rsidP="00B27C5B" w:rsidRDefault="008B49D4" w14:paraId="779523AE" w14:textId="093BCC1E">
      <w:r w:rsidRPr="008A13D8">
        <w:rPr>
          <w:i/>
        </w:rPr>
        <w:t>Victoria’s Economic Growth Statement</w:t>
      </w:r>
      <w:r>
        <w:t xml:space="preserve"> recognises Bendigo as </w:t>
      </w:r>
      <w:r w:rsidR="00C47A1C">
        <w:t xml:space="preserve">one of the locations included in the 10-year plan to unlock industrial land. </w:t>
      </w:r>
      <w:r w:rsidR="00DC0479">
        <w:t xml:space="preserve">The precinct will help boost regional employment options by unlocking land for jobs </w:t>
      </w:r>
      <w:r w:rsidR="0003068A">
        <w:t xml:space="preserve">in one of the designated regional greenfield locations. </w:t>
      </w:r>
      <w:r w:rsidR="007F6BD2">
        <w:t xml:space="preserve">Further, it will deliver industrial land to support economic activity in the Bendigo region and is expected to </w:t>
      </w:r>
      <w:r w:rsidR="00A267AD">
        <w:t xml:space="preserve">provide 3,000 jobs. </w:t>
      </w:r>
    </w:p>
    <w:p w:rsidR="00185352" w:rsidP="00B27C5B" w:rsidRDefault="00B62160" w14:paraId="307E9514" w14:textId="6620CE42">
      <w:r>
        <w:t xml:space="preserve">The </w:t>
      </w:r>
      <w:r w:rsidR="009050F5">
        <w:t>A</w:t>
      </w:r>
      <w:r>
        <w:t>mendment</w:t>
      </w:r>
      <w:r w:rsidR="00185352">
        <w:t xml:space="preserve"> </w:t>
      </w:r>
      <w:r w:rsidR="00D074C7">
        <w:t xml:space="preserve">provides </w:t>
      </w:r>
      <w:r w:rsidR="00F51DFF">
        <w:t>mechanisms for</w:t>
      </w:r>
      <w:r w:rsidR="00D074C7">
        <w:t xml:space="preserve"> the future master planning and delivery of the </w:t>
      </w:r>
      <w:r w:rsidR="00521F53">
        <w:t>BREP</w:t>
      </w:r>
      <w:r w:rsidR="00D36156">
        <w:t xml:space="preserve">, which will deliver 294 ha of industrial land and 3,000 jobs. </w:t>
      </w:r>
      <w:r w:rsidR="00F51DFF">
        <w:t xml:space="preserve">The </w:t>
      </w:r>
      <w:r w:rsidR="009050F5">
        <w:t>A</w:t>
      </w:r>
      <w:r w:rsidR="00F51DFF">
        <w:t>mendment</w:t>
      </w:r>
      <w:r w:rsidR="00D36156">
        <w:t xml:space="preserve"> will rezone land and apply relevant overlays to enable the delivery of the precinct as envisaged. </w:t>
      </w:r>
    </w:p>
    <w:p w:rsidR="00247E35" w:rsidP="00B27C5B" w:rsidRDefault="00247E35" w14:paraId="7E8F301F" w14:textId="6E6572CD">
      <w:r>
        <w:t xml:space="preserve">The </w:t>
      </w:r>
      <w:r w:rsidR="009050F5">
        <w:t>A</w:t>
      </w:r>
      <w:r>
        <w:t xml:space="preserve">mendment proposes to rezone land to IN1Z to allow development of land for industrial purposes. This will be consistent with the industrial land supply in Greater Bendigo and </w:t>
      </w:r>
      <w:r w:rsidR="00030253">
        <w:t xml:space="preserve">with the Greater Bendigo Industrial Land Use Strategy. </w:t>
      </w:r>
    </w:p>
    <w:p w:rsidR="00AC7F06" w:rsidP="00B27C5B" w:rsidRDefault="00AC7F06" w14:paraId="58D27393" w14:textId="1CD80AFE">
      <w:r>
        <w:t>The DPO3</w:t>
      </w:r>
      <w:r w:rsidR="00D7074A">
        <w:t>4</w:t>
      </w:r>
      <w:r>
        <w:t xml:space="preserve"> requires that a Development Plan is prepared before permits can be issued to use and develop the precinct. The DPO3</w:t>
      </w:r>
      <w:r w:rsidR="00D7074A">
        <w:t>4</w:t>
      </w:r>
      <w:r>
        <w:t xml:space="preserve"> sets out high level land use and movement network requirements. </w:t>
      </w:r>
      <w:r w:rsidR="002E07C2">
        <w:t xml:space="preserve">It includes a suite of technical reports to be prepared to ensure the precinct is developed in a logical manner. </w:t>
      </w:r>
    </w:p>
    <w:p w:rsidR="009229F0" w:rsidP="00B27C5B" w:rsidRDefault="009229F0" w14:paraId="2563BAA3" w14:textId="13B10C12">
      <w:r>
        <w:t xml:space="preserve">The </w:t>
      </w:r>
      <w:r w:rsidR="009050F5">
        <w:t>A</w:t>
      </w:r>
      <w:r>
        <w:t xml:space="preserve">mendment also safeguards the </w:t>
      </w:r>
      <w:r w:rsidR="00CB0828">
        <w:t>long-term</w:t>
      </w:r>
      <w:r>
        <w:t xml:space="preserve"> strategic vision and intent for the </w:t>
      </w:r>
      <w:r>
        <w:lastRenderedPageBreak/>
        <w:t xml:space="preserve">BREP through </w:t>
      </w:r>
      <w:r w:rsidR="00DE331E">
        <w:t>amending the Marong Framework</w:t>
      </w:r>
      <w:r w:rsidR="005D724D">
        <w:t xml:space="preserve"> </w:t>
      </w:r>
      <w:r w:rsidR="00DE331E">
        <w:t xml:space="preserve">Plan. </w:t>
      </w:r>
      <w:r w:rsidR="00A145B4">
        <w:t xml:space="preserve">The framework plan sets out intended land uses for the Marong area and will include BREP as </w:t>
      </w:r>
      <w:r w:rsidR="00F75062">
        <w:t xml:space="preserve">an identified precinct. </w:t>
      </w:r>
    </w:p>
    <w:p w:rsidRPr="00B27C5B" w:rsidR="002E07C2" w:rsidP="00B27C5B" w:rsidRDefault="00E51AB1" w14:paraId="0365F748" w14:textId="5D2E78AE">
      <w:r>
        <w:t xml:space="preserve">An approved Development Plan will further detail applicable </w:t>
      </w:r>
      <w:r w:rsidRPr="009A25CB">
        <w:t>land uses,</w:t>
      </w:r>
      <w:r>
        <w:t xml:space="preserve"> including </w:t>
      </w:r>
      <w:r w:rsidRPr="009A25CB">
        <w:t>movement networks as well as staging, integrated transport management and integrated water management plans. Further assessment of features and values within the precinct, including arboriculture and biodiversity</w:t>
      </w:r>
      <w:r>
        <w:t xml:space="preserve"> reports</w:t>
      </w:r>
      <w:r w:rsidRPr="009A25CB">
        <w:t>, will be required before development can commence</w:t>
      </w:r>
      <w:r w:rsidR="7C66C031">
        <w:t>.</w:t>
      </w:r>
    </w:p>
    <w:p w:rsidR="00A15C2E" w:rsidP="006A19B5" w:rsidRDefault="00A15C2E" w14:paraId="22CB40E4" w14:textId="64318043">
      <w:pPr>
        <w:pStyle w:val="Heading3"/>
      </w:pPr>
      <w:r>
        <w:t>How does the amendment implement the objectives of planning in Victoria?</w:t>
      </w:r>
    </w:p>
    <w:p w:rsidR="003C6672" w:rsidP="003C6672" w:rsidRDefault="003C6672" w14:paraId="0D56F0BE" w14:textId="5837CA2B">
      <w:r w:rsidRPr="000157D1">
        <w:t xml:space="preserve">The </w:t>
      </w:r>
      <w:r w:rsidR="009050F5">
        <w:t>A</w:t>
      </w:r>
      <w:r w:rsidRPr="000157D1">
        <w:t xml:space="preserve">mendment will facilitate commercial, industrial, and infrastructure development by introducing planning provisions that apply fairly and transparently to all affected landowners. </w:t>
      </w:r>
    </w:p>
    <w:p w:rsidR="003C6672" w:rsidP="003C6672" w:rsidRDefault="003C6672" w14:paraId="5B5E53F5" w14:textId="703AB4A3">
      <w:r w:rsidRPr="002074D0">
        <w:t xml:space="preserve">The </w:t>
      </w:r>
      <w:r w:rsidR="009050F5">
        <w:t>A</w:t>
      </w:r>
      <w:r w:rsidRPr="002074D0">
        <w:t xml:space="preserve">mendment allows for development of the precinct for employment purposes consistent with its identified role as </w:t>
      </w:r>
      <w:r w:rsidR="00EA3389">
        <w:t xml:space="preserve">part of the 10-year plan to unlock industrial land as identified in Victoria’s Economic Growth Statement and </w:t>
      </w:r>
      <w:r w:rsidRPr="002074D0">
        <w:t>Plan for Victoria, 2025</w:t>
      </w:r>
      <w:r>
        <w:t>. The draft amendment will ensure that development</w:t>
      </w:r>
      <w:r w:rsidRPr="00B723D8">
        <w:t xml:space="preserve"> </w:t>
      </w:r>
      <w:r>
        <w:t xml:space="preserve">does </w:t>
      </w:r>
      <w:r w:rsidRPr="000E49B4">
        <w:t xml:space="preserve">not negatively impact the </w:t>
      </w:r>
      <w:r w:rsidR="00F22810">
        <w:t xml:space="preserve">surrounding residential land uses and nearby Marong township. </w:t>
      </w:r>
    </w:p>
    <w:p w:rsidR="00F22810" w:rsidP="003C6672" w:rsidRDefault="00F22810" w14:paraId="2A6D9121" w14:textId="5C13E0E9">
      <w:r>
        <w:t xml:space="preserve">In particular, the draft amendment implements the objectives of Planning in Victoria at Section 4(1) of the </w:t>
      </w:r>
      <w:r w:rsidRPr="00124CFF">
        <w:rPr>
          <w:i/>
          <w:iCs/>
        </w:rPr>
        <w:t>Planning and Environment Act 1987</w:t>
      </w:r>
      <w:r>
        <w:t>:</w:t>
      </w:r>
    </w:p>
    <w:p w:rsidR="007C3936" w:rsidP="007C3936" w:rsidRDefault="007C3936" w14:paraId="1D4E561F" w14:textId="77777777">
      <w:pPr>
        <w:pStyle w:val="ListParagraph"/>
        <w:numPr>
          <w:ilvl w:val="0"/>
          <w:numId w:val="24"/>
        </w:numPr>
        <w:rPr>
          <w:i/>
          <w:iCs/>
        </w:rPr>
      </w:pPr>
      <w:r w:rsidRPr="00DB1EB1">
        <w:rPr>
          <w:i/>
          <w:iCs/>
        </w:rPr>
        <w:t>to provide for the fair, orderly, economic and sustainable use, and development of land;</w:t>
      </w:r>
    </w:p>
    <w:p w:rsidRPr="000168B6" w:rsidR="000168B6" w:rsidP="000168B6" w:rsidRDefault="000168B6" w14:paraId="2F446707" w14:textId="40990743">
      <w:r>
        <w:t xml:space="preserve">The </w:t>
      </w:r>
      <w:r w:rsidR="009050F5">
        <w:t>A</w:t>
      </w:r>
      <w:r>
        <w:t xml:space="preserve">mendment will facilitate the development of a new employment precinct, building off established operations of the surrounding areas such as the Marong township. The precinct will be designed to facilitate a wide range of industries </w:t>
      </w:r>
      <w:r w:rsidR="00A468AA">
        <w:t>which are adaptive to future trends in employment uses. This will include manufacturing, freight and logistics</w:t>
      </w:r>
      <w:r w:rsidR="007C520B">
        <w:t>.</w:t>
      </w:r>
      <w:r w:rsidR="00A468AA">
        <w:t xml:space="preserve"> </w:t>
      </w:r>
    </w:p>
    <w:p w:rsidR="0021084A" w:rsidP="0021084A" w:rsidRDefault="00931210" w14:paraId="6A804737" w14:textId="77777777">
      <w:pPr>
        <w:pStyle w:val="ListParagraph"/>
        <w:numPr>
          <w:ilvl w:val="0"/>
          <w:numId w:val="24"/>
        </w:numPr>
        <w:rPr>
          <w:i/>
          <w:iCs/>
        </w:rPr>
      </w:pPr>
      <w:r w:rsidRPr="00DB1EB1">
        <w:rPr>
          <w:i/>
          <w:iCs/>
        </w:rPr>
        <w:t>to provide for the protection of natural and man-made resources and the maintenance of ecological processes and genetic diversity;</w:t>
      </w:r>
    </w:p>
    <w:p w:rsidRPr="0021084A" w:rsidR="0021084A" w:rsidP="0021084A" w:rsidRDefault="0021084A" w14:paraId="0EC702CC" w14:textId="2D09F933">
      <w:pPr>
        <w:rPr>
          <w:i/>
          <w:iCs/>
        </w:rPr>
      </w:pPr>
      <w:r>
        <w:t xml:space="preserve">The BREP contains </w:t>
      </w:r>
      <w:r w:rsidRPr="00342454">
        <w:t xml:space="preserve">vegetation of varying </w:t>
      </w:r>
      <w:proofErr w:type="spellStart"/>
      <w:r w:rsidRPr="00342454">
        <w:t>arboricultural</w:t>
      </w:r>
      <w:proofErr w:type="spellEnd"/>
      <w:r w:rsidRPr="00342454">
        <w:t xml:space="preserve"> and amenity value.</w:t>
      </w:r>
      <w:r w:rsidRPr="00211CEC">
        <w:t xml:space="preserve"> </w:t>
      </w:r>
      <w:r>
        <w:t>DPO3</w:t>
      </w:r>
      <w:r w:rsidR="00D7074A">
        <w:t>4</w:t>
      </w:r>
      <w:r>
        <w:t xml:space="preserve"> seeks to protect environmental and ecological values where appropriate. Areas of environmental or ecological values will be protected via provisions in DPO3</w:t>
      </w:r>
      <w:r w:rsidR="00D7074A">
        <w:t>4</w:t>
      </w:r>
      <w:r>
        <w:t xml:space="preserve"> which requires preparation of technical work to support detailed master planning as part of the development plan. </w:t>
      </w:r>
      <w:r>
        <w:tab/>
      </w:r>
    </w:p>
    <w:p w:rsidRPr="007C520B" w:rsidR="007C520B" w:rsidP="007C520B" w:rsidRDefault="0021084A" w14:paraId="331575DF" w14:textId="4CF8FC1B">
      <w:r w:rsidRPr="00AB30D0">
        <w:t xml:space="preserve">In addition, an integrated stormwater management system will convey stormwater runoff through the </w:t>
      </w:r>
      <w:r>
        <w:t>precinct</w:t>
      </w:r>
      <w:r w:rsidRPr="00AB30D0">
        <w:t xml:space="preserve"> in natural and constructed waterways, control the rate of flow and treat the quality of runoff to meet best practice standards.</w:t>
      </w:r>
    </w:p>
    <w:p w:rsidR="000921BA" w:rsidP="000921BA" w:rsidRDefault="000921BA" w14:paraId="09DA8C8F" w14:textId="77777777">
      <w:pPr>
        <w:pStyle w:val="ListParagraph"/>
        <w:numPr>
          <w:ilvl w:val="0"/>
          <w:numId w:val="24"/>
        </w:numPr>
        <w:rPr>
          <w:i/>
          <w:iCs/>
        </w:rPr>
      </w:pPr>
      <w:r w:rsidRPr="00DB1EB1">
        <w:rPr>
          <w:i/>
          <w:iCs/>
        </w:rPr>
        <w:t>to secure a pleasant, efficient and safe working, living and recreational environment for all Victorians and visitors to Victoria;</w:t>
      </w:r>
    </w:p>
    <w:p w:rsidRPr="0021084A" w:rsidR="0021084A" w:rsidP="0021084A" w:rsidRDefault="001C0F2D" w14:paraId="36CE0A9E" w14:textId="2F764A72">
      <w:r>
        <w:lastRenderedPageBreak/>
        <w:t xml:space="preserve">New local parks, linear open spaces, waterway corridors and drainage assets will contribute to a pleasant </w:t>
      </w:r>
      <w:r w:rsidR="00CB6492">
        <w:t xml:space="preserve">and efficient recreational environment for the community that can be utilised by both workers and visitors. </w:t>
      </w:r>
    </w:p>
    <w:p w:rsidR="00CB6492" w:rsidP="00CB6492" w:rsidRDefault="008823E1" w14:paraId="32BF15A2" w14:textId="3F88260A">
      <w:pPr>
        <w:pStyle w:val="ListParagraph"/>
        <w:numPr>
          <w:ilvl w:val="0"/>
          <w:numId w:val="24"/>
        </w:numPr>
        <w:rPr>
          <w:i/>
          <w:iCs/>
        </w:rPr>
      </w:pPr>
      <w:r w:rsidRPr="00DB1EB1">
        <w:rPr>
          <w:i/>
          <w:iCs/>
        </w:rPr>
        <w:t>to conserve and enhance those buildings, areas or other places which are of scientific, aesthetic, architectural or historical interest, or otherwise of special cultural value;</w:t>
      </w:r>
    </w:p>
    <w:p w:rsidR="00CB6492" w:rsidP="00CB6492" w:rsidRDefault="00146EC3" w14:paraId="506AFF89" w14:textId="0F6A8A84">
      <w:r>
        <w:t>The precinct is</w:t>
      </w:r>
      <w:r w:rsidR="17DA202E">
        <w:t xml:space="preserve"> on</w:t>
      </w:r>
      <w:r>
        <w:t xml:space="preserve"> Dja </w:t>
      </w:r>
      <w:proofErr w:type="spellStart"/>
      <w:r>
        <w:t>Dja</w:t>
      </w:r>
      <w:proofErr w:type="spellEnd"/>
      <w:r>
        <w:t xml:space="preserve"> Wurrung </w:t>
      </w:r>
      <w:r w:rsidR="00A801E5">
        <w:t xml:space="preserve">Country, </w:t>
      </w:r>
      <w:r w:rsidR="3D362B8A">
        <w:t xml:space="preserve">and </w:t>
      </w:r>
      <w:r w:rsidR="00A801E5">
        <w:t xml:space="preserve">as such, all features of its landscape may feature both tangible and intangible cultural values that demonstrate Dja </w:t>
      </w:r>
      <w:proofErr w:type="spellStart"/>
      <w:r w:rsidR="00A801E5">
        <w:t>Dja</w:t>
      </w:r>
      <w:proofErr w:type="spellEnd"/>
      <w:r w:rsidR="00A801E5">
        <w:t xml:space="preserve"> Wurrung peoples’ connection to Country. </w:t>
      </w:r>
    </w:p>
    <w:p w:rsidR="00C854BC" w:rsidP="00CB6492" w:rsidRDefault="007B4289" w14:paraId="4EC8B961" w14:textId="71127678">
      <w:r>
        <w:t xml:space="preserve">A </w:t>
      </w:r>
      <w:r w:rsidR="00E528B3">
        <w:t xml:space="preserve">Cultural Values Assessment has been undertaken for the precinct which identified that no Aboriginal Places were identified directly within the activity area. </w:t>
      </w:r>
      <w:r w:rsidR="005D0AA6">
        <w:t xml:space="preserve">An Aboriginal Cultural Heritage Impact Assessment </w:t>
      </w:r>
      <w:r w:rsidR="00B22320">
        <w:t xml:space="preserve">has also been undertaken as part of the planning for the BREP. </w:t>
      </w:r>
    </w:p>
    <w:p w:rsidRPr="00CB6492" w:rsidR="00C854BC" w:rsidP="00CB6492" w:rsidRDefault="00C854BC" w14:paraId="5160A612" w14:textId="61104307">
      <w:r w:rsidRPr="003D59E2">
        <w:t xml:space="preserve">Development proponents must comply with the </w:t>
      </w:r>
      <w:r w:rsidRPr="009D1114">
        <w:rPr>
          <w:i/>
          <w:iCs/>
        </w:rPr>
        <w:t>Aboriginal Heritage Act 2006</w:t>
      </w:r>
      <w:r w:rsidRPr="003D59E2">
        <w:t xml:space="preserve"> regarding any matters of Aboriginal cultural significance on the land. Development within and adjacent to identified heritage sites must respect their heritage significance and be designed sensitively.</w:t>
      </w:r>
    </w:p>
    <w:p w:rsidR="00376D39" w:rsidP="00376D39" w:rsidRDefault="00376D39" w14:paraId="04A7278B" w14:textId="77777777">
      <w:pPr>
        <w:pStyle w:val="ListParagraph"/>
        <w:numPr>
          <w:ilvl w:val="0"/>
          <w:numId w:val="24"/>
        </w:numPr>
        <w:rPr>
          <w:i/>
          <w:iCs/>
        </w:rPr>
      </w:pPr>
      <w:r w:rsidRPr="00DB1EB1">
        <w:rPr>
          <w:i/>
          <w:iCs/>
        </w:rPr>
        <w:t>to protect public utilities and other assets and enable the orderly provision and co</w:t>
      </w:r>
      <w:r w:rsidRPr="00DB1EB1">
        <w:rPr>
          <w:rFonts w:ascii="Cambria Math" w:hAnsi="Cambria Math" w:cs="Cambria Math"/>
          <w:i/>
          <w:iCs/>
        </w:rPr>
        <w:t>‑</w:t>
      </w:r>
      <w:r w:rsidRPr="00DB1EB1">
        <w:rPr>
          <w:i/>
          <w:iCs/>
        </w:rPr>
        <w:t>ordination of public utilities and other facilities for the benefit of the community;</w:t>
      </w:r>
    </w:p>
    <w:p w:rsidR="00B22320" w:rsidP="00B22320" w:rsidRDefault="00B22320" w14:paraId="7CEFEB08" w14:textId="70C408A4">
      <w:r>
        <w:t xml:space="preserve">The </w:t>
      </w:r>
      <w:r w:rsidR="009050F5">
        <w:t>A</w:t>
      </w:r>
      <w:r>
        <w:t xml:space="preserve">mendment ensures that servicing of the new development will be of sufficient capacity to ensure future development is connected to reticulated electricity, gas, water and sewerage. </w:t>
      </w:r>
    </w:p>
    <w:p w:rsidRPr="00B22320" w:rsidR="00B22320" w:rsidP="00B22320" w:rsidRDefault="00B22320" w14:paraId="10C4FA04" w14:textId="7B8B7E98">
      <w:r>
        <w:t>DPO3</w:t>
      </w:r>
      <w:r w:rsidR="00D7074A">
        <w:t>4</w:t>
      </w:r>
      <w:r>
        <w:t xml:space="preserve"> requires the preparation of agreements to outline how essential infrastructure will be funded and delivered. </w:t>
      </w:r>
    </w:p>
    <w:p w:rsidR="003C6672" w:rsidP="003C6672" w:rsidRDefault="0077317A" w14:paraId="5900C373" w14:textId="3A3F387D">
      <w:pPr>
        <w:pStyle w:val="ListParagraph"/>
        <w:numPr>
          <w:ilvl w:val="0"/>
          <w:numId w:val="24"/>
        </w:numPr>
        <w:rPr>
          <w:i/>
          <w:iCs/>
        </w:rPr>
      </w:pPr>
      <w:r w:rsidRPr="00DB1EB1">
        <w:rPr>
          <w:i/>
          <w:iCs/>
        </w:rPr>
        <w:t>to facilitate development in accordance with the objectives set out in paragraphs (a), (b), (c), (d) and (e);</w:t>
      </w:r>
    </w:p>
    <w:p w:rsidRPr="00B22320" w:rsidR="00B22320" w:rsidP="00B22320" w:rsidRDefault="009703AE" w14:paraId="6B86F667" w14:textId="5F7128F6">
      <w:r>
        <w:t xml:space="preserve">The precinct provides for employment opportunities and the provision of utilities that will benefit future workers in the precinct as well as the wider community. </w:t>
      </w:r>
    </w:p>
    <w:p w:rsidR="00A15C2E" w:rsidP="006A19B5" w:rsidRDefault="00A15C2E" w14:paraId="120A8F70" w14:textId="77777777">
      <w:pPr>
        <w:pStyle w:val="Heading3"/>
      </w:pPr>
      <w:r>
        <w:t>How does the amendment address any environmental, social and economic effects?</w:t>
      </w:r>
    </w:p>
    <w:p w:rsidRPr="00EC6323" w:rsidR="00797DA0" w:rsidP="00797DA0" w:rsidRDefault="008D7F37" w14:paraId="25452859" w14:textId="7C1A88C6">
      <w:pPr>
        <w:rPr>
          <w:b/>
          <w:bCs/>
          <w:sz w:val="28"/>
          <w:szCs w:val="24"/>
        </w:rPr>
      </w:pPr>
      <w:r w:rsidRPr="00EC6323">
        <w:rPr>
          <w:b/>
          <w:bCs/>
          <w:sz w:val="28"/>
          <w:szCs w:val="24"/>
        </w:rPr>
        <w:t xml:space="preserve">Environmental </w:t>
      </w:r>
    </w:p>
    <w:p w:rsidR="008D7F37" w:rsidP="00797DA0" w:rsidRDefault="008D7F37" w14:paraId="2CEADE6C" w14:textId="61B51AB0">
      <w:r>
        <w:t xml:space="preserve">The </w:t>
      </w:r>
      <w:r w:rsidR="009050F5">
        <w:t>A</w:t>
      </w:r>
      <w:r>
        <w:t xml:space="preserve">mendment identifies </w:t>
      </w:r>
      <w:r w:rsidR="00F07564">
        <w:t xml:space="preserve">high-value vegetation worthy of being retained, informed by an </w:t>
      </w:r>
      <w:proofErr w:type="spellStart"/>
      <w:r w:rsidR="00F07564">
        <w:t>arboricultural</w:t>
      </w:r>
      <w:proofErr w:type="spellEnd"/>
      <w:r w:rsidR="00F07564">
        <w:t xml:space="preserve"> report, and identifie</w:t>
      </w:r>
      <w:r w:rsidR="00382CF7">
        <w:t xml:space="preserve">s </w:t>
      </w:r>
      <w:r w:rsidR="00F63842">
        <w:t xml:space="preserve">areas of environmental and ecological values to be protected and retained where appropriate. </w:t>
      </w:r>
    </w:p>
    <w:p w:rsidR="00F63842" w:rsidP="00797DA0" w:rsidRDefault="00F82B2E" w14:paraId="7B51F6A0" w14:textId="0AB1FEC2">
      <w:r>
        <w:t xml:space="preserve">Stormwater flows will be managed through an integrated system that aims to manage flows beyond the precinct to be generally kept to pre-development levels. </w:t>
      </w:r>
      <w:r w:rsidRPr="00034BB7" w:rsidR="00514FB2">
        <w:t xml:space="preserve">Development must be appropriately sited and elevated to ensure flood resilience, </w:t>
      </w:r>
      <w:r w:rsidRPr="00034BB7" w:rsidR="00514FB2">
        <w:lastRenderedPageBreak/>
        <w:t>and stormwater management strategies must support water-sensitive urban design.</w:t>
      </w:r>
    </w:p>
    <w:p w:rsidR="00514FB2" w:rsidP="00797DA0" w:rsidRDefault="00E2783C" w14:paraId="749BBE8A" w14:textId="3446DCE5">
      <w:r>
        <w:t>A land capability assessment was conducted (Land Capability Assessment, WSP April 2024)</w:t>
      </w:r>
      <w:r w:rsidR="0098401E">
        <w:t xml:space="preserve"> to identify any potential sources of contamination, hydrogeological, hydrological, geomorphological, and geotechnical conditions across the BREP area. </w:t>
      </w:r>
      <w:r w:rsidR="006C5F0D">
        <w:t xml:space="preserve">The report identified </w:t>
      </w:r>
      <w:r w:rsidR="005D2047">
        <w:t xml:space="preserve">nine </w:t>
      </w:r>
      <w:r w:rsidR="00634E01">
        <w:t xml:space="preserve">lots as having a </w:t>
      </w:r>
      <w:r w:rsidR="0061653B">
        <w:t>‘</w:t>
      </w:r>
      <w:r w:rsidR="00634E01">
        <w:t>high</w:t>
      </w:r>
      <w:r w:rsidR="0061653B">
        <w:t>’</w:t>
      </w:r>
      <w:r w:rsidR="00634E01">
        <w:t xml:space="preserve"> potential for contamination </w:t>
      </w:r>
      <w:r w:rsidR="0061653B">
        <w:t xml:space="preserve">and </w:t>
      </w:r>
      <w:r w:rsidR="0002595E">
        <w:t xml:space="preserve">eight lots as having a ‘medium’ potential for contamination. </w:t>
      </w:r>
      <w:r w:rsidR="00F24D1F">
        <w:t xml:space="preserve">Sodic soils with a dispersive nature are present in the BREP area. </w:t>
      </w:r>
      <w:r w:rsidR="00694699">
        <w:t xml:space="preserve">The draft amendment will include provisions for the management of these matters. </w:t>
      </w:r>
    </w:p>
    <w:p w:rsidRPr="00EC6323" w:rsidR="00EF381D" w:rsidP="00797DA0" w:rsidRDefault="00EF381D" w14:paraId="68512A79" w14:textId="4A32328E">
      <w:pPr>
        <w:rPr>
          <w:b/>
          <w:bCs/>
          <w:sz w:val="28"/>
          <w:szCs w:val="24"/>
        </w:rPr>
      </w:pPr>
      <w:r w:rsidRPr="00EC6323">
        <w:rPr>
          <w:b/>
          <w:bCs/>
          <w:sz w:val="28"/>
          <w:szCs w:val="24"/>
        </w:rPr>
        <w:t>Social effects</w:t>
      </w:r>
    </w:p>
    <w:p w:rsidR="00EF381D" w:rsidP="00797DA0" w:rsidRDefault="00613BD5" w14:paraId="7CCA99F6" w14:textId="3E55B433">
      <w:r>
        <w:t>Deve</w:t>
      </w:r>
      <w:r w:rsidR="009171DD">
        <w:t xml:space="preserve">lopment facilitated by the amendment is expected to generate positive social benefits through the provision of employment </w:t>
      </w:r>
      <w:r w:rsidR="3AB68A28">
        <w:t xml:space="preserve">opportunities </w:t>
      </w:r>
      <w:r w:rsidR="009171DD">
        <w:t xml:space="preserve">to support the existing residential </w:t>
      </w:r>
      <w:r w:rsidR="00F66DEA">
        <w:t xml:space="preserve">community of Greater Bendigo and </w:t>
      </w:r>
      <w:r w:rsidR="745DE1F5">
        <w:t xml:space="preserve">surrounding </w:t>
      </w:r>
      <w:r w:rsidR="00F66DEA">
        <w:t xml:space="preserve">municipalities. </w:t>
      </w:r>
      <w:r w:rsidR="00B90604">
        <w:t xml:space="preserve">The precinct will provide for key infrastructure including movement networks, utilities and open space. </w:t>
      </w:r>
    </w:p>
    <w:p w:rsidRPr="00EF381D" w:rsidR="00C42EEF" w:rsidP="00797DA0" w:rsidRDefault="00AC15D6" w14:paraId="405E5221" w14:textId="75D6B9E9">
      <w:r>
        <w:t xml:space="preserve">Development staging will align the subdivision and development of the precinct with the required infrastructure delivery to ensure that new communities have timely and coordinated access to infrastructure. </w:t>
      </w:r>
    </w:p>
    <w:p w:rsidR="00EF381D" w:rsidP="00797DA0" w:rsidRDefault="00EF381D" w14:paraId="2871271B" w14:textId="6C978C18">
      <w:pPr>
        <w:rPr>
          <w:b/>
          <w:bCs/>
          <w:sz w:val="28"/>
        </w:rPr>
      </w:pPr>
      <w:r w:rsidRPr="00EC6323">
        <w:rPr>
          <w:b/>
          <w:bCs/>
          <w:sz w:val="28"/>
          <w:szCs w:val="24"/>
        </w:rPr>
        <w:t>Economic effects</w:t>
      </w:r>
      <w:r w:rsidRPr="00EC6323">
        <w:rPr>
          <w:b/>
          <w:bCs/>
          <w:sz w:val="28"/>
        </w:rPr>
        <w:t xml:space="preserve"> </w:t>
      </w:r>
    </w:p>
    <w:p w:rsidR="000B1877" w:rsidP="00797DA0" w:rsidRDefault="00C62BE1" w14:paraId="7A15F383" w14:textId="32B25260">
      <w:r>
        <w:t xml:space="preserve">The </w:t>
      </w:r>
      <w:r w:rsidR="007064A8">
        <w:t>A</w:t>
      </w:r>
      <w:r>
        <w:t xml:space="preserve">mendment facilitates the delivery of land for urban growth that will include the provision of employment needs, consistent with Victoria’s Economic Growth Strategy and the </w:t>
      </w:r>
      <w:r w:rsidR="007775F4">
        <w:t xml:space="preserve">Greater Bendigo Industrial Land Use Strategy. The precinct has the potential to deliver over 3,000 jobs in a variety of sectors by creating </w:t>
      </w:r>
      <w:r w:rsidR="005B06FA">
        <w:t xml:space="preserve">industrial and commercial areas that will capitalise on the proximity of the amendment area to the </w:t>
      </w:r>
      <w:r w:rsidR="687E2BF0">
        <w:t>planned</w:t>
      </w:r>
      <w:r w:rsidR="005B06FA">
        <w:t xml:space="preserve"> Marong Western Freight Corridor and nearby Marong township. </w:t>
      </w:r>
    </w:p>
    <w:p w:rsidR="00D546A1" w:rsidP="00797DA0" w:rsidRDefault="00383649" w14:paraId="6647A89A" w14:textId="52D39D10">
      <w:pPr>
        <w:rPr>
          <w:lang w:val="en-GB"/>
        </w:rPr>
      </w:pPr>
      <w:r w:rsidRPr="32AF42BF">
        <w:rPr>
          <w:lang w:val="en-GB"/>
        </w:rPr>
        <w:t xml:space="preserve">The </w:t>
      </w:r>
      <w:r w:rsidRPr="32AF42BF" w:rsidR="42BA54AE">
        <w:rPr>
          <w:lang w:val="en-GB"/>
        </w:rPr>
        <w:t>DPO34 includes manda</w:t>
      </w:r>
      <w:r w:rsidRPr="32AF42BF" w:rsidR="4A42AFFC">
        <w:rPr>
          <w:lang w:val="en-GB"/>
        </w:rPr>
        <w:t xml:space="preserve">tory </w:t>
      </w:r>
      <w:r w:rsidRPr="32AF42BF" w:rsidR="7464274C">
        <w:rPr>
          <w:lang w:val="en-GB"/>
        </w:rPr>
        <w:t xml:space="preserve">permit </w:t>
      </w:r>
      <w:r w:rsidRPr="32AF42BF" w:rsidR="4A42AFFC">
        <w:rPr>
          <w:lang w:val="en-GB"/>
        </w:rPr>
        <w:t xml:space="preserve">conditions </w:t>
      </w:r>
      <w:r w:rsidRPr="32AF42BF" w:rsidR="5B7DA389">
        <w:rPr>
          <w:lang w:val="en-GB"/>
        </w:rPr>
        <w:t xml:space="preserve">which </w:t>
      </w:r>
      <w:r w:rsidRPr="32AF42BF" w:rsidR="4A42AFFC">
        <w:rPr>
          <w:lang w:val="en-GB"/>
        </w:rPr>
        <w:t>requir</w:t>
      </w:r>
      <w:r w:rsidRPr="32AF42BF" w:rsidR="1DBE256E">
        <w:rPr>
          <w:lang w:val="en-GB"/>
        </w:rPr>
        <w:t>e</w:t>
      </w:r>
      <w:r w:rsidRPr="32AF42BF" w:rsidR="4A42AFFC">
        <w:rPr>
          <w:lang w:val="en-GB"/>
        </w:rPr>
        <w:t xml:space="preserve"> </w:t>
      </w:r>
      <w:r w:rsidRPr="32AF42BF" w:rsidR="62E0B7B7">
        <w:rPr>
          <w:lang w:val="en-GB"/>
        </w:rPr>
        <w:t>agreement</w:t>
      </w:r>
      <w:r w:rsidRPr="32AF42BF" w:rsidR="64556425">
        <w:rPr>
          <w:lang w:val="en-GB"/>
        </w:rPr>
        <w:t>s</w:t>
      </w:r>
      <w:r w:rsidRPr="32AF42BF" w:rsidR="62E0B7B7">
        <w:rPr>
          <w:lang w:val="en-GB"/>
        </w:rPr>
        <w:t xml:space="preserve"> under </w:t>
      </w:r>
      <w:r w:rsidR="007064A8">
        <w:rPr>
          <w:lang w:val="en-GB"/>
        </w:rPr>
        <w:t>S</w:t>
      </w:r>
      <w:r w:rsidRPr="32AF42BF" w:rsidR="62E0B7B7">
        <w:rPr>
          <w:lang w:val="en-GB"/>
        </w:rPr>
        <w:t xml:space="preserve">ection 173 of the </w:t>
      </w:r>
      <w:r w:rsidRPr="348AF8B3" w:rsidR="2759A4E4">
        <w:rPr>
          <w:lang w:val="en-GB"/>
        </w:rPr>
        <w:t>Act for</w:t>
      </w:r>
      <w:r w:rsidRPr="32AF42BF" w:rsidR="5ECCCB1E">
        <w:rPr>
          <w:lang w:val="en-GB"/>
        </w:rPr>
        <w:t xml:space="preserve"> the</w:t>
      </w:r>
      <w:r w:rsidRPr="32AF42BF">
        <w:rPr>
          <w:lang w:val="en-GB"/>
        </w:rPr>
        <w:t xml:space="preserve"> delivery or funding of infrastructure required </w:t>
      </w:r>
      <w:r w:rsidRPr="32AF42BF" w:rsidR="1C288D70">
        <w:rPr>
          <w:lang w:val="en-GB"/>
        </w:rPr>
        <w:t xml:space="preserve">to service </w:t>
      </w:r>
      <w:r w:rsidRPr="32AF42BF">
        <w:rPr>
          <w:lang w:val="en-GB"/>
        </w:rPr>
        <w:t xml:space="preserve">the precinct. </w:t>
      </w:r>
      <w:r w:rsidRPr="32AF42BF" w:rsidR="00EB1D93">
        <w:rPr>
          <w:lang w:val="en-GB"/>
        </w:rPr>
        <w:t>There are two types of agreements within the DPO</w:t>
      </w:r>
      <w:r w:rsidRPr="32AF42BF" w:rsidR="5E5FCE61">
        <w:rPr>
          <w:lang w:val="en-GB"/>
        </w:rPr>
        <w:t>34</w:t>
      </w:r>
      <w:r w:rsidRPr="32AF42BF" w:rsidR="00EB1D93">
        <w:rPr>
          <w:lang w:val="en-GB"/>
        </w:rPr>
        <w:t xml:space="preserve">, the first one requires </w:t>
      </w:r>
      <w:r w:rsidRPr="32AF42BF" w:rsidR="00D3091E">
        <w:rPr>
          <w:lang w:val="en-GB"/>
        </w:rPr>
        <w:t xml:space="preserve">the owner of the land to enter into an agreement with the responsible authority </w:t>
      </w:r>
      <w:r w:rsidR="00ED6600">
        <w:rPr>
          <w:lang w:val="en-GB"/>
        </w:rPr>
        <w:t xml:space="preserve">which </w:t>
      </w:r>
      <w:r w:rsidR="00ED6600">
        <w:t xml:space="preserve">specifies the nature and amount of any financial contributions that are required to be made with respect to </w:t>
      </w:r>
      <w:r w:rsidR="00ED6600">
        <w:t xml:space="preserve">the </w:t>
      </w:r>
      <w:r w:rsidR="00ED6600">
        <w:t>Shared Infrastructure</w:t>
      </w:r>
      <w:r w:rsidR="00ED6600">
        <w:t xml:space="preserve"> Plan</w:t>
      </w:r>
      <w:r w:rsidRPr="32AF42BF" w:rsidR="00D3091E">
        <w:rPr>
          <w:lang w:val="en-GB"/>
        </w:rPr>
        <w:t xml:space="preserve">. The second agreement </w:t>
      </w:r>
      <w:r w:rsidRPr="32AF42BF" w:rsidR="00CD57C6">
        <w:rPr>
          <w:lang w:val="en-GB"/>
        </w:rPr>
        <w:t xml:space="preserve">requires the owner of land to enter into an agreement between the responsible authority and Head, Transport for Victoria </w:t>
      </w:r>
      <w:r w:rsidRPr="32AF42BF" w:rsidR="00626934">
        <w:rPr>
          <w:lang w:val="en-GB"/>
        </w:rPr>
        <w:t xml:space="preserve">for the delivery </w:t>
      </w:r>
      <w:r w:rsidRPr="32AF42BF" w:rsidR="00126E94">
        <w:rPr>
          <w:lang w:val="en-GB"/>
        </w:rPr>
        <w:t xml:space="preserve">of intersections </w:t>
      </w:r>
      <w:r w:rsidRPr="32AF42BF" w:rsidR="008950A8">
        <w:rPr>
          <w:lang w:val="en-GB"/>
        </w:rPr>
        <w:t xml:space="preserve">and the external road network servicing the use and development. </w:t>
      </w:r>
      <w:r w:rsidR="00B7769B">
        <w:rPr>
          <w:lang w:val="en-GB"/>
        </w:rPr>
        <w:t xml:space="preserve">The third </w:t>
      </w:r>
      <w:r w:rsidR="00132D75">
        <w:rPr>
          <w:lang w:val="en-GB"/>
        </w:rPr>
        <w:t xml:space="preserve">agreement requires the owner of the land to enter into an agreement </w:t>
      </w:r>
      <w:r w:rsidR="00050130">
        <w:rPr>
          <w:lang w:val="en-GB"/>
        </w:rPr>
        <w:t xml:space="preserve">between the responsible authority and the Head, Transport for Victoria </w:t>
      </w:r>
      <w:r w:rsidR="00DA0EFA">
        <w:rPr>
          <w:lang w:val="en-GB"/>
        </w:rPr>
        <w:t xml:space="preserve">for the delivery if State Infrastructure. </w:t>
      </w:r>
    </w:p>
    <w:p w:rsidR="005B06FA" w:rsidP="00797DA0" w:rsidRDefault="00383649" w14:paraId="450D490C" w14:textId="18E34795">
      <w:pPr>
        <w:rPr>
          <w:lang w:val="en-GB"/>
        </w:rPr>
      </w:pPr>
      <w:r w:rsidRPr="32AF42BF">
        <w:rPr>
          <w:lang w:val="en-GB"/>
        </w:rPr>
        <w:t>Th</w:t>
      </w:r>
      <w:r w:rsidRPr="32AF42BF" w:rsidR="097B6506">
        <w:rPr>
          <w:lang w:val="en-GB"/>
        </w:rPr>
        <w:t>e</w:t>
      </w:r>
      <w:r w:rsidRPr="32AF42BF">
        <w:rPr>
          <w:lang w:val="en-GB"/>
        </w:rPr>
        <w:t>s</w:t>
      </w:r>
      <w:r w:rsidRPr="32AF42BF" w:rsidR="1FB3D32F">
        <w:rPr>
          <w:lang w:val="en-GB"/>
        </w:rPr>
        <w:t>e agreements</w:t>
      </w:r>
      <w:r w:rsidRPr="32AF42BF">
        <w:rPr>
          <w:lang w:val="en-GB"/>
        </w:rPr>
        <w:t xml:space="preserve"> will reduce the burden on the responsible authority and existing communities to fund future relevant infrastructure. </w:t>
      </w:r>
    </w:p>
    <w:p w:rsidRPr="00383649" w:rsidR="00DA0EFA" w:rsidP="00797DA0" w:rsidRDefault="00DA0EFA" w14:paraId="106A104E" w14:textId="77777777">
      <w:pPr>
        <w:rPr>
          <w:lang w:val="en-GB"/>
        </w:rPr>
      </w:pPr>
    </w:p>
    <w:p w:rsidR="00A15C2E" w:rsidP="006A19B5" w:rsidRDefault="00A15C2E" w14:paraId="2035F846" w14:textId="77777777">
      <w:pPr>
        <w:pStyle w:val="Heading3"/>
      </w:pPr>
      <w:r>
        <w:lastRenderedPageBreak/>
        <w:t>Does the amendment address relevant bushfire risk?</w:t>
      </w:r>
    </w:p>
    <w:p w:rsidRPr="00DF7859" w:rsidR="006D3671" w:rsidP="00A15C2E" w:rsidRDefault="008510F8" w14:paraId="57CC3A29" w14:textId="7E5D8B6C">
      <w:r>
        <w:t xml:space="preserve">Part of the precinct is located within the Bushfire Management Overlay </w:t>
      </w:r>
      <w:r w:rsidR="066D8B7F">
        <w:t xml:space="preserve">(BMO) </w:t>
      </w:r>
      <w:r>
        <w:t xml:space="preserve">on the northwest boundary along </w:t>
      </w:r>
      <w:proofErr w:type="spellStart"/>
      <w:r>
        <w:t>O</w:t>
      </w:r>
      <w:r w:rsidR="2A46329F">
        <w:t>’S</w:t>
      </w:r>
      <w:r>
        <w:t>ullivans</w:t>
      </w:r>
      <w:proofErr w:type="spellEnd"/>
      <w:r>
        <w:t xml:space="preserve"> Road. </w:t>
      </w:r>
    </w:p>
    <w:p w:rsidRPr="00D50169" w:rsidR="009B2938" w:rsidP="009B2938" w:rsidRDefault="003C3A3F" w14:paraId="142DED9F" w14:textId="77777777">
      <w:pPr>
        <w:pStyle w:val="Bullet1"/>
        <w:rPr>
          <w:sz w:val="24"/>
          <w:szCs w:val="24"/>
        </w:rPr>
      </w:pPr>
      <w:r w:rsidRPr="00124CFF">
        <w:rPr>
          <w:sz w:val="24"/>
          <w:szCs w:val="24"/>
        </w:rPr>
        <w:t xml:space="preserve">The draft amendment requires applications to respond to bushfire policy prescribed in Clause 13.02 </w:t>
      </w:r>
      <w:r w:rsidRPr="00124CFF" w:rsidR="00B5520E">
        <w:rPr>
          <w:sz w:val="24"/>
          <w:szCs w:val="24"/>
        </w:rPr>
        <w:t xml:space="preserve">(Bushfire Planning) </w:t>
      </w:r>
      <w:r w:rsidRPr="00124CFF">
        <w:rPr>
          <w:sz w:val="24"/>
          <w:szCs w:val="24"/>
        </w:rPr>
        <w:t xml:space="preserve">of the Greater Bendigo Planning Scheme. </w:t>
      </w:r>
      <w:r w:rsidRPr="00D50169" w:rsidR="009B2938">
        <w:rPr>
          <w:sz w:val="24"/>
          <w:szCs w:val="24"/>
        </w:rPr>
        <w:t xml:space="preserve">This approach to bushfire is consistent with State Planning Policy as it ensures development is appropriately located with adequate access and egress for future residents and emergency service vehicles. Development areas can be sufficiently setback from retained areas of grassland in the power transmission easement and proposed drainage reserves to provide enough separation distance such that development is not exposed to a radiant heat flux of above 12.5 kilowatts/square metre under </w:t>
      </w:r>
      <w:r w:rsidRPr="00D50169" w:rsidR="009B2938">
        <w:rPr>
          <w:i/>
          <w:iCs/>
          <w:sz w:val="24"/>
          <w:szCs w:val="24"/>
        </w:rPr>
        <w:t>AS 3959</w:t>
      </w:r>
      <w:r w:rsidR="009B2938">
        <w:rPr>
          <w:i/>
          <w:iCs/>
          <w:sz w:val="24"/>
          <w:szCs w:val="24"/>
        </w:rPr>
        <w:t>-</w:t>
      </w:r>
      <w:r w:rsidRPr="00D50169" w:rsidR="009B2938">
        <w:rPr>
          <w:i/>
          <w:iCs/>
          <w:sz w:val="24"/>
          <w:szCs w:val="24"/>
        </w:rPr>
        <w:t>2009 Construction of Buildings in Bushfire-prone Areas</w:t>
      </w:r>
      <w:r w:rsidRPr="00D50169" w:rsidR="009B2938">
        <w:rPr>
          <w:sz w:val="24"/>
          <w:szCs w:val="24"/>
        </w:rPr>
        <w:t xml:space="preserve">. </w:t>
      </w:r>
    </w:p>
    <w:p w:rsidRPr="00DF7859" w:rsidR="003C3A3F" w:rsidP="00A15C2E" w:rsidRDefault="00DF7859" w14:paraId="60D5C589" w14:textId="74BF330D">
      <w:r w:rsidRPr="00DF7859">
        <w:t xml:space="preserve">Applications will also require a landscape bushfire </w:t>
      </w:r>
      <w:r w:rsidR="00974AEC">
        <w:t xml:space="preserve">management plan to demonstrate where the required bushfire protection measures apply, </w:t>
      </w:r>
      <w:r w:rsidRPr="00DF7859">
        <w:t>as part of DPO3</w:t>
      </w:r>
      <w:r w:rsidR="00D7074A">
        <w:t>4</w:t>
      </w:r>
      <w:r w:rsidRPr="00DF7859">
        <w:t xml:space="preserve">. </w:t>
      </w:r>
    </w:p>
    <w:p w:rsidR="00A15C2E" w:rsidP="009F1201" w:rsidRDefault="00A15C2E" w14:paraId="77EC5BB9" w14:textId="689E675F">
      <w:pPr>
        <w:pStyle w:val="Heading3"/>
      </w:pPr>
      <w:r>
        <w:t xml:space="preserve">Does the amendment comply with the requirements of any </w:t>
      </w:r>
      <w:r w:rsidR="00E1295A">
        <w:t xml:space="preserve">other </w:t>
      </w:r>
      <w:r>
        <w:t>Minister’s Direction applicable to the amendment?</w:t>
      </w:r>
    </w:p>
    <w:p w:rsidRPr="00F634B0" w:rsidR="00212253" w:rsidP="00212253" w:rsidRDefault="00212253" w14:paraId="7C7FF6B7" w14:textId="77777777">
      <w:r w:rsidRPr="00F634B0">
        <w:t xml:space="preserve">The amendment complies with the Ministerial Direction on the Form and Content of Planning Schemes under section 7(5) of the Act. </w:t>
      </w:r>
    </w:p>
    <w:p w:rsidRPr="007200AA" w:rsidR="00212253" w:rsidP="00212253" w:rsidRDefault="00212253" w14:paraId="5428D3AC" w14:textId="77777777">
      <w:r w:rsidRPr="00F634B0">
        <w:t>The amendment also complies with the following relevant Ministerial Directions:</w:t>
      </w:r>
    </w:p>
    <w:p w:rsidRPr="008A13D8" w:rsidR="00212253" w:rsidP="00212253" w:rsidRDefault="00212253" w14:paraId="3D4D5DCD" w14:textId="77777777">
      <w:pPr>
        <w:rPr>
          <w:i/>
        </w:rPr>
      </w:pPr>
      <w:r w:rsidRPr="008A13D8">
        <w:rPr>
          <w:i/>
        </w:rPr>
        <w:t xml:space="preserve">Ministerial direction 1 - Potentially contaminated land </w:t>
      </w:r>
    </w:p>
    <w:p w:rsidR="00212253" w:rsidP="00212253" w:rsidRDefault="00212253" w14:paraId="5C146606" w14:textId="77777777">
      <w:r w:rsidRPr="00E42441">
        <w:t>The</w:t>
      </w:r>
      <w:r>
        <w:t xml:space="preserve"> draft</w:t>
      </w:r>
      <w:r w:rsidRPr="00E42441">
        <w:t xml:space="preserve"> amendment complies with Ministerial Direction 1 (MD1) - Potentially Contaminated Land and associated guidelines in Planning Practice Note 30 (PPN30). </w:t>
      </w:r>
    </w:p>
    <w:p w:rsidR="00D36DC6" w:rsidP="00212253" w:rsidRDefault="00212253" w14:paraId="09BCC7FB" w14:textId="77777777">
      <w:r>
        <w:t xml:space="preserve">A land capability assessment was </w:t>
      </w:r>
      <w:r w:rsidRPr="00CF18AA">
        <w:t>conducted (</w:t>
      </w:r>
      <w:r w:rsidRPr="00C220CF">
        <w:t>Land Capability Assessment (</w:t>
      </w:r>
      <w:r>
        <w:t xml:space="preserve">WSP, </w:t>
      </w:r>
      <w:r w:rsidR="005F6154">
        <w:t xml:space="preserve">April 2024) </w:t>
      </w:r>
      <w:r w:rsidRPr="00CF18AA">
        <w:t>to determine whether there was any land that may be potentially contaminated. The Land Capability Assessment was prepared</w:t>
      </w:r>
      <w:r>
        <w:t xml:space="preserve"> in line with the regulatory framework of MD1 and PPN30 and provided parcel specific identification of potential contamination level. </w:t>
      </w:r>
      <w:r w:rsidR="00230AC1">
        <w:t xml:space="preserve">The report identified nine lots as having a ‘high’ potential for contamination and eight lots as having a ‘medium’ potential for contamination. </w:t>
      </w:r>
    </w:p>
    <w:p w:rsidR="00212253" w:rsidP="00212253" w:rsidRDefault="00212253" w14:paraId="733F750C" w14:textId="22D49085">
      <w:r>
        <w:t xml:space="preserve"> The amendment requires the preparation of a Preliminary Risk Screen Assessment (PRSA) for </w:t>
      </w:r>
      <w:r w:rsidR="00E21AB4">
        <w:t>nine</w:t>
      </w:r>
      <w:r>
        <w:t xml:space="preserve"> lots identified as having a </w:t>
      </w:r>
      <w:r w:rsidR="00E21AB4">
        <w:t>high</w:t>
      </w:r>
      <w:r>
        <w:t xml:space="preserve"> potential for contamination. </w:t>
      </w:r>
      <w:r w:rsidR="00E21AB4">
        <w:t xml:space="preserve">The amendment also requires the eight lots with ‘medium’ contamination to produce a Preliminary Site Investigation (PSI). </w:t>
      </w:r>
      <w:r>
        <w:t xml:space="preserve">The precinct will be predominately developed for ‘other land uses’ </w:t>
      </w:r>
      <w:r w:rsidRPr="007B253E">
        <w:t>with most sensitive uses such as accommodation being prohibited under the predominately INZ1 zoning applicable.</w:t>
      </w:r>
      <w:r>
        <w:t xml:space="preserve"> As some sensitive uses, such as education centre and caretakers house, remain permitted within the INZ1 it is appropriate for a PRSA to be prepared consistent with PPN30. </w:t>
      </w:r>
    </w:p>
    <w:p w:rsidR="00D546A1" w:rsidP="00D546A1" w:rsidRDefault="00D546A1" w14:paraId="6C3DAF02" w14:textId="09BBC3F8">
      <w:r>
        <w:t xml:space="preserve">The </w:t>
      </w:r>
      <w:r w:rsidR="5F2B2CC5">
        <w:t xml:space="preserve">DTP </w:t>
      </w:r>
      <w:r>
        <w:t xml:space="preserve">acknowledges that Ministerial Direction 1 states the planning authority </w:t>
      </w:r>
      <w:r>
        <w:lastRenderedPageBreak/>
        <w:t>must ensure an environmental auditor has issued a PRSA prior to giving notice of the amendment. Ministerial Direction 1 at section 6(3) states that ‘where a planning authority determines that complying with subclause (1) or (2) is difficult or inappropriate it may defer the requirements of those subclauses provided the requirement are included in the amendment through the application of an EAO or other appropriate measure’.</w:t>
      </w:r>
    </w:p>
    <w:p w:rsidR="00D546A1" w:rsidP="00D546A1" w:rsidRDefault="00D546A1" w14:paraId="156FCC3A" w14:textId="77777777">
      <w:r w:rsidRPr="00042819">
        <w:t xml:space="preserve">Planning Practice Note 30 also states that meeting an environmental audit requirement prior to amendment is preferred, while acknowledging that in some instances this will be difficult or inappropriate, for example where ‘the rezoning relates to a large strategic planning exercise or involves multiple sites in separate ownership’.  </w:t>
      </w:r>
    </w:p>
    <w:p w:rsidR="00D546A1" w:rsidP="00D546A1" w:rsidRDefault="00D546A1" w14:paraId="7CFA8124" w14:textId="000A9740">
      <w:r w:rsidRPr="00042819">
        <w:t xml:space="preserve">The </w:t>
      </w:r>
      <w:r w:rsidR="709167FE">
        <w:t>DTP</w:t>
      </w:r>
      <w:r w:rsidRPr="00042819">
        <w:t xml:space="preserve"> determined it would have been inappropriate to undertake an </w:t>
      </w:r>
      <w:r w:rsidRPr="0002565D">
        <w:t>environmental audit upfront at the strategic planning stage given the size of the precinct and the fragmentation in ownership of the land.</w:t>
      </w:r>
      <w:r w:rsidRPr="00042819">
        <w:t xml:space="preserve"> </w:t>
      </w:r>
    </w:p>
    <w:p w:rsidR="00995883" w:rsidP="00995883" w:rsidRDefault="00995883" w14:paraId="1530C79D" w14:textId="26BD83AD">
      <w:r w:rsidRPr="00A132E5">
        <w:t xml:space="preserve">The </w:t>
      </w:r>
      <w:r w:rsidR="5749B08D">
        <w:t>DTP</w:t>
      </w:r>
      <w:r w:rsidRPr="00A132E5">
        <w:t xml:space="preserve"> consider it is more appropriate to defer the audit system requirements and have these assessed at the planning permit stage. In doing so, the amendment provides an appropriate response to Ministerial Direction 1, with the amendment addressing Clause 6(3) of Ministerial Direction 1 and Planning Practice Note 30. </w:t>
      </w:r>
    </w:p>
    <w:p w:rsidR="00995883" w:rsidP="00D546A1" w:rsidRDefault="00F54432" w14:paraId="3B76303A" w14:textId="022218D7">
      <w:r>
        <w:t xml:space="preserve">The approach taken by the </w:t>
      </w:r>
      <w:r w:rsidR="49E20126">
        <w:t>DTP</w:t>
      </w:r>
      <w:r>
        <w:t xml:space="preserve"> ensures that </w:t>
      </w:r>
      <w:r w:rsidR="006D6B86">
        <w:t xml:space="preserve">potentially contaminated land is assessed at the appropriate time, that being when the land is intended to be subdivided and developed in accordance with </w:t>
      </w:r>
      <w:r w:rsidR="006B2BA0">
        <w:t xml:space="preserve">the future land uses outlined in the Development Plan. Assessment at this stage in the planning process ensures that the responsible authority and any other decision maker or authority </w:t>
      </w:r>
      <w:r w:rsidR="006D2B4C">
        <w:t xml:space="preserve">will be satisfied that the land </w:t>
      </w:r>
      <w:r w:rsidR="002E42DB">
        <w:t xml:space="preserve">can be made suitable for a sensitive use. </w:t>
      </w:r>
    </w:p>
    <w:p w:rsidR="00D546A1" w:rsidP="00212253" w:rsidRDefault="00E038EF" w14:paraId="6E881C02" w14:textId="47F8FCA0">
      <w:r>
        <w:t xml:space="preserve">The application requirements in DPO34 integrate elements of the Environmental Audit Overlay, including the preparation of a PRSA confirming that an environmental audit is not required. </w:t>
      </w:r>
      <w:r w:rsidR="00FC0A55">
        <w:t xml:space="preserve">The deliberate drafting of these application requirements ensures that the potential impact and risk of any contamination is not only identified but </w:t>
      </w:r>
      <w:r w:rsidR="00034B83">
        <w:t xml:space="preserve">ensures that the appropriate </w:t>
      </w:r>
      <w:r w:rsidR="00002BB1">
        <w:t>mitigation</w:t>
      </w:r>
      <w:r w:rsidR="00034B83">
        <w:t xml:space="preserve"> measures are enacted to address and remediate </w:t>
      </w:r>
      <w:r w:rsidR="00002BB1">
        <w:t xml:space="preserve">any such contamination prior to a sensitive use being established on a given site. </w:t>
      </w:r>
    </w:p>
    <w:p w:rsidR="0049623C" w:rsidP="00212253" w:rsidRDefault="0049623C" w14:paraId="0D13946A" w14:textId="25D55554">
      <w:r>
        <w:t xml:space="preserve">The EPA’s feedback has been implemented into the draft amendment. </w:t>
      </w:r>
    </w:p>
    <w:p w:rsidRPr="008A13D8" w:rsidR="00212253" w:rsidP="00212253" w:rsidRDefault="00212253" w14:paraId="647A5128" w14:textId="77777777">
      <w:pPr>
        <w:rPr>
          <w:i/>
        </w:rPr>
      </w:pPr>
      <w:r w:rsidRPr="008A13D8">
        <w:rPr>
          <w:i/>
        </w:rPr>
        <w:t xml:space="preserve">Ministerial direction 11 - Strategic assessment of Amendments </w:t>
      </w:r>
    </w:p>
    <w:p w:rsidRPr="00476C61" w:rsidR="00212253" w:rsidP="00212253" w:rsidRDefault="00212253" w14:paraId="438858DA" w14:textId="77777777">
      <w:r w:rsidRPr="00476C61">
        <w:t>The</w:t>
      </w:r>
      <w:r>
        <w:t xml:space="preserve"> draft</w:t>
      </w:r>
      <w:r w:rsidRPr="00476C61">
        <w:t xml:space="preserve"> amendment complies with Ministerial Direction 11 (MD11). </w:t>
      </w:r>
    </w:p>
    <w:p w:rsidR="00212253" w:rsidP="00212253" w:rsidRDefault="00212253" w14:paraId="60C57D8F" w14:textId="77777777">
      <w:pPr>
        <w:rPr>
          <w:u w:val="single"/>
        </w:rPr>
      </w:pPr>
      <w:r w:rsidRPr="00A07B58">
        <w:t>This direction seeks to ensure a comprehensive strategic evaluation of a planning scheme amendment. This explanatory report addresses the requirements outlined in this direction.</w:t>
      </w:r>
      <w:r w:rsidRPr="00A07B58">
        <w:rPr>
          <w:u w:val="single"/>
        </w:rPr>
        <w:t xml:space="preserve"> </w:t>
      </w:r>
    </w:p>
    <w:p w:rsidRPr="008A13D8" w:rsidR="00212253" w:rsidP="00212253" w:rsidRDefault="00212253" w14:paraId="1538E633" w14:textId="06DA703A">
      <w:pPr>
        <w:rPr>
          <w:i/>
        </w:rPr>
      </w:pPr>
      <w:r w:rsidRPr="008A13D8">
        <w:rPr>
          <w:i/>
        </w:rPr>
        <w:t xml:space="preserve">Ministerial direction 19 </w:t>
      </w:r>
      <w:r w:rsidRPr="008A13D8" w:rsidR="0049623C">
        <w:rPr>
          <w:i/>
        </w:rPr>
        <w:t>–</w:t>
      </w:r>
      <w:r w:rsidRPr="008A13D8">
        <w:rPr>
          <w:i/>
        </w:rPr>
        <w:t xml:space="preserve"> </w:t>
      </w:r>
      <w:r w:rsidRPr="008A13D8" w:rsidR="0049623C">
        <w:rPr>
          <w:i/>
        </w:rPr>
        <w:t xml:space="preserve">ministerial direction on the preparation and content of amendments </w:t>
      </w:r>
      <w:r w:rsidRPr="008A13D8">
        <w:rPr>
          <w:i/>
        </w:rPr>
        <w:t>that may result in impacts on the environment, amenity and human health</w:t>
      </w:r>
    </w:p>
    <w:p w:rsidR="00DE2F77" w:rsidP="00001846" w:rsidRDefault="0049623C" w14:paraId="7F9F18B6" w14:textId="281F319F">
      <w:r>
        <w:lastRenderedPageBreak/>
        <w:t>The</w:t>
      </w:r>
      <w:r w:rsidR="00DA0EFA">
        <w:t xml:space="preserve"> </w:t>
      </w:r>
      <w:r w:rsidR="00124CFF">
        <w:t>DTP</w:t>
      </w:r>
      <w:r>
        <w:t xml:space="preserve"> has sought the Environment Protection Authority’s (EPA) advice as part of the agency validation phase of the draft amendment. The </w:t>
      </w:r>
      <w:r w:rsidR="00124CFF">
        <w:t>DTP</w:t>
      </w:r>
      <w:r>
        <w:t xml:space="preserve"> has worked together with the EPA during the agency notification phase prior </w:t>
      </w:r>
      <w:r w:rsidR="573BB4B9">
        <w:t xml:space="preserve">to </w:t>
      </w:r>
      <w:r>
        <w:t xml:space="preserve">the exhibition of this draft amendment and has </w:t>
      </w:r>
      <w:r w:rsidR="00DE2F77">
        <w:t>updated</w:t>
      </w:r>
      <w:r>
        <w:t xml:space="preserve"> controls relating to managing adverse amenity impacts</w:t>
      </w:r>
      <w:r w:rsidR="00DE2F77">
        <w:t xml:space="preserve">, noise sources, soil management requirements and managing potentially contaminated land. </w:t>
      </w:r>
    </w:p>
    <w:p w:rsidR="000E7C3A" w:rsidP="00001846" w:rsidRDefault="00D91450" w14:paraId="3D2DFBD4" w14:textId="4B41B9F1">
      <w:r>
        <w:t xml:space="preserve">The EPA provided feedback to the </w:t>
      </w:r>
      <w:r w:rsidR="00AC44F8">
        <w:t>DTP on</w:t>
      </w:r>
      <w:r>
        <w:t xml:space="preserve"> the appropriate planning tool to manage adverse amenity impacts in the BREP. </w:t>
      </w:r>
      <w:r w:rsidR="00502668">
        <w:t xml:space="preserve">The DPO34 requires potentially contaminated land assessments to be completed for specific uses to address land compatibility. </w:t>
      </w:r>
      <w:r w:rsidR="000F442E">
        <w:t xml:space="preserve">It also requires a sodic and </w:t>
      </w:r>
      <w:r w:rsidR="0092618A">
        <w:t xml:space="preserve">dispersive soils assessment for the precinct at development plan stage. This will inform whether </w:t>
      </w:r>
      <w:r w:rsidR="00D818AA">
        <w:t xml:space="preserve">a management plan is required. </w:t>
      </w:r>
    </w:p>
    <w:p w:rsidR="5F62B06A" w:rsidP="7461DA6F" w:rsidRDefault="5F62B06A" w14:paraId="2EAE9937" w14:textId="03045591">
      <w:pPr>
        <w:rPr>
          <w:i/>
          <w:iCs/>
        </w:rPr>
      </w:pPr>
      <w:r w:rsidRPr="7461DA6F">
        <w:rPr>
          <w:i/>
          <w:iCs/>
        </w:rPr>
        <w:t>Ministerial direction 22 – Climate change considerations</w:t>
      </w:r>
    </w:p>
    <w:p w:rsidR="000529E2" w:rsidP="00DA0EFA" w:rsidRDefault="00FB1368" w14:paraId="39855171" w14:textId="3155154E">
      <w:pPr>
        <w:rPr>
          <w:iCs/>
        </w:rPr>
      </w:pPr>
      <w:r>
        <w:rPr>
          <w:iCs/>
        </w:rPr>
        <w:t>The amendment supports climate resilience and emissions reduction, both</w:t>
      </w:r>
      <w:r w:rsidR="006D65BE">
        <w:rPr>
          <w:iCs/>
        </w:rPr>
        <w:t xml:space="preserve"> directly and indirectly. </w:t>
      </w:r>
      <w:r w:rsidR="00BB2E18">
        <w:rPr>
          <w:iCs/>
        </w:rPr>
        <w:t xml:space="preserve">The </w:t>
      </w:r>
      <w:r w:rsidR="00E838EB">
        <w:rPr>
          <w:iCs/>
        </w:rPr>
        <w:t xml:space="preserve">BREP </w:t>
      </w:r>
      <w:r w:rsidR="00BB2E18">
        <w:rPr>
          <w:iCs/>
        </w:rPr>
        <w:t>will provide opportunities for employment, consistent with</w:t>
      </w:r>
      <w:r w:rsidR="00E838EB">
        <w:rPr>
          <w:iCs/>
        </w:rPr>
        <w:t xml:space="preserve"> the precinct’s designation as a regionally significant employment precinct. </w:t>
      </w:r>
      <w:r w:rsidR="00B87B9A">
        <w:rPr>
          <w:iCs/>
        </w:rPr>
        <w:t xml:space="preserve">The BREP is an employment precinct </w:t>
      </w:r>
      <w:r w:rsidR="00050924">
        <w:rPr>
          <w:iCs/>
        </w:rPr>
        <w:t xml:space="preserve">with no residential land. Nonetheless, future development plans will address these elements, notably, active transport, access to services, </w:t>
      </w:r>
      <w:r w:rsidR="000529E2">
        <w:rPr>
          <w:iCs/>
        </w:rPr>
        <w:t xml:space="preserve">climate resilient locations and </w:t>
      </w:r>
      <w:r w:rsidR="00DA0EFA">
        <w:rPr>
          <w:iCs/>
        </w:rPr>
        <w:t>high-quality</w:t>
      </w:r>
      <w:r w:rsidR="000529E2">
        <w:rPr>
          <w:iCs/>
        </w:rPr>
        <w:t xml:space="preserve"> public realm and open spaces. </w:t>
      </w:r>
    </w:p>
    <w:p w:rsidRPr="00DA0EFA" w:rsidR="00620F70" w:rsidP="00DA0EFA" w:rsidRDefault="003078B1" w14:paraId="06B055AF" w14:textId="463E2CEB">
      <w:pPr>
        <w:pStyle w:val="paragraph"/>
        <w:spacing w:before="120" w:beforeAutospacing="0" w:after="120" w:afterAutospacing="0"/>
        <w:textAlignment w:val="baseline"/>
        <w:rPr>
          <w:rStyle w:val="normaltextrun"/>
          <w:rFonts w:ascii="Arial" w:hAnsi="Arial" w:cs="Arial"/>
          <w:color w:val="000000"/>
        </w:rPr>
      </w:pPr>
      <w:r w:rsidRPr="00E92EC3">
        <w:rPr>
          <w:rFonts w:ascii="Arial" w:hAnsi="Arial" w:cs="Arial"/>
          <w:iCs/>
        </w:rPr>
        <w:t xml:space="preserve">The DTP commissioned Hip V Hype to prepare a Sustainable Development Opportunity Report for the BREP. The result of this has led to a sustainability vision and provisions within the </w:t>
      </w:r>
      <w:r w:rsidR="00866A04">
        <w:rPr>
          <w:rFonts w:ascii="Arial" w:hAnsi="Arial" w:cs="Arial"/>
          <w:iCs/>
        </w:rPr>
        <w:t xml:space="preserve">DPO34 </w:t>
      </w:r>
      <w:r w:rsidRPr="00E92EC3" w:rsidR="006D6E6A">
        <w:rPr>
          <w:rFonts w:ascii="Arial" w:hAnsi="Arial" w:cs="Arial"/>
          <w:iCs/>
        </w:rPr>
        <w:t>and planning scheme ordinance</w:t>
      </w:r>
      <w:r w:rsidRPr="00E92EC3">
        <w:rPr>
          <w:rFonts w:ascii="Arial" w:hAnsi="Arial" w:cs="Arial"/>
          <w:iCs/>
        </w:rPr>
        <w:t xml:space="preserve">, </w:t>
      </w:r>
      <w:r w:rsidRPr="00E92EC3" w:rsidR="006B4F03">
        <w:rPr>
          <w:rFonts w:ascii="Arial" w:hAnsi="Arial" w:cs="Arial"/>
          <w:iCs/>
        </w:rPr>
        <w:t>which are informed by four focus areas</w:t>
      </w:r>
      <w:r w:rsidRPr="00E92EC3" w:rsidR="006D6E6A">
        <w:rPr>
          <w:rFonts w:ascii="Arial" w:hAnsi="Arial" w:cs="Arial"/>
          <w:iCs/>
        </w:rPr>
        <w:t xml:space="preserve">, zero carbon, climate resilience, circular economy, leadership and governance. </w:t>
      </w:r>
      <w:r w:rsidRPr="00E92EC3" w:rsidR="00F8695C">
        <w:rPr>
          <w:rStyle w:val="normaltextrun"/>
          <w:rFonts w:ascii="Arial" w:hAnsi="Arial" w:cs="Arial"/>
          <w:color w:val="000000"/>
          <w:lang w:val="en-GB"/>
        </w:rPr>
        <w:t>In addition, the report provides best case examples of similar precincts throughout Australia which can inform the future design of the BREP development Plans.</w:t>
      </w:r>
      <w:r w:rsidR="002A4E1C">
        <w:rPr>
          <w:rStyle w:val="eop"/>
          <w:rFonts w:ascii="Arial" w:hAnsi="Arial" w:cs="Arial"/>
          <w:color w:val="000000"/>
        </w:rPr>
        <w:t xml:space="preserve"> </w:t>
      </w:r>
      <w:r w:rsidRPr="00E92EC3" w:rsidR="00F8695C">
        <w:rPr>
          <w:rStyle w:val="normaltextrun"/>
          <w:rFonts w:ascii="Arial" w:hAnsi="Arial" w:cs="Arial"/>
          <w:color w:val="000000"/>
          <w:lang w:val="en-GB"/>
        </w:rPr>
        <w:t>The requirement for ESD Assessment at the development plan stage will ensure for compliance with the relevant clauses of the VPP. </w:t>
      </w:r>
      <w:r w:rsidRPr="00E92EC3" w:rsidR="00F8695C">
        <w:rPr>
          <w:rStyle w:val="eop"/>
          <w:rFonts w:ascii="Arial" w:hAnsi="Arial" w:cs="Arial"/>
          <w:color w:val="000000"/>
        </w:rPr>
        <w:t> </w:t>
      </w:r>
    </w:p>
    <w:p w:rsidRPr="00E92EC3" w:rsidR="00620F70" w:rsidP="00DA0EFA" w:rsidRDefault="00620F70" w14:paraId="7BD80F87" w14:textId="165D90A9">
      <w:pPr>
        <w:pStyle w:val="paragraph"/>
        <w:spacing w:before="120" w:beforeAutospacing="0" w:after="120" w:afterAutospacing="0"/>
        <w:textAlignment w:val="baseline"/>
        <w:rPr>
          <w:rFonts w:ascii="Arial" w:hAnsi="Arial" w:cs="Arial"/>
          <w:color w:val="000000"/>
        </w:rPr>
      </w:pPr>
      <w:r w:rsidRPr="00E92EC3">
        <w:rPr>
          <w:rStyle w:val="normaltextrun"/>
          <w:rFonts w:ascii="Arial" w:hAnsi="Arial" w:cs="Arial"/>
          <w:color w:val="000000"/>
        </w:rPr>
        <w:t xml:space="preserve">The draft </w:t>
      </w:r>
      <w:r w:rsidR="00866A04">
        <w:rPr>
          <w:rStyle w:val="normaltextrun"/>
          <w:rFonts w:ascii="Arial" w:hAnsi="Arial" w:cs="Arial"/>
          <w:color w:val="000000"/>
        </w:rPr>
        <w:t xml:space="preserve">DPO34 </w:t>
      </w:r>
      <w:r w:rsidRPr="00E92EC3">
        <w:rPr>
          <w:rStyle w:val="normaltextrun"/>
          <w:rFonts w:ascii="Arial" w:hAnsi="Arial" w:cs="Arial"/>
          <w:color w:val="000000"/>
        </w:rPr>
        <w:t>amendment package and bushfire assessment were prepared in consultation with the CFA. Future development plans will be required to provide bushfire management plans and landscape protection measures to ameliorate the impacts of bushfire through the site.</w:t>
      </w:r>
      <w:r w:rsidRPr="00E92EC3">
        <w:rPr>
          <w:rStyle w:val="normaltextrun"/>
          <w:rFonts w:ascii="Arial" w:hAnsi="Arial" w:cs="Arial"/>
          <w:color w:val="000000"/>
          <w:shd w:val="clear" w:color="auto" w:fill="FFFFFF"/>
          <w:lang w:val="en-US"/>
        </w:rPr>
        <w:t> </w:t>
      </w:r>
      <w:r w:rsidR="002E001E">
        <w:rPr>
          <w:rStyle w:val="normaltextrun"/>
          <w:rFonts w:ascii="Arial" w:hAnsi="Arial" w:cs="Arial"/>
          <w:color w:val="000000"/>
          <w:shd w:val="clear" w:color="auto" w:fill="FFFFFF"/>
          <w:lang w:val="en-US"/>
        </w:rPr>
        <w:t xml:space="preserve">The provisions within </w:t>
      </w:r>
      <w:proofErr w:type="gramStart"/>
      <w:r w:rsidR="00DA0EFA">
        <w:rPr>
          <w:rStyle w:val="normaltextrun"/>
          <w:rFonts w:ascii="Arial" w:hAnsi="Arial" w:cs="Arial"/>
          <w:color w:val="000000"/>
          <w:shd w:val="clear" w:color="auto" w:fill="FFFFFF"/>
          <w:lang w:val="en-US"/>
        </w:rPr>
        <w:t>DPO34</w:t>
      </w:r>
      <w:r w:rsidR="00895986">
        <w:rPr>
          <w:rStyle w:val="eop"/>
          <w:rFonts w:ascii="Arial" w:hAnsi="Arial" w:cs="Arial"/>
          <w:color w:val="000000"/>
        </w:rPr>
        <w:t>,</w:t>
      </w:r>
      <w:proofErr w:type="gramEnd"/>
      <w:r w:rsidR="00895986">
        <w:rPr>
          <w:rStyle w:val="eop"/>
          <w:rFonts w:ascii="Arial" w:hAnsi="Arial" w:cs="Arial"/>
          <w:color w:val="000000"/>
        </w:rPr>
        <w:t xml:space="preserve"> </w:t>
      </w:r>
      <w:r w:rsidR="00866A04">
        <w:rPr>
          <w:rStyle w:val="eop"/>
          <w:rFonts w:ascii="Arial" w:hAnsi="Arial" w:cs="Arial"/>
          <w:color w:val="000000"/>
        </w:rPr>
        <w:t xml:space="preserve">will </w:t>
      </w:r>
      <w:r w:rsidR="00995BE5">
        <w:rPr>
          <w:rStyle w:val="eop"/>
          <w:rFonts w:ascii="Arial" w:hAnsi="Arial" w:cs="Arial"/>
          <w:color w:val="000000"/>
        </w:rPr>
        <w:t>ensure that flood risk and mitigation measures are addressed at the development plan</w:t>
      </w:r>
      <w:r w:rsidR="001D1F29">
        <w:rPr>
          <w:rStyle w:val="eop"/>
          <w:rFonts w:ascii="Arial" w:hAnsi="Arial" w:cs="Arial"/>
          <w:color w:val="000000"/>
        </w:rPr>
        <w:t xml:space="preserve"> stage. </w:t>
      </w:r>
    </w:p>
    <w:p w:rsidRPr="00E92EC3" w:rsidR="000529E2" w:rsidP="00DA0EFA" w:rsidRDefault="004256F4" w14:paraId="5E251ADF" w14:textId="6CB0CB38">
      <w:pPr>
        <w:rPr>
          <w:iCs/>
        </w:rPr>
      </w:pPr>
      <w:r>
        <w:rPr>
          <w:iCs/>
        </w:rPr>
        <w:t xml:space="preserve">The DPO34 and concept plan </w:t>
      </w:r>
      <w:r w:rsidR="001D642F">
        <w:rPr>
          <w:iCs/>
        </w:rPr>
        <w:t>generally meets the requirements in responding to urban heat</w:t>
      </w:r>
      <w:r w:rsidR="00333EA3">
        <w:rPr>
          <w:iCs/>
        </w:rPr>
        <w:t xml:space="preserve">. </w:t>
      </w:r>
      <w:r w:rsidR="002402A2">
        <w:rPr>
          <w:iCs/>
        </w:rPr>
        <w:t xml:space="preserve">This will be managed through </w:t>
      </w:r>
      <w:r w:rsidR="00F84BA1">
        <w:rPr>
          <w:iCs/>
        </w:rPr>
        <w:t xml:space="preserve">retaining canopy trees and </w:t>
      </w:r>
      <w:r w:rsidR="008317C4">
        <w:rPr>
          <w:iCs/>
        </w:rPr>
        <w:t xml:space="preserve">providing open space. </w:t>
      </w:r>
    </w:p>
    <w:p w:rsidR="00A15C2E" w:rsidP="00AA35A0" w:rsidRDefault="00A15C2E" w14:paraId="0222BD2B" w14:textId="27791D1B">
      <w:pPr>
        <w:pStyle w:val="Heading3"/>
      </w:pPr>
      <w:r>
        <w:t>How does the amendment support or implement the Planning Policy Framework and any adopted State policy?</w:t>
      </w:r>
    </w:p>
    <w:p w:rsidR="00BE3F97" w:rsidP="00DB121E" w:rsidRDefault="00F66DCA" w14:paraId="4B0F61C9" w14:textId="1758E02F">
      <w:pPr>
        <w:pStyle w:val="Heading3"/>
        <w:rPr>
          <w:b w:val="0"/>
          <w:bCs w:val="0"/>
          <w:sz w:val="24"/>
          <w:szCs w:val="20"/>
        </w:rPr>
      </w:pPr>
      <w:r>
        <w:rPr>
          <w:b w:val="0"/>
          <w:bCs w:val="0"/>
          <w:sz w:val="24"/>
          <w:szCs w:val="20"/>
        </w:rPr>
        <w:t>The draft amendment supports the implementation of the Planning Policy Framework through the following means:</w:t>
      </w:r>
    </w:p>
    <w:p w:rsidR="00B36398" w:rsidP="000439D5" w:rsidRDefault="00F66DCA" w14:paraId="1F51547F" w14:textId="547906C3">
      <w:pPr>
        <w:pStyle w:val="ListParagraph"/>
        <w:numPr>
          <w:ilvl w:val="0"/>
          <w:numId w:val="24"/>
        </w:numPr>
      </w:pPr>
      <w:r>
        <w:t xml:space="preserve">Clauses 11.01 Victoria, 11.02 Managing Growth, 11.03 Planning for Places – the draft amendment facilitates the orderly planning </w:t>
      </w:r>
      <w:r w:rsidR="002F7405">
        <w:t xml:space="preserve">and delivery of </w:t>
      </w:r>
      <w:r w:rsidR="002F7405">
        <w:lastRenderedPageBreak/>
        <w:t xml:space="preserve">employment land through preparation of </w:t>
      </w:r>
      <w:r w:rsidR="00BE33E6">
        <w:t>a DPO to direct how the precinct will accommodate growth, and the relevant infrastructure required to support growth. This draft amendment facilitates the supply of land for industrial, commercial</w:t>
      </w:r>
      <w:r w:rsidR="00DF72F6">
        <w:t xml:space="preserve"> and community uses</w:t>
      </w:r>
      <w:r w:rsidR="00D90A1B">
        <w:t>.</w:t>
      </w:r>
      <w:r w:rsidR="0024309F">
        <w:t xml:space="preserve"> </w:t>
      </w:r>
      <w:r w:rsidR="00B745A0">
        <w:t xml:space="preserve">Plan for Victoria is listed as a policy document to consider, with Bendigo listed as one of the major </w:t>
      </w:r>
      <w:r w:rsidR="00954744">
        <w:t>regional cit</w:t>
      </w:r>
      <w:r w:rsidR="00B36398">
        <w:t>ies.</w:t>
      </w:r>
      <w:r w:rsidR="00E67A1C">
        <w:t xml:space="preserve"> Clause 11.</w:t>
      </w:r>
      <w:r w:rsidR="00EF1CE2">
        <w:t xml:space="preserve">01-1S (Settlement) outlines a strategy to provide convenient access to jobs, services, infrastructure and community facilities, with a focus of investment and growth in major regional cities, including Bendigo. </w:t>
      </w:r>
      <w:r w:rsidR="00E70E28">
        <w:t>Clause 11.01-1S lists Plan for Victoria (Department of Transport and Planning</w:t>
      </w:r>
      <w:r w:rsidR="004D6F55">
        <w:t xml:space="preserve">, 2025) </w:t>
      </w:r>
      <w:r w:rsidR="005E1658">
        <w:t xml:space="preserve">as a policy document to consider. </w:t>
      </w:r>
      <w:r w:rsidR="00BB2604">
        <w:t>The BREP is identified as one of the employment precincts for Bendigo in the future. The amendment will contribute to approximately 3,000 new jobs and these jo</w:t>
      </w:r>
      <w:r w:rsidR="000439D5">
        <w:t xml:space="preserve">bs will contribute to providing jobs close to where Victorians live. </w:t>
      </w:r>
    </w:p>
    <w:p w:rsidR="00D90A1B" w:rsidP="00F66DCA" w:rsidRDefault="00483C6C" w14:paraId="44D2227A" w14:textId="17E6D111">
      <w:pPr>
        <w:pStyle w:val="ListParagraph"/>
        <w:numPr>
          <w:ilvl w:val="0"/>
          <w:numId w:val="24"/>
        </w:numPr>
      </w:pPr>
      <w:r>
        <w:t>Clause 13.02 Bushfire Planning – The draft amendment has responded to the requirements of Clause 13.02 (</w:t>
      </w:r>
      <w:r w:rsidR="00400867">
        <w:t>B</w:t>
      </w:r>
      <w:r>
        <w:t xml:space="preserve">ushfire) of the Planning Policy Framework by requiring the preparation of a Bushfire Management Plan as part of DPO34. </w:t>
      </w:r>
    </w:p>
    <w:p w:rsidRPr="000F3CE5" w:rsidR="00CD4A7E" w:rsidP="00CD4A7E" w:rsidRDefault="00CD4A7E" w14:paraId="3E01CACE" w14:textId="77777777">
      <w:pPr>
        <w:pStyle w:val="ListParagraph"/>
        <w:numPr>
          <w:ilvl w:val="0"/>
          <w:numId w:val="24"/>
        </w:numPr>
      </w:pPr>
      <w:r w:rsidRPr="004E386E">
        <w:t>Clause 13.04-1S Contaminated and potentially contaminated land - The</w:t>
      </w:r>
      <w:r w:rsidRPr="000F3CE5">
        <w:t xml:space="preserve"> amendment responds to this clause as described earlier in this report.</w:t>
      </w:r>
    </w:p>
    <w:p w:rsidRPr="008B72EF" w:rsidR="00CD4A7E" w:rsidP="00CD4A7E" w:rsidRDefault="00CD4A7E" w14:paraId="2C97CAE7" w14:textId="7FE9418A">
      <w:pPr>
        <w:pStyle w:val="ListParagraph"/>
        <w:numPr>
          <w:ilvl w:val="0"/>
          <w:numId w:val="24"/>
        </w:numPr>
      </w:pPr>
      <w:r w:rsidRPr="008B72EF">
        <w:t xml:space="preserve">Clause 17 Economic development – The draft amendment will provide for up to </w:t>
      </w:r>
      <w:r w:rsidR="009569AD">
        <w:t xml:space="preserve">3,000 jobs within commercial and </w:t>
      </w:r>
      <w:r w:rsidR="002971E1">
        <w:t xml:space="preserve">industrial areas that will contribute to economic growth in the region. </w:t>
      </w:r>
    </w:p>
    <w:p w:rsidRPr="00141F09" w:rsidR="00CD4A7E" w:rsidP="00CD4A7E" w:rsidRDefault="00CD4A7E" w14:paraId="564FD602" w14:textId="5F28965A">
      <w:pPr>
        <w:pStyle w:val="ListParagraph"/>
        <w:numPr>
          <w:ilvl w:val="0"/>
          <w:numId w:val="24"/>
        </w:numPr>
      </w:pPr>
      <w:r w:rsidRPr="008D52C8">
        <w:t>Clauses 17.01 Employment, 17.02 Commercial, 17.03 Industrial –</w:t>
      </w:r>
      <w:r>
        <w:t xml:space="preserve"> The draft amendment plans for </w:t>
      </w:r>
      <w:r w:rsidRPr="008D52C8">
        <w:t>an employment precinct which collectively contribute to the employment opportunities</w:t>
      </w:r>
      <w:r>
        <w:t xml:space="preserve"> and </w:t>
      </w:r>
      <w:r w:rsidRPr="008D52C8">
        <w:t>local services available to future and existing residents.</w:t>
      </w:r>
      <w:r>
        <w:t xml:space="preserve"> The draft amendment will rezone land to INZ1 which will support provision of</w:t>
      </w:r>
      <w:r w:rsidRPr="00141F09">
        <w:t xml:space="preserve"> sufficient industrial land to meet a range of industrial needs in</w:t>
      </w:r>
      <w:r w:rsidR="002971E1">
        <w:t xml:space="preserve"> Bendigo</w:t>
      </w:r>
      <w:r w:rsidRPr="00141F09">
        <w:t>, including small to medium sized industry.</w:t>
      </w:r>
    </w:p>
    <w:p w:rsidRPr="00F100E4" w:rsidR="00400867" w:rsidP="00F66DCA" w:rsidRDefault="00CD043D" w14:paraId="502BE1D8" w14:textId="22FC4AEB">
      <w:pPr>
        <w:pStyle w:val="ListParagraph"/>
        <w:numPr>
          <w:ilvl w:val="0"/>
          <w:numId w:val="24"/>
        </w:numPr>
      </w:pPr>
      <w:r>
        <w:t xml:space="preserve">Clause 18.01 Land Use and Transport, Clause 18.02 Movement networks - </w:t>
      </w:r>
      <w:r w:rsidRPr="00054919" w:rsidR="00F100E4">
        <w:rPr>
          <w:rFonts w:cs="Arial"/>
          <w:szCs w:val="24"/>
        </w:rPr>
        <w:t xml:space="preserve">The </w:t>
      </w:r>
      <w:r w:rsidR="00F100E4">
        <w:rPr>
          <w:rFonts w:cs="Arial"/>
          <w:szCs w:val="24"/>
        </w:rPr>
        <w:t xml:space="preserve">draft amendment outlines high level expectations for </w:t>
      </w:r>
      <w:r w:rsidRPr="00054919" w:rsidR="00F100E4">
        <w:rPr>
          <w:rFonts w:cs="Arial"/>
          <w:szCs w:val="24"/>
        </w:rPr>
        <w:t>a transport network that is well-integrated with the existing surrounding network</w:t>
      </w:r>
      <w:r w:rsidR="00F100E4">
        <w:rPr>
          <w:rFonts w:cs="Arial"/>
          <w:szCs w:val="24"/>
        </w:rPr>
        <w:t xml:space="preserve">. This will be supported by an </w:t>
      </w:r>
      <w:r w:rsidRPr="00054919" w:rsidR="00F100E4">
        <w:rPr>
          <w:rFonts w:cs="Arial"/>
          <w:szCs w:val="24"/>
        </w:rPr>
        <w:t>interconnecting network of connector roads, shared paths and bicycle and pedestrian paths</w:t>
      </w:r>
      <w:r w:rsidR="00F100E4">
        <w:rPr>
          <w:rFonts w:cs="Arial"/>
          <w:szCs w:val="24"/>
        </w:rPr>
        <w:t xml:space="preserve"> to further detailed at the master planning and permit stage of delivery.</w:t>
      </w:r>
    </w:p>
    <w:p w:rsidR="00F100E4" w:rsidP="00F66DCA" w:rsidRDefault="00E46537" w14:paraId="0CA9E8BC" w14:textId="6C8F7201">
      <w:pPr>
        <w:pStyle w:val="ListParagraph"/>
        <w:numPr>
          <w:ilvl w:val="0"/>
          <w:numId w:val="24"/>
        </w:numPr>
      </w:pPr>
      <w:r>
        <w:t xml:space="preserve">Clause 19.03 Development infrastructure – The amendment will implement the mechanism to collect developer contributions to fund or deliver </w:t>
      </w:r>
      <w:r w:rsidR="00E97CD8">
        <w:t xml:space="preserve">infrastructure. </w:t>
      </w:r>
    </w:p>
    <w:p w:rsidRPr="00F66DCA" w:rsidR="00A11E03" w:rsidP="00A11E03" w:rsidRDefault="00A11E03" w14:paraId="4B6D3939" w14:textId="70F1C808">
      <w:pPr>
        <w:pStyle w:val="Heading3"/>
      </w:pPr>
      <w:r>
        <w:t>How does the amendment support or implement the Municipal Planning Strategy?</w:t>
      </w:r>
    </w:p>
    <w:p w:rsidR="00B3637C" w:rsidP="00A15C2E" w:rsidRDefault="00A15C2E" w14:paraId="59E5E96A" w14:textId="213261C1">
      <w:r w:rsidRPr="00E55E00">
        <w:t>Th</w:t>
      </w:r>
      <w:r w:rsidR="0070712B">
        <w:t>e amendment supports the implementation of the Municipal Strategic Statement by responding to the following Clauses:</w:t>
      </w:r>
    </w:p>
    <w:p w:rsidR="009652AB" w:rsidP="009652AB" w:rsidRDefault="009652AB" w14:paraId="40085548" w14:textId="77777777">
      <w:pPr>
        <w:pStyle w:val="ListParagraph"/>
        <w:numPr>
          <w:ilvl w:val="0"/>
          <w:numId w:val="30"/>
        </w:numPr>
      </w:pPr>
      <w:r>
        <w:t>Clause</w:t>
      </w:r>
      <w:r w:rsidRPr="000B0AD2">
        <w:t xml:space="preserve"> 02.03-1 Settlement</w:t>
      </w:r>
      <w:r>
        <w:t xml:space="preserve"> – the draft amendment provides for </w:t>
      </w:r>
      <w:r w:rsidRPr="001F5890">
        <w:t xml:space="preserve">significant </w:t>
      </w:r>
      <w:r w:rsidRPr="001F5890">
        <w:lastRenderedPageBreak/>
        <w:t>opportunities for employment and economic growth</w:t>
      </w:r>
      <w:r>
        <w:t xml:space="preserve"> through rezoning land for employment purposes and application of a DPO to direct land use and development in the precinct. </w:t>
      </w:r>
    </w:p>
    <w:p w:rsidRPr="00306543" w:rsidR="009652AB" w:rsidP="009652AB" w:rsidRDefault="009652AB" w14:paraId="1ABC8D9D" w14:textId="51218B5B">
      <w:pPr>
        <w:pStyle w:val="ListParagraph"/>
        <w:numPr>
          <w:ilvl w:val="0"/>
          <w:numId w:val="30"/>
        </w:numPr>
      </w:pPr>
      <w:r w:rsidRPr="00EC48A3">
        <w:t>Clause 02.03-2 Environmental and landscape values</w:t>
      </w:r>
      <w:r>
        <w:t xml:space="preserve"> – </w:t>
      </w:r>
      <w:r w:rsidRPr="00F8688D">
        <w:t xml:space="preserve">the </w:t>
      </w:r>
      <w:r>
        <w:t xml:space="preserve">draft </w:t>
      </w:r>
      <w:r w:rsidRPr="00F8688D">
        <w:t xml:space="preserve">amendment protects biodiversity </w:t>
      </w:r>
      <w:r w:rsidR="003E51CD">
        <w:t>through requiring</w:t>
      </w:r>
      <w:r>
        <w:t xml:space="preserve"> future development </w:t>
      </w:r>
      <w:r w:rsidR="003E51CD">
        <w:t xml:space="preserve">to </w:t>
      </w:r>
      <w:r>
        <w:t xml:space="preserve">consider stormwater drainage to </w:t>
      </w:r>
      <w:r w:rsidRPr="00020FA4">
        <w:t xml:space="preserve">Reduce the amount of runoff from urban development and improve the quality of stormwater runoff entering </w:t>
      </w:r>
      <w:r w:rsidRPr="00306543">
        <w:t xml:space="preserve">waterways. </w:t>
      </w:r>
    </w:p>
    <w:p w:rsidR="009652AB" w:rsidP="009652AB" w:rsidRDefault="009652AB" w14:paraId="4E918D6F" w14:textId="77777777">
      <w:pPr>
        <w:pStyle w:val="ListParagraph"/>
        <w:numPr>
          <w:ilvl w:val="0"/>
          <w:numId w:val="30"/>
        </w:numPr>
      </w:pPr>
      <w:r w:rsidRPr="00306543">
        <w:t>Clause 02.03-3 Environmental risks and amenity – the draft amendment</w:t>
      </w:r>
      <w:r>
        <w:t xml:space="preserve"> includes provisions to manage risk from bushfires and flooding.</w:t>
      </w:r>
    </w:p>
    <w:p w:rsidR="009652AB" w:rsidP="009652AB" w:rsidRDefault="009652AB" w14:paraId="40EBCD84" w14:textId="618E6C73">
      <w:pPr>
        <w:pStyle w:val="ListParagraph"/>
        <w:numPr>
          <w:ilvl w:val="0"/>
          <w:numId w:val="30"/>
        </w:numPr>
      </w:pPr>
      <w:r w:rsidRPr="008275BE">
        <w:t xml:space="preserve">Clause 02.03-5 Built environment and heritage – the </w:t>
      </w:r>
      <w:r>
        <w:t xml:space="preserve">draft </w:t>
      </w:r>
      <w:r w:rsidRPr="008275BE">
        <w:t xml:space="preserve">amendment </w:t>
      </w:r>
      <w:r w:rsidR="006C1C71">
        <w:t xml:space="preserve">will create a built environment with active transport and </w:t>
      </w:r>
      <w:r w:rsidR="004B09F3">
        <w:t xml:space="preserve">a visually appealing environment. </w:t>
      </w:r>
    </w:p>
    <w:p w:rsidR="009652AB" w:rsidP="009652AB" w:rsidRDefault="009652AB" w14:paraId="313813E6" w14:textId="59A9C34E">
      <w:pPr>
        <w:pStyle w:val="ListParagraph"/>
        <w:numPr>
          <w:ilvl w:val="0"/>
          <w:numId w:val="30"/>
        </w:numPr>
      </w:pPr>
      <w:r w:rsidRPr="002D3BAB">
        <w:t>Clause 02.03-</w:t>
      </w:r>
      <w:r>
        <w:t>7</w:t>
      </w:r>
      <w:r w:rsidRPr="002D3BAB">
        <w:t xml:space="preserve"> </w:t>
      </w:r>
      <w:r>
        <w:t xml:space="preserve">Economic Development – the draft amendment supports </w:t>
      </w:r>
      <w:r w:rsidRPr="005F4F0B">
        <w:t>ongoing employment and economic development in the</w:t>
      </w:r>
      <w:r w:rsidR="004B09F3">
        <w:t xml:space="preserve"> Bendigo</w:t>
      </w:r>
      <w:r w:rsidRPr="005F4F0B">
        <w:t xml:space="preserve"> region</w:t>
      </w:r>
      <w:r>
        <w:t xml:space="preserve"> including providing </w:t>
      </w:r>
      <w:r w:rsidRPr="0033228F">
        <w:t>an adequate supply of industrial land that meets the needs of different industries.</w:t>
      </w:r>
      <w:r>
        <w:t xml:space="preserve"> The draft amendment will focus new industrial development adjacent to major transportation routes and infrastructure assets. </w:t>
      </w:r>
    </w:p>
    <w:p w:rsidRPr="001415E9" w:rsidR="009652AB" w:rsidP="009652AB" w:rsidRDefault="009652AB" w14:paraId="4F603B51" w14:textId="684AD77F">
      <w:pPr>
        <w:pStyle w:val="ListParagraph"/>
        <w:numPr>
          <w:ilvl w:val="0"/>
          <w:numId w:val="30"/>
        </w:numPr>
      </w:pPr>
      <w:r w:rsidRPr="002D3BAB">
        <w:t>Clause 02.03-8 Transport</w:t>
      </w:r>
      <w:r>
        <w:t xml:space="preserve"> – the draft amendment will set out the high-level transport network for the precinct, with detailed </w:t>
      </w:r>
      <w:r w:rsidRPr="00E64A4B">
        <w:t>integrated transport</w:t>
      </w:r>
      <w:r>
        <w:t xml:space="preserve"> networks to be prepared at the development plan preparation stage. The draft amendment will support compatible land uses that will not negatively impact the</w:t>
      </w:r>
      <w:r w:rsidR="004B09F3">
        <w:t xml:space="preserve"> future surrounding residential uses. </w:t>
      </w:r>
    </w:p>
    <w:p w:rsidR="009652AB" w:rsidP="009652AB" w:rsidRDefault="009652AB" w14:paraId="39D06752" w14:textId="77777777">
      <w:pPr>
        <w:pStyle w:val="ListParagraph"/>
        <w:numPr>
          <w:ilvl w:val="0"/>
          <w:numId w:val="30"/>
        </w:numPr>
      </w:pPr>
      <w:r w:rsidRPr="00E43C1A">
        <w:t>Clause 02.03-9 Infrastructure</w:t>
      </w:r>
      <w:r>
        <w:t xml:space="preserve"> – the draft amendment will outline key infrastructure required for the precinct and relevant funding mechanism to </w:t>
      </w:r>
      <w:r w:rsidRPr="00E02B20">
        <w:t xml:space="preserve">development of the precinct </w:t>
      </w:r>
      <w:r>
        <w:t>is aligned with the delivery of</w:t>
      </w:r>
      <w:r w:rsidRPr="00E02B20">
        <w:t xml:space="preserve"> necessary infrastructure</w:t>
      </w:r>
      <w:r>
        <w:t>.</w:t>
      </w:r>
    </w:p>
    <w:p w:rsidR="00A15C2E" w:rsidP="002A0FE5" w:rsidRDefault="00A15C2E" w14:paraId="19A03445" w14:textId="77777777">
      <w:pPr>
        <w:pStyle w:val="Heading3"/>
      </w:pPr>
      <w:r>
        <w:t>Does the amendment make proper use of the Victoria Planning Provisions?</w:t>
      </w:r>
    </w:p>
    <w:p w:rsidRPr="00DC17C3" w:rsidR="00DC17C3" w:rsidP="00DC17C3" w:rsidRDefault="00DC17C3" w14:paraId="77706CB9" w14:textId="59427539">
      <w:r>
        <w:t xml:space="preserve">The draft amendment makes propose use of the </w:t>
      </w:r>
      <w:r w:rsidR="009E6409">
        <w:t>Victorian</w:t>
      </w:r>
      <w:r>
        <w:t xml:space="preserve"> Planning Provisions. </w:t>
      </w:r>
      <w:r w:rsidR="009E6409">
        <w:t xml:space="preserve">The draft amendment will rezone land in the precinct to IN1Z. </w:t>
      </w:r>
      <w:r w:rsidR="005100ED">
        <w:t xml:space="preserve"> The combination of the IN1Z and DPO will direct land use and development in an appropriate manner for the delivery of the precinct. </w:t>
      </w:r>
    </w:p>
    <w:p w:rsidR="00A15C2E" w:rsidP="00EA42D7" w:rsidRDefault="00A15C2E" w14:paraId="13791095" w14:textId="77777777">
      <w:pPr>
        <w:pStyle w:val="Heading3"/>
      </w:pPr>
      <w:r>
        <w:t>How does the amendment address the views of any relevant agency?</w:t>
      </w:r>
    </w:p>
    <w:p w:rsidR="000439D5" w:rsidP="005100ED" w:rsidRDefault="000439D5" w14:paraId="7F3B2DF0" w14:textId="1EB77BB6">
      <w:r>
        <w:t xml:space="preserve">The amendment has been prepared in consultation with the relevant agencies including: </w:t>
      </w:r>
    </w:p>
    <w:p w:rsidR="0065735D" w:rsidP="000439D5" w:rsidRDefault="0065735D" w14:paraId="4166D163" w14:textId="77777777">
      <w:pPr>
        <w:pStyle w:val="ListParagraph"/>
        <w:numPr>
          <w:ilvl w:val="0"/>
          <w:numId w:val="31"/>
        </w:numPr>
      </w:pPr>
      <w:r>
        <w:t>Country Fire Authority</w:t>
      </w:r>
    </w:p>
    <w:p w:rsidR="0065735D" w:rsidP="000439D5" w:rsidRDefault="0065735D" w14:paraId="6B589BEC" w14:textId="7BE8BB46">
      <w:pPr>
        <w:pStyle w:val="ListParagraph"/>
        <w:numPr>
          <w:ilvl w:val="0"/>
          <w:numId w:val="31"/>
        </w:numPr>
      </w:pPr>
      <w:proofErr w:type="spellStart"/>
      <w:r>
        <w:t>Coliban</w:t>
      </w:r>
      <w:proofErr w:type="spellEnd"/>
      <w:r>
        <w:t xml:space="preserve"> Water</w:t>
      </w:r>
    </w:p>
    <w:p w:rsidR="00E4366D" w:rsidP="000439D5" w:rsidRDefault="00E4366D" w14:paraId="07FEC6BF" w14:textId="7975CA1C">
      <w:pPr>
        <w:pStyle w:val="ListParagraph"/>
        <w:numPr>
          <w:ilvl w:val="0"/>
          <w:numId w:val="31"/>
        </w:numPr>
      </w:pPr>
      <w:r>
        <w:t>City of Greater Bendigo</w:t>
      </w:r>
    </w:p>
    <w:p w:rsidR="00E4366D" w:rsidP="000439D5" w:rsidRDefault="0058174E" w14:paraId="7FD8B77A" w14:textId="77777777">
      <w:pPr>
        <w:pStyle w:val="ListParagraph"/>
        <w:numPr>
          <w:ilvl w:val="0"/>
          <w:numId w:val="31"/>
        </w:numPr>
      </w:pPr>
      <w:r>
        <w:lastRenderedPageBreak/>
        <w:t>Environment Protection Authority</w:t>
      </w:r>
    </w:p>
    <w:p w:rsidR="00E4366D" w:rsidP="000439D5" w:rsidRDefault="00730416" w14:paraId="47A6545D" w14:textId="7C151E18">
      <w:pPr>
        <w:pStyle w:val="ListParagraph"/>
        <w:numPr>
          <w:ilvl w:val="0"/>
          <w:numId w:val="31"/>
        </w:numPr>
      </w:pPr>
      <w:r>
        <w:t>Department of En</w:t>
      </w:r>
      <w:r w:rsidR="003B1001">
        <w:t>ergy, Environment</w:t>
      </w:r>
      <w:r>
        <w:t xml:space="preserve"> and Climate Action</w:t>
      </w:r>
    </w:p>
    <w:p w:rsidR="00223AB7" w:rsidP="000439D5" w:rsidRDefault="00CA35F9" w14:paraId="27C85F97" w14:textId="2BD77529">
      <w:pPr>
        <w:pStyle w:val="ListParagraph"/>
        <w:numPr>
          <w:ilvl w:val="0"/>
          <w:numId w:val="31"/>
        </w:numPr>
      </w:pPr>
      <w:r>
        <w:t>Department of Jobs, Skills, Industry and Regions</w:t>
      </w:r>
    </w:p>
    <w:p w:rsidR="004C449F" w:rsidP="000439D5" w:rsidRDefault="004C449F" w14:paraId="31ABECE7" w14:textId="58E47FFA">
      <w:pPr>
        <w:pStyle w:val="ListParagraph"/>
        <w:numPr>
          <w:ilvl w:val="0"/>
          <w:numId w:val="31"/>
        </w:numPr>
      </w:pPr>
      <w:r>
        <w:t xml:space="preserve">Dja </w:t>
      </w:r>
      <w:proofErr w:type="spellStart"/>
      <w:r>
        <w:t>Dja</w:t>
      </w:r>
      <w:proofErr w:type="spellEnd"/>
      <w:r>
        <w:t xml:space="preserve"> Wurrung Clans Aboriginal Corporation</w:t>
      </w:r>
    </w:p>
    <w:p w:rsidR="004C449F" w:rsidP="000439D5" w:rsidRDefault="00A548E6" w14:paraId="46B1958B" w14:textId="2913C67F">
      <w:pPr>
        <w:pStyle w:val="ListParagraph"/>
        <w:numPr>
          <w:ilvl w:val="0"/>
          <w:numId w:val="31"/>
        </w:numPr>
      </w:pPr>
      <w:r>
        <w:t>North Central Catchment Authority</w:t>
      </w:r>
    </w:p>
    <w:p w:rsidRPr="005100ED" w:rsidR="005100ED" w:rsidP="00E92EC3" w:rsidRDefault="00BB56FA" w14:paraId="639B3678" w14:textId="792541D5">
      <w:pPr>
        <w:pStyle w:val="ListParagraph"/>
        <w:numPr>
          <w:ilvl w:val="0"/>
          <w:numId w:val="31"/>
        </w:numPr>
      </w:pPr>
      <w:r>
        <w:t>Regional Development Victoria</w:t>
      </w:r>
    </w:p>
    <w:p w:rsidR="00A15C2E" w:rsidP="00B32747" w:rsidRDefault="00A15C2E" w14:paraId="5740C54D" w14:textId="6CA6E1FC">
      <w:pPr>
        <w:pStyle w:val="Heading3"/>
      </w:pPr>
      <w:r>
        <w:t>Does the amendment address relevant requirements of the Transport Integration Act 2010?</w:t>
      </w:r>
    </w:p>
    <w:p w:rsidRPr="00704AA3" w:rsidR="00A57A9C" w:rsidP="32AF42BF" w:rsidRDefault="00A57A9C" w14:paraId="47490C1D" w14:textId="56B83577">
      <w:pPr>
        <w:rPr>
          <w:rFonts w:eastAsia="Arial" w:cs="Arial"/>
          <w:color w:val="000000" w:themeColor="text1"/>
        </w:rPr>
      </w:pPr>
      <w:r w:rsidRPr="32AF42BF">
        <w:rPr>
          <w:rFonts w:eastAsia="Arial" w:cs="Arial"/>
          <w:color w:val="000000" w:themeColor="text1"/>
        </w:rPr>
        <w:t xml:space="preserve">The </w:t>
      </w:r>
      <w:r w:rsidR="00B91EB9">
        <w:rPr>
          <w:rFonts w:eastAsia="Arial" w:cs="Arial"/>
          <w:color w:val="000000" w:themeColor="text1"/>
        </w:rPr>
        <w:t>DTP</w:t>
      </w:r>
      <w:r w:rsidRPr="32AF42BF">
        <w:rPr>
          <w:rFonts w:eastAsia="Arial" w:cs="Arial"/>
          <w:color w:val="000000" w:themeColor="text1"/>
        </w:rPr>
        <w:t xml:space="preserve"> </w:t>
      </w:r>
      <w:proofErr w:type="gramStart"/>
      <w:r w:rsidRPr="32AF42BF">
        <w:rPr>
          <w:rFonts w:eastAsia="Arial" w:cs="Arial"/>
          <w:color w:val="000000" w:themeColor="text1"/>
        </w:rPr>
        <w:t>in itself and</w:t>
      </w:r>
      <w:proofErr w:type="gramEnd"/>
      <w:r w:rsidRPr="32AF42BF">
        <w:rPr>
          <w:rFonts w:eastAsia="Arial" w:cs="Arial"/>
          <w:color w:val="000000" w:themeColor="text1"/>
        </w:rPr>
        <w:t xml:space="preserve"> acting as a planning authority is an ‘interface body’ under the </w:t>
      </w:r>
      <w:r w:rsidRPr="32AF42BF">
        <w:rPr>
          <w:rFonts w:eastAsia="Arial" w:cs="Arial"/>
          <w:i/>
          <w:iCs/>
          <w:color w:val="000000" w:themeColor="text1"/>
        </w:rPr>
        <w:t>Transport Integration Act 2010</w:t>
      </w:r>
      <w:r w:rsidRPr="32AF42BF">
        <w:rPr>
          <w:rFonts w:eastAsia="Arial" w:cs="Arial"/>
          <w:color w:val="000000" w:themeColor="text1"/>
        </w:rPr>
        <w:t xml:space="preserve">. Under section 25 of that Act: </w:t>
      </w:r>
    </w:p>
    <w:p w:rsidRPr="00704AA3" w:rsidR="00A57A9C" w:rsidP="00A57A9C" w:rsidRDefault="00A57A9C" w14:paraId="586288AE" w14:textId="77777777">
      <w:pPr>
        <w:ind w:left="426"/>
        <w:rPr>
          <w:rFonts w:eastAsia="Arial" w:cs="Arial"/>
          <w:color w:val="000000" w:themeColor="text1"/>
          <w:szCs w:val="24"/>
        </w:rPr>
      </w:pPr>
      <w:r w:rsidRPr="00704AA3">
        <w:rPr>
          <w:rFonts w:eastAsia="Arial" w:cs="Arial"/>
          <w:i/>
          <w:iCs/>
          <w:color w:val="000000" w:themeColor="text1"/>
          <w:szCs w:val="24"/>
        </w:rPr>
        <w:t xml:space="preserve">(1) An interface body must have regard to the transport system objectives when exercising powers and performing functions under any interface legislation which are likely to have a significant impact on the transport system. </w:t>
      </w:r>
    </w:p>
    <w:p w:rsidRPr="007A7B38" w:rsidR="00A57A9C" w:rsidP="00A57A9C" w:rsidRDefault="00A57A9C" w14:paraId="57225460" w14:textId="77777777">
      <w:pPr>
        <w:ind w:left="426"/>
        <w:rPr>
          <w:rFonts w:eastAsia="Arial" w:cs="Arial"/>
          <w:color w:val="000000" w:themeColor="text1"/>
          <w:szCs w:val="24"/>
        </w:rPr>
      </w:pPr>
      <w:r w:rsidRPr="00704AA3">
        <w:rPr>
          <w:rFonts w:eastAsia="Arial" w:cs="Arial"/>
          <w:i/>
          <w:iCs/>
          <w:color w:val="000000" w:themeColor="text1"/>
          <w:szCs w:val="24"/>
        </w:rPr>
        <w:t xml:space="preserve">(2) An interface body must have regard to the decision making principles in making decision under any interface legislation which are likely to have a significant impact on the transport system. </w:t>
      </w:r>
    </w:p>
    <w:p w:rsidR="00A57A9C" w:rsidP="00995D4A" w:rsidRDefault="00A57A9C" w14:paraId="216D02CD" w14:textId="056333D0">
      <w:r w:rsidRPr="008D6021">
        <w:t xml:space="preserve">The amendment is </w:t>
      </w:r>
      <w:r>
        <w:t xml:space="preserve">not </w:t>
      </w:r>
      <w:r w:rsidRPr="008D6021">
        <w:t xml:space="preserve">likely to have a significant impact on the transport system at a local level. </w:t>
      </w:r>
      <w:r>
        <w:t xml:space="preserve">It is noted however that DPO34 will require the preparation of further transport impact assessments as part of preparation of the development plan. </w:t>
      </w:r>
    </w:p>
    <w:p w:rsidRPr="00704AA3" w:rsidR="009E6F32" w:rsidP="009E6F32" w:rsidRDefault="009E6F32" w14:paraId="2B9D8CCC" w14:textId="79E111DC">
      <w:pPr>
        <w:rPr>
          <w:rFonts w:eastAsia="Arial" w:cs="Arial"/>
          <w:color w:val="000000" w:themeColor="text1"/>
          <w:szCs w:val="24"/>
        </w:rPr>
      </w:pPr>
      <w:r w:rsidRPr="00704AA3">
        <w:rPr>
          <w:rFonts w:eastAsia="Arial" w:cs="Arial"/>
          <w:color w:val="000000" w:themeColor="text1"/>
          <w:szCs w:val="24"/>
        </w:rPr>
        <w:t xml:space="preserve">The proposed additions and changes to the existing transport system in and surrounding the </w:t>
      </w:r>
      <w:r>
        <w:rPr>
          <w:rFonts w:eastAsia="Arial" w:cs="Arial"/>
          <w:color w:val="000000" w:themeColor="text1"/>
          <w:szCs w:val="24"/>
        </w:rPr>
        <w:t>BREP</w:t>
      </w:r>
      <w:r w:rsidRPr="00704AA3">
        <w:rPr>
          <w:rFonts w:eastAsia="Arial" w:cs="Arial"/>
          <w:color w:val="000000" w:themeColor="text1"/>
          <w:szCs w:val="24"/>
        </w:rPr>
        <w:t xml:space="preserve"> area will meet the transport system objectives by:</w:t>
      </w:r>
    </w:p>
    <w:p w:rsidRPr="00704AA3" w:rsidR="009E6F32" w:rsidP="009E6F32" w:rsidRDefault="009E6F32" w14:paraId="562F428D" w14:textId="77777777">
      <w:pPr>
        <w:pStyle w:val="ListParagraph"/>
        <w:numPr>
          <w:ilvl w:val="0"/>
          <w:numId w:val="32"/>
        </w:numPr>
        <w:spacing w:line="240" w:lineRule="auto"/>
        <w:contextualSpacing w:val="0"/>
        <w:rPr>
          <w:rFonts w:eastAsia="Arial" w:cs="Arial"/>
          <w:color w:val="000000" w:themeColor="text1"/>
          <w:szCs w:val="24"/>
        </w:rPr>
      </w:pPr>
      <w:r w:rsidRPr="00704AA3">
        <w:rPr>
          <w:rFonts w:eastAsia="Arial" w:cs="Arial"/>
          <w:color w:val="000000" w:themeColor="text1"/>
          <w:szCs w:val="24"/>
        </w:rPr>
        <w:t xml:space="preserve">Providing for an interconnected road system that responds to the likely level of use generated by the precinct and hence facilitating investment in </w:t>
      </w:r>
      <w:r>
        <w:rPr>
          <w:rFonts w:eastAsia="Arial" w:cs="Arial"/>
          <w:color w:val="000000" w:themeColor="text1"/>
          <w:szCs w:val="24"/>
        </w:rPr>
        <w:t>to a planned employment precinct</w:t>
      </w:r>
      <w:r w:rsidRPr="00704AA3">
        <w:rPr>
          <w:rFonts w:eastAsia="Arial" w:cs="Arial"/>
          <w:color w:val="000000" w:themeColor="text1"/>
          <w:szCs w:val="24"/>
        </w:rPr>
        <w:t xml:space="preserve">. </w:t>
      </w:r>
    </w:p>
    <w:p w:rsidRPr="00704AA3" w:rsidR="009E6F32" w:rsidP="009E6F32" w:rsidRDefault="009E6F32" w14:paraId="6E191042" w14:textId="77777777">
      <w:pPr>
        <w:pStyle w:val="ListParagraph"/>
        <w:numPr>
          <w:ilvl w:val="0"/>
          <w:numId w:val="32"/>
        </w:numPr>
        <w:spacing w:line="240" w:lineRule="auto"/>
        <w:contextualSpacing w:val="0"/>
        <w:rPr>
          <w:rFonts w:eastAsia="Arial" w:cs="Arial"/>
          <w:color w:val="000000" w:themeColor="text1"/>
          <w:szCs w:val="24"/>
        </w:rPr>
      </w:pPr>
      <w:r w:rsidRPr="00704AA3">
        <w:rPr>
          <w:rFonts w:eastAsia="Arial" w:cs="Arial"/>
          <w:color w:val="000000" w:themeColor="text1"/>
          <w:szCs w:val="24"/>
        </w:rPr>
        <w:t xml:space="preserve">Transport development infrastructure provided for via </w:t>
      </w:r>
      <w:r>
        <w:rPr>
          <w:rFonts w:eastAsia="Arial" w:cs="Arial"/>
          <w:color w:val="000000" w:themeColor="text1"/>
          <w:szCs w:val="24"/>
        </w:rPr>
        <w:t>a Section 173 Agreement</w:t>
      </w:r>
      <w:r w:rsidRPr="00704AA3">
        <w:rPr>
          <w:rFonts w:eastAsia="Arial" w:cs="Arial"/>
          <w:color w:val="000000" w:themeColor="text1"/>
          <w:szCs w:val="24"/>
        </w:rPr>
        <w:t xml:space="preserve"> will be provided as sufficient demand arises for the relevant infrastructure item</w:t>
      </w:r>
      <w:r>
        <w:rPr>
          <w:rFonts w:eastAsia="Arial" w:cs="Arial"/>
          <w:color w:val="000000" w:themeColor="text1"/>
          <w:szCs w:val="24"/>
        </w:rPr>
        <w:t>s</w:t>
      </w:r>
      <w:r w:rsidRPr="00704AA3">
        <w:rPr>
          <w:rFonts w:eastAsia="Arial" w:cs="Arial"/>
          <w:color w:val="000000" w:themeColor="text1"/>
          <w:szCs w:val="24"/>
        </w:rPr>
        <w:t xml:space="preserve"> and provides the opportunity for the efficient construction of items concurrent with subdivision and development. </w:t>
      </w:r>
    </w:p>
    <w:p w:rsidRPr="00704AA3" w:rsidR="009E6F32" w:rsidP="009E6F32" w:rsidRDefault="009E6F32" w14:paraId="5291A98A" w14:textId="77777777">
      <w:pPr>
        <w:pStyle w:val="ListParagraph"/>
        <w:numPr>
          <w:ilvl w:val="0"/>
          <w:numId w:val="32"/>
        </w:numPr>
        <w:spacing w:line="240" w:lineRule="auto"/>
        <w:contextualSpacing w:val="0"/>
        <w:rPr>
          <w:rFonts w:eastAsia="Arial" w:cs="Arial"/>
          <w:color w:val="000000" w:themeColor="text1"/>
          <w:szCs w:val="24"/>
        </w:rPr>
      </w:pPr>
      <w:r w:rsidRPr="00704AA3">
        <w:rPr>
          <w:rFonts w:eastAsia="Arial" w:cs="Arial"/>
          <w:color w:val="000000" w:themeColor="text1"/>
          <w:szCs w:val="24"/>
        </w:rPr>
        <w:t xml:space="preserve">Involving relevant government bodies involved in the provision of transport infrastructure and services in the decision making process of </w:t>
      </w:r>
      <w:r>
        <w:rPr>
          <w:rFonts w:eastAsia="Arial" w:cs="Arial"/>
          <w:color w:val="000000" w:themeColor="text1"/>
          <w:szCs w:val="24"/>
        </w:rPr>
        <w:t>the amendment</w:t>
      </w:r>
      <w:r w:rsidRPr="00704AA3">
        <w:rPr>
          <w:rFonts w:eastAsia="Arial" w:cs="Arial"/>
          <w:color w:val="000000" w:themeColor="text1"/>
          <w:szCs w:val="24"/>
        </w:rPr>
        <w:t>.</w:t>
      </w:r>
    </w:p>
    <w:p w:rsidR="003F113A" w:rsidP="00995D4A" w:rsidRDefault="003F113A" w14:paraId="40B6EB47" w14:textId="77777777"/>
    <w:p w:rsidR="00642CF8" w:rsidP="00642CF8" w:rsidRDefault="00642CF8" w14:paraId="15106896" w14:textId="77777777">
      <w:pPr>
        <w:pStyle w:val="Heading3"/>
      </w:pPr>
      <w:r w:rsidRPr="00F15F6C">
        <w:t xml:space="preserve">How does the amendment have regard to the principles set out in the </w:t>
      </w:r>
      <w:bookmarkStart w:name="_Hlk193114501" w:id="2"/>
      <w:r w:rsidRPr="00303DE5">
        <w:t>Yarra River Protection (</w:t>
      </w:r>
      <w:proofErr w:type="spellStart"/>
      <w:r w:rsidRPr="00303DE5">
        <w:t>Wilip</w:t>
      </w:r>
      <w:proofErr w:type="spellEnd"/>
      <w:r w:rsidRPr="00303DE5">
        <w:t xml:space="preserve">-gin Birrarung </w:t>
      </w:r>
      <w:proofErr w:type="spellStart"/>
      <w:r w:rsidRPr="00303DE5">
        <w:t>murron</w:t>
      </w:r>
      <w:proofErr w:type="spellEnd"/>
      <w:r w:rsidRPr="00303DE5">
        <w:t>) Act 2017</w:t>
      </w:r>
      <w:r w:rsidRPr="00F15F6C">
        <w:t xml:space="preserve"> </w:t>
      </w:r>
      <w:bookmarkEnd w:id="2"/>
      <w:r w:rsidRPr="00F15F6C">
        <w:t>in relation to Yarra River land and other land, the use or development of which may affect Yarra River land?</w:t>
      </w:r>
    </w:p>
    <w:p w:rsidRPr="00995D4A" w:rsidR="00642CF8" w:rsidP="00995D4A" w:rsidRDefault="00642CF8" w14:paraId="489E75E0" w14:textId="180E1CF0">
      <w:r>
        <w:t>Not applicable as the amendment will have no impact on the Yarra River.</w:t>
      </w:r>
    </w:p>
    <w:p w:rsidR="00A15C2E" w:rsidP="009A4561" w:rsidRDefault="00A15C2E" w14:paraId="544B578E" w14:textId="77777777">
      <w:pPr>
        <w:pStyle w:val="Heading2"/>
      </w:pPr>
      <w:r>
        <w:t>Resource and administrative costs</w:t>
      </w:r>
    </w:p>
    <w:p w:rsidR="00A15C2E" w:rsidP="009A4561" w:rsidRDefault="00A15C2E" w14:paraId="696AB860" w14:textId="4639593A">
      <w:pPr>
        <w:pStyle w:val="Heading3"/>
      </w:pPr>
      <w:r>
        <w:lastRenderedPageBreak/>
        <w:t xml:space="preserve">What impact will the new planning provisions have on the resource and </w:t>
      </w:r>
      <w:r w:rsidR="00995D4A">
        <w:t>administrative</w:t>
      </w:r>
      <w:r>
        <w:t xml:space="preserve"> costs of the responsible authority?</w:t>
      </w:r>
    </w:p>
    <w:p w:rsidR="00B04226" w:rsidP="00B04226" w:rsidRDefault="00B04226" w14:paraId="18F70153" w14:textId="77777777">
      <w:r w:rsidRPr="00670FDB">
        <w:t xml:space="preserve">The draft amendment </w:t>
      </w:r>
      <w:r>
        <w:t xml:space="preserve">will require the responsible authority to assess and approve a development plan for the precinct, as well as any subsequent amendments to the development plan if proponent led. </w:t>
      </w:r>
    </w:p>
    <w:p w:rsidRPr="007A462A" w:rsidR="00B04226" w:rsidP="00B04226" w:rsidRDefault="7950296C" w14:paraId="56FA83B3" w14:textId="25753903">
      <w:r>
        <w:t xml:space="preserve">The </w:t>
      </w:r>
      <w:r w:rsidR="00B04226">
        <w:t>DPO34 will facilitate the orderly and proper planning of the area and appropriately allows for a reduction of notice provisions for future planning permit applications. On this basis, the draft amendment is expected to have minimal impact on the resources and administrative costs of the responsible authority.</w:t>
      </w:r>
    </w:p>
    <w:p w:rsidR="009A4561" w:rsidRDefault="009A4561" w14:paraId="7A9884EF" w14:textId="77777777">
      <w:pPr>
        <w:widowControl/>
        <w:autoSpaceDE/>
        <w:autoSpaceDN/>
        <w:spacing w:after="200"/>
      </w:pPr>
      <w:r>
        <w:br w:type="page"/>
      </w:r>
    </w:p>
    <w:p w:rsidR="00A15C2E" w:rsidP="009A4561" w:rsidRDefault="00A15C2E" w14:paraId="4830B2AB" w14:textId="2178F6B3">
      <w:pPr>
        <w:pStyle w:val="Heading2"/>
      </w:pPr>
      <w:r>
        <w:lastRenderedPageBreak/>
        <w:t>A</w:t>
      </w:r>
      <w:r w:rsidR="009A4561">
        <w:t>ttachment</w:t>
      </w:r>
      <w:r>
        <w:t xml:space="preserve"> </w:t>
      </w:r>
      <w:r w:rsidR="0049385F">
        <w:t>1</w:t>
      </w:r>
      <w:r>
        <w:t xml:space="preserve"> </w:t>
      </w:r>
      <w:r w:rsidR="00F741A5">
        <w:t>–</w:t>
      </w:r>
      <w:r>
        <w:t xml:space="preserve"> Mapping reference table</w:t>
      </w:r>
    </w:p>
    <w:tbl>
      <w:tblPr>
        <w:tblW w:w="94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1502"/>
        <w:gridCol w:w="1210"/>
        <w:gridCol w:w="1412"/>
        <w:gridCol w:w="1276"/>
        <w:gridCol w:w="1344"/>
        <w:gridCol w:w="1344"/>
        <w:gridCol w:w="1371"/>
      </w:tblGrid>
      <w:tr w:rsidRPr="009A4561" w:rsidR="00302296" w:rsidTr="00E92EC3" w14:paraId="18A0C2F3" w14:textId="77777777">
        <w:trPr>
          <w:trHeight w:val="579"/>
          <w:tblHeader/>
        </w:trPr>
        <w:tc>
          <w:tcPr>
            <w:tcW w:w="1545" w:type="dxa"/>
            <w:shd w:val="clear" w:color="auto" w:fill="BFBFBF" w:themeFill="background1" w:themeFillShade="BF"/>
          </w:tcPr>
          <w:p w:rsidRPr="00DE17C1" w:rsidR="00302296" w:rsidP="00DE17C1" w:rsidRDefault="00302296" w14:paraId="0F432F0E" w14:textId="77777777">
            <w:pPr>
              <w:pStyle w:val="Tableheader"/>
            </w:pPr>
            <w:r w:rsidRPr="00DE17C1">
              <w:t xml:space="preserve">Location </w:t>
            </w:r>
          </w:p>
        </w:tc>
        <w:tc>
          <w:tcPr>
            <w:tcW w:w="1104" w:type="dxa"/>
            <w:shd w:val="clear" w:color="auto" w:fill="BFBFBF" w:themeFill="background1" w:themeFillShade="BF"/>
          </w:tcPr>
          <w:p w:rsidRPr="00DE17C1" w:rsidR="00302296" w:rsidP="00DE17C1" w:rsidRDefault="00302296" w14:paraId="1F70D2E7" w14:textId="77777777">
            <w:pPr>
              <w:pStyle w:val="Tableheader"/>
            </w:pPr>
            <w:r w:rsidRPr="00DE17C1">
              <w:t>Land /Area Affected</w:t>
            </w:r>
          </w:p>
        </w:tc>
        <w:tc>
          <w:tcPr>
            <w:tcW w:w="1425" w:type="dxa"/>
            <w:shd w:val="clear" w:color="auto" w:fill="BFBFBF" w:themeFill="background1" w:themeFillShade="BF"/>
          </w:tcPr>
          <w:p w:rsidRPr="00DE17C1" w:rsidR="00302296" w:rsidP="00DE17C1" w:rsidRDefault="00302296" w14:paraId="46579ED7" w14:textId="77777777">
            <w:pPr>
              <w:pStyle w:val="Tableheader"/>
            </w:pPr>
            <w:r w:rsidRPr="00DE17C1">
              <w:t>Mapping Reference</w:t>
            </w:r>
          </w:p>
        </w:tc>
        <w:tc>
          <w:tcPr>
            <w:tcW w:w="1307" w:type="dxa"/>
            <w:shd w:val="clear" w:color="auto" w:fill="BFBFBF" w:themeFill="background1" w:themeFillShade="BF"/>
          </w:tcPr>
          <w:p w:rsidRPr="00DE17C1" w:rsidR="00302296" w:rsidP="00DE17C1" w:rsidRDefault="00302296" w14:paraId="2A757D6A" w14:textId="77777777">
            <w:pPr>
              <w:pStyle w:val="Tableheader"/>
            </w:pPr>
            <w:r w:rsidRPr="00DE17C1">
              <w:t>Address</w:t>
            </w:r>
          </w:p>
        </w:tc>
        <w:tc>
          <w:tcPr>
            <w:tcW w:w="1344" w:type="dxa"/>
            <w:shd w:val="clear" w:color="auto" w:fill="BFBFBF" w:themeFill="background1" w:themeFillShade="BF"/>
          </w:tcPr>
          <w:p w:rsidRPr="00DE17C1" w:rsidR="00302296" w:rsidP="00DE17C1" w:rsidRDefault="00302296" w14:paraId="78592724" w14:textId="77777777">
            <w:pPr>
              <w:pStyle w:val="Tableheader"/>
            </w:pPr>
            <w:r w:rsidRPr="00DE17C1">
              <w:t>Proposed Zone changes</w:t>
            </w:r>
          </w:p>
        </w:tc>
        <w:tc>
          <w:tcPr>
            <w:tcW w:w="1344" w:type="dxa"/>
            <w:shd w:val="clear" w:color="auto" w:fill="BFBFBF" w:themeFill="background1" w:themeFillShade="BF"/>
          </w:tcPr>
          <w:p w:rsidRPr="00DE17C1" w:rsidR="00302296" w:rsidP="00DE17C1" w:rsidRDefault="00302296" w14:paraId="0F3F95E7" w14:textId="77777777">
            <w:pPr>
              <w:pStyle w:val="Tableheader"/>
            </w:pPr>
            <w:r w:rsidRPr="00DE17C1">
              <w:t>Proposed Overlay changes</w:t>
            </w:r>
          </w:p>
        </w:tc>
        <w:tc>
          <w:tcPr>
            <w:tcW w:w="1390" w:type="dxa"/>
            <w:shd w:val="clear" w:color="auto" w:fill="BFBFBF" w:themeFill="background1" w:themeFillShade="BF"/>
          </w:tcPr>
          <w:p w:rsidRPr="00DE17C1" w:rsidR="00302296" w:rsidP="00DE17C1" w:rsidRDefault="00302296" w14:paraId="15668248" w14:textId="77777777">
            <w:pPr>
              <w:pStyle w:val="Tableheader"/>
            </w:pPr>
            <w:r w:rsidRPr="00DE17C1">
              <w:t>Proposed deletion</w:t>
            </w:r>
            <w:r w:rsidRPr="00DE17C1" w:rsidR="007E6F44">
              <w:t xml:space="preserve"> changes</w:t>
            </w:r>
          </w:p>
        </w:tc>
      </w:tr>
      <w:tr w:rsidRPr="009A4561" w:rsidR="009A4561" w:rsidTr="00E92EC3" w14:paraId="5A2C7CC7" w14:textId="77777777">
        <w:trPr>
          <w:trHeight w:val="910"/>
        </w:trPr>
        <w:tc>
          <w:tcPr>
            <w:tcW w:w="1545" w:type="dxa"/>
          </w:tcPr>
          <w:p w:rsidRPr="0049385F" w:rsidR="009A4561" w:rsidP="00DE17C1" w:rsidRDefault="0064369C" w14:paraId="6A639FFE" w14:textId="7311F7A9">
            <w:pPr>
              <w:pStyle w:val="Tabletext"/>
              <w:rPr>
                <w:color w:val="auto"/>
              </w:rPr>
            </w:pPr>
            <w:r w:rsidRPr="0049385F">
              <w:rPr>
                <w:color w:val="auto"/>
              </w:rPr>
              <w:t>Bendigo Regional Employment Precinct</w:t>
            </w:r>
          </w:p>
        </w:tc>
        <w:tc>
          <w:tcPr>
            <w:tcW w:w="1104" w:type="dxa"/>
          </w:tcPr>
          <w:p w:rsidRPr="0049385F" w:rsidR="009A4561" w:rsidP="00DE17C1" w:rsidRDefault="0064369C" w14:paraId="0AFDCA90" w14:textId="7FC20971">
            <w:pPr>
              <w:pStyle w:val="Tabletext"/>
              <w:rPr>
                <w:color w:val="auto"/>
              </w:rPr>
            </w:pPr>
            <w:r w:rsidRPr="0049385F">
              <w:rPr>
                <w:color w:val="auto"/>
              </w:rPr>
              <w:t xml:space="preserve">The entire precinct identified in Map 1. </w:t>
            </w:r>
          </w:p>
        </w:tc>
        <w:tc>
          <w:tcPr>
            <w:tcW w:w="1425" w:type="dxa"/>
          </w:tcPr>
          <w:p w:rsidRPr="0049385F" w:rsidR="009A4561" w:rsidP="00DE17C1" w:rsidRDefault="0064369C" w14:paraId="4550B062" w14:textId="1DED15FE">
            <w:pPr>
              <w:pStyle w:val="Tabletext"/>
              <w:rPr>
                <w:color w:val="auto"/>
              </w:rPr>
            </w:pPr>
            <w:r w:rsidRPr="0049385F">
              <w:rPr>
                <w:color w:val="auto"/>
              </w:rPr>
              <w:t>C296gben Map No. 5</w:t>
            </w:r>
            <w:r w:rsidRPr="0049385F" w:rsidR="009A4561">
              <w:rPr>
                <w:color w:val="auto"/>
              </w:rPr>
              <w:t xml:space="preserve"> </w:t>
            </w:r>
            <w:r w:rsidR="00BC01DD">
              <w:rPr>
                <w:color w:val="auto"/>
              </w:rPr>
              <w:t>and 6</w:t>
            </w:r>
          </w:p>
        </w:tc>
        <w:tc>
          <w:tcPr>
            <w:tcW w:w="1307" w:type="dxa"/>
          </w:tcPr>
          <w:p w:rsidRPr="0049385F" w:rsidR="009A4561" w:rsidP="00DE17C1" w:rsidRDefault="0064369C" w14:paraId="438B70AD" w14:textId="7637B287">
            <w:pPr>
              <w:pStyle w:val="Tabletext"/>
              <w:rPr>
                <w:color w:val="auto"/>
              </w:rPr>
            </w:pPr>
            <w:r w:rsidRPr="0049385F">
              <w:rPr>
                <w:color w:val="auto"/>
              </w:rPr>
              <w:t xml:space="preserve">Numerous </w:t>
            </w:r>
          </w:p>
        </w:tc>
        <w:tc>
          <w:tcPr>
            <w:tcW w:w="1344" w:type="dxa"/>
          </w:tcPr>
          <w:p w:rsidRPr="0049385F" w:rsidR="009A4561" w:rsidP="00DE17C1" w:rsidRDefault="0064369C" w14:paraId="576E64DA" w14:textId="68E5CAE4">
            <w:pPr>
              <w:pStyle w:val="Tabletext"/>
              <w:rPr>
                <w:color w:val="auto"/>
              </w:rPr>
            </w:pPr>
            <w:r w:rsidRPr="0049385F">
              <w:rPr>
                <w:color w:val="auto"/>
              </w:rPr>
              <w:t>Rezone from FZ to IN1Z</w:t>
            </w:r>
          </w:p>
        </w:tc>
        <w:tc>
          <w:tcPr>
            <w:tcW w:w="1344" w:type="dxa"/>
          </w:tcPr>
          <w:p w:rsidRPr="0049385F" w:rsidR="009A4561" w:rsidP="00DE17C1" w:rsidRDefault="009A4561" w14:paraId="411FEE64" w14:textId="2FC20FE3">
            <w:pPr>
              <w:pStyle w:val="Tabletext"/>
              <w:rPr>
                <w:color w:val="auto"/>
              </w:rPr>
            </w:pPr>
          </w:p>
        </w:tc>
        <w:tc>
          <w:tcPr>
            <w:tcW w:w="1390" w:type="dxa"/>
          </w:tcPr>
          <w:p w:rsidRPr="0049385F" w:rsidR="009A4561" w:rsidP="00DE17C1" w:rsidRDefault="009A4561" w14:paraId="01093B16" w14:textId="27881FE5">
            <w:pPr>
              <w:pStyle w:val="Tabletext"/>
              <w:rPr>
                <w:color w:val="auto"/>
              </w:rPr>
            </w:pPr>
            <w:r w:rsidRPr="0049385F">
              <w:rPr>
                <w:color w:val="auto"/>
              </w:rPr>
              <w:t xml:space="preserve"> </w:t>
            </w:r>
          </w:p>
        </w:tc>
      </w:tr>
      <w:tr w:rsidRPr="009A4561" w:rsidR="009A4561" w:rsidTr="00E92EC3" w14:paraId="4257F148" w14:textId="77777777">
        <w:trPr>
          <w:trHeight w:val="1593"/>
        </w:trPr>
        <w:tc>
          <w:tcPr>
            <w:tcW w:w="1545" w:type="dxa"/>
          </w:tcPr>
          <w:p w:rsidRPr="0049385F" w:rsidR="009A4561" w:rsidP="00DE17C1" w:rsidRDefault="0049385F" w14:paraId="7A56EDAC" w14:textId="5A60AE36">
            <w:pPr>
              <w:pStyle w:val="Tabletext"/>
              <w:rPr>
                <w:color w:val="auto"/>
              </w:rPr>
            </w:pPr>
            <w:r w:rsidRPr="0049385F">
              <w:rPr>
                <w:color w:val="auto"/>
              </w:rPr>
              <w:t xml:space="preserve">Bendigo Regional Employment Precinct </w:t>
            </w:r>
          </w:p>
        </w:tc>
        <w:tc>
          <w:tcPr>
            <w:tcW w:w="1104" w:type="dxa"/>
          </w:tcPr>
          <w:p w:rsidRPr="0049385F" w:rsidR="009A4561" w:rsidP="00DE17C1" w:rsidRDefault="0049385F" w14:paraId="73E8C6F5" w14:textId="691841E6">
            <w:pPr>
              <w:pStyle w:val="Tabletext"/>
              <w:rPr>
                <w:color w:val="auto"/>
              </w:rPr>
            </w:pPr>
            <w:r w:rsidRPr="0049385F">
              <w:rPr>
                <w:color w:val="auto"/>
              </w:rPr>
              <w:t xml:space="preserve">The entire precinct identified in Map 1. </w:t>
            </w:r>
          </w:p>
        </w:tc>
        <w:tc>
          <w:tcPr>
            <w:tcW w:w="1425" w:type="dxa"/>
          </w:tcPr>
          <w:p w:rsidRPr="0049385F" w:rsidR="009A4561" w:rsidP="00DE17C1" w:rsidRDefault="0049385F" w14:paraId="725F7E16" w14:textId="03D6F764">
            <w:pPr>
              <w:pStyle w:val="Tabletext"/>
              <w:rPr>
                <w:color w:val="auto"/>
              </w:rPr>
            </w:pPr>
            <w:r w:rsidRPr="0049385F">
              <w:rPr>
                <w:color w:val="auto"/>
              </w:rPr>
              <w:t>C296gben Map No. 5</w:t>
            </w:r>
            <w:r w:rsidR="00BC01DD">
              <w:rPr>
                <w:color w:val="auto"/>
              </w:rPr>
              <w:t xml:space="preserve"> and 6</w:t>
            </w:r>
          </w:p>
        </w:tc>
        <w:tc>
          <w:tcPr>
            <w:tcW w:w="1307" w:type="dxa"/>
          </w:tcPr>
          <w:p w:rsidRPr="0049385F" w:rsidR="009A4561" w:rsidP="00DE17C1" w:rsidRDefault="0049385F" w14:paraId="547500E3" w14:textId="35FA266C">
            <w:pPr>
              <w:pStyle w:val="Tabletext"/>
              <w:rPr>
                <w:color w:val="auto"/>
              </w:rPr>
            </w:pPr>
            <w:r w:rsidRPr="0049385F">
              <w:rPr>
                <w:color w:val="auto"/>
              </w:rPr>
              <w:t>Numerous</w:t>
            </w:r>
          </w:p>
        </w:tc>
        <w:tc>
          <w:tcPr>
            <w:tcW w:w="1344" w:type="dxa"/>
          </w:tcPr>
          <w:p w:rsidRPr="0049385F" w:rsidR="009A4561" w:rsidP="00DE17C1" w:rsidRDefault="009A4561" w14:paraId="27AFD7B6" w14:textId="70C994C6">
            <w:pPr>
              <w:pStyle w:val="Tabletext"/>
              <w:rPr>
                <w:color w:val="auto"/>
              </w:rPr>
            </w:pPr>
          </w:p>
        </w:tc>
        <w:tc>
          <w:tcPr>
            <w:tcW w:w="1344" w:type="dxa"/>
          </w:tcPr>
          <w:p w:rsidRPr="0049385F" w:rsidR="009A4561" w:rsidP="00DE17C1" w:rsidRDefault="009A4561" w14:paraId="1FF33364" w14:textId="473AE847">
            <w:pPr>
              <w:pStyle w:val="Tabletext"/>
              <w:rPr>
                <w:color w:val="auto"/>
              </w:rPr>
            </w:pPr>
            <w:r w:rsidRPr="0049385F">
              <w:rPr>
                <w:color w:val="auto"/>
              </w:rPr>
              <w:t>D</w:t>
            </w:r>
            <w:r w:rsidRPr="0049385F" w:rsidR="0049385F">
              <w:rPr>
                <w:color w:val="auto"/>
              </w:rPr>
              <w:t>PO34</w:t>
            </w:r>
          </w:p>
        </w:tc>
        <w:tc>
          <w:tcPr>
            <w:tcW w:w="1390" w:type="dxa"/>
          </w:tcPr>
          <w:p w:rsidRPr="0049385F" w:rsidR="009A4561" w:rsidP="00DE17C1" w:rsidRDefault="009A4561" w14:paraId="500747BD" w14:textId="26F53F2A">
            <w:pPr>
              <w:pStyle w:val="Tabletext"/>
              <w:rPr>
                <w:color w:val="auto"/>
              </w:rPr>
            </w:pPr>
          </w:p>
        </w:tc>
      </w:tr>
    </w:tbl>
    <w:p w:rsidR="00322595" w:rsidP="00A15C2E" w:rsidRDefault="00322595" w14:paraId="0E80F250" w14:textId="77777777"/>
    <w:sectPr w:rsidR="00322595">
      <w:footerReference w:type="default" r:id="rId17"/>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7AC8" w:rsidP="007E77A2" w:rsidRDefault="008E7AC8" w14:paraId="3F28D691" w14:textId="77777777">
      <w:pPr>
        <w:spacing w:before="0" w:after="0" w:line="240" w:lineRule="auto"/>
      </w:pPr>
      <w:r>
        <w:separator/>
      </w:r>
    </w:p>
  </w:endnote>
  <w:endnote w:type="continuationSeparator" w:id="0">
    <w:p w:rsidR="008E7AC8" w:rsidP="007E77A2" w:rsidRDefault="008E7AC8" w14:paraId="7CC82560" w14:textId="77777777">
      <w:pPr>
        <w:spacing w:before="0" w:after="0" w:line="240" w:lineRule="auto"/>
      </w:pPr>
      <w:r>
        <w:continuationSeparator/>
      </w:r>
    </w:p>
  </w:endnote>
  <w:endnote w:type="continuationNotice" w:id="1">
    <w:p w:rsidR="008E7AC8" w:rsidRDefault="008E7AC8" w14:paraId="5C50334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sdt>
    <w:sdtPr>
      <w:id w:val="98381352"/>
      <w:docPartObj>
        <w:docPartGallery w:val="Page Numbers (Top of Page)"/>
        <w:docPartUnique/>
      </w:docPartObj>
    </w:sdtPr>
    <w:sdtEndPr/>
    <w:sdtContent>
      <w:p w:rsidR="009244A9" w:rsidP="009244A9" w:rsidRDefault="009244A9" w14:paraId="1FE8D050" w14:textId="77777777">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Pr>
            <w:b/>
            <w:bCs/>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10</w:t>
        </w:r>
        <w:r>
          <w:rPr>
            <w:b/>
            <w:bCs/>
            <w:szCs w:val="24"/>
          </w:rPr>
          <w:fldChar w:fldCharType="end"/>
        </w:r>
      </w:p>
    </w:sdtContent>
  </w:sdt>
  <w:p w:rsidR="00A46FEF" w:rsidP="009244A9" w:rsidRDefault="0087341D" w14:paraId="4E09AB88" w14:textId="4C52CF55">
    <w:pPr>
      <w:pStyle w:val="Footer"/>
    </w:pPr>
    <w:r>
      <w:rPr>
        <w:noProof/>
        <w14:ligatures w14:val="standardContextual"/>
      </w:rPr>
      <mc:AlternateContent>
        <mc:Choice Requires="wps">
          <w:drawing>
            <wp:anchor distT="0" distB="0" distL="114300" distR="114300" simplePos="0" relativeHeight="251658240" behindDoc="0" locked="0" layoutInCell="0" allowOverlap="1" wp14:anchorId="63356081" wp14:editId="529BE169">
              <wp:simplePos x="0" y="0"/>
              <wp:positionH relativeFrom="page">
                <wp:posOffset>0</wp:posOffset>
              </wp:positionH>
              <wp:positionV relativeFrom="page">
                <wp:posOffset>10227945</wp:posOffset>
              </wp:positionV>
              <wp:extent cx="7560310" cy="273050"/>
              <wp:effectExtent l="0" t="0" r="0" b="12700"/>
              <wp:wrapNone/>
              <wp:docPr id="3" name="Text Box 3" descr="{&quot;HashCode&quot;:90843954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7341D" w:rsidR="0087341D" w:rsidP="0087341D" w:rsidRDefault="0087341D" w14:paraId="2B3B0CA1" w14:textId="7D18959E">
                          <w:pPr>
                            <w:spacing w:before="0"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63356081">
              <v:stroke joinstyle="miter"/>
              <v:path gradientshapeok="t" o:connecttype="rect"/>
            </v:shapetype>
            <v:shape id="Text Box 3"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8439540,&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v:textbox inset=",0,,0">
                <w:txbxContent>
                  <w:p w:rsidRPr="0087341D" w:rsidR="0087341D" w:rsidP="0087341D" w:rsidRDefault="0087341D" w14:paraId="2B3B0CA1" w14:textId="7D18959E">
                    <w:pPr>
                      <w:spacing w:before="0" w:after="0"/>
                      <w:jc w:val="center"/>
                      <w:rPr>
                        <w:rFonts w:ascii="Calibri" w:hAnsi="Calibri" w:cs="Calibri"/>
                        <w:color w:val="000000"/>
                      </w:rPr>
                    </w:pPr>
                  </w:p>
                </w:txbxContent>
              </v:textbox>
              <w10:wrap anchorx="page" anchory="page"/>
            </v:shape>
          </w:pict>
        </mc:Fallback>
      </mc:AlternateContent>
    </w:r>
    <w:r w:rsidR="00D96F9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7AC8" w:rsidP="007E77A2" w:rsidRDefault="008E7AC8" w14:paraId="7560B140" w14:textId="77777777">
      <w:pPr>
        <w:spacing w:before="0" w:after="0" w:line="240" w:lineRule="auto"/>
      </w:pPr>
      <w:r>
        <w:separator/>
      </w:r>
    </w:p>
  </w:footnote>
  <w:footnote w:type="continuationSeparator" w:id="0">
    <w:p w:rsidR="008E7AC8" w:rsidP="007E77A2" w:rsidRDefault="008E7AC8" w14:paraId="651EC170" w14:textId="77777777">
      <w:pPr>
        <w:spacing w:before="0" w:after="0" w:line="240" w:lineRule="auto"/>
      </w:pPr>
      <w:r>
        <w:continuationSeparator/>
      </w:r>
    </w:p>
  </w:footnote>
  <w:footnote w:type="continuationNotice" w:id="1">
    <w:p w:rsidR="008E7AC8" w:rsidRDefault="008E7AC8" w14:paraId="76876DB3" w14:textId="7777777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DCA1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CA622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E024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1A09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83A"/>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44EEB4C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2DD24BD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CCA8DBD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A04AAE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BC3F8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9D73A04"/>
    <w:multiLevelType w:val="hybridMultilevel"/>
    <w:tmpl w:val="AFD4D3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11222EA"/>
    <w:multiLevelType w:val="hybridMultilevel"/>
    <w:tmpl w:val="85941760"/>
    <w:lvl w:ilvl="0" w:tplc="0A5A9AF4">
      <w:start w:val="1"/>
      <w:numFmt w:val="bullet"/>
      <w:pStyle w:val="Bulletlis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1355581B"/>
    <w:multiLevelType w:val="hybridMultilevel"/>
    <w:tmpl w:val="F0B2664A"/>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8D6721"/>
    <w:multiLevelType w:val="hybridMultilevel"/>
    <w:tmpl w:val="CB48331E"/>
    <w:lvl w:ilvl="0" w:tplc="FFFFFFFF">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18BF03DF"/>
    <w:multiLevelType w:val="hybridMultilevel"/>
    <w:tmpl w:val="BBFC3822"/>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13020A"/>
    <w:multiLevelType w:val="hybridMultilevel"/>
    <w:tmpl w:val="66986F1A"/>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EB54C1"/>
    <w:multiLevelType w:val="hybridMultilevel"/>
    <w:tmpl w:val="E9DE842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02373C9"/>
    <w:multiLevelType w:val="hybridMultilevel"/>
    <w:tmpl w:val="6E86ABA6"/>
    <w:lvl w:ilvl="0" w:tplc="0C090001">
      <w:start w:val="1"/>
      <w:numFmt w:val="bullet"/>
      <w:lvlText w:val=""/>
      <w:lvlJc w:val="left"/>
      <w:pPr>
        <w:ind w:left="1800" w:hanging="360"/>
      </w:pPr>
      <w:rPr>
        <w:rFonts w:hint="default" w:ascii="Symbol" w:hAnsi="Symbol"/>
      </w:rPr>
    </w:lvl>
    <w:lvl w:ilvl="1" w:tplc="0C090003">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18" w15:restartNumberingAfterBreak="0">
    <w:nsid w:val="36AA5C0D"/>
    <w:multiLevelType w:val="hybridMultilevel"/>
    <w:tmpl w:val="4A865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3B7C50D7"/>
    <w:multiLevelType w:val="hybridMultilevel"/>
    <w:tmpl w:val="E1507100"/>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4E07BA7"/>
    <w:multiLevelType w:val="hybridMultilevel"/>
    <w:tmpl w:val="3D927BCA"/>
    <w:lvl w:ilvl="0" w:tplc="FFFFFFFF">
      <w:start w:val="1"/>
      <w:numFmt w:val="bullet"/>
      <w:lvlText w:val=""/>
      <w:lvlJc w:val="left"/>
      <w:pPr>
        <w:ind w:left="360" w:hanging="360"/>
      </w:pPr>
      <w:rPr>
        <w:rFonts w:hint="default" w:ascii="Symbol" w:hAnsi="Symbol"/>
      </w:rPr>
    </w:lvl>
    <w:lvl w:ilvl="1" w:tplc="A874F610">
      <w:start w:val="1"/>
      <w:numFmt w:val="bullet"/>
      <w:lvlText w:val="­"/>
      <w:lvlJc w:val="left"/>
      <w:pPr>
        <w:ind w:left="1080" w:hanging="360"/>
      </w:pPr>
      <w:rPr>
        <w:rFonts w:hint="default" w:ascii="Courier New" w:hAnsi="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1" w15:restartNumberingAfterBreak="0">
    <w:nsid w:val="519B00FF"/>
    <w:multiLevelType w:val="hybridMultilevel"/>
    <w:tmpl w:val="EA1818BE"/>
    <w:lvl w:ilvl="0" w:tplc="FFFFFFFF">
      <w:start w:val="1"/>
      <w:numFmt w:val="bullet"/>
      <w:lvlText w:val=""/>
      <w:lvlJc w:val="left"/>
      <w:pPr>
        <w:ind w:left="360" w:hanging="360"/>
      </w:pPr>
      <w:rPr>
        <w:rFonts w:hint="default" w:ascii="Symbol" w:hAnsi="Symbol"/>
      </w:rPr>
    </w:lvl>
    <w:lvl w:ilvl="1" w:tplc="A874F610">
      <w:start w:val="1"/>
      <w:numFmt w:val="bullet"/>
      <w:pStyle w:val="Bullet2"/>
      <w:lvlText w:val="­"/>
      <w:lvlJc w:val="left"/>
      <w:pPr>
        <w:ind w:left="1080" w:hanging="360"/>
      </w:pPr>
      <w:rPr>
        <w:rFonts w:hint="default" w:ascii="Courier New" w:hAnsi="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2" w15:restartNumberingAfterBreak="0">
    <w:nsid w:val="59183390"/>
    <w:multiLevelType w:val="hybridMultilevel"/>
    <w:tmpl w:val="99748EFC"/>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CB1227"/>
    <w:multiLevelType w:val="hybridMultilevel"/>
    <w:tmpl w:val="22CAEFC6"/>
    <w:lvl w:ilvl="0" w:tplc="0C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24" w15:restartNumberingAfterBreak="0">
    <w:nsid w:val="6DEC3453"/>
    <w:multiLevelType w:val="hybridMultilevel"/>
    <w:tmpl w:val="5BE01744"/>
    <w:lvl w:ilvl="0" w:tplc="0C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6D93E09"/>
    <w:multiLevelType w:val="hybridMultilevel"/>
    <w:tmpl w:val="361AE91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781A50A6"/>
    <w:multiLevelType w:val="hybridMultilevel"/>
    <w:tmpl w:val="DFF6861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7AA429CC"/>
    <w:multiLevelType w:val="hybridMultilevel"/>
    <w:tmpl w:val="7FB4B352"/>
    <w:lvl w:ilvl="0" w:tplc="FFFFFFFF">
      <w:start w:val="1"/>
      <w:numFmt w:val="bullet"/>
      <w:lvlText w:val=""/>
      <w:lvlJc w:val="left"/>
      <w:pPr>
        <w:ind w:left="360" w:hanging="360"/>
      </w:pPr>
      <w:rPr>
        <w:rFonts w:hint="default" w:ascii="Symbol" w:hAnsi="Symbol"/>
      </w:rPr>
    </w:lvl>
    <w:lvl w:ilvl="1" w:tplc="A874F610">
      <w:start w:val="1"/>
      <w:numFmt w:val="bullet"/>
      <w:lvlText w:val="­"/>
      <w:lvlJc w:val="left"/>
      <w:pPr>
        <w:ind w:left="1080" w:hanging="360"/>
      </w:pPr>
      <w:rPr>
        <w:rFonts w:hint="default" w:ascii="Courier New" w:hAnsi="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8" w15:restartNumberingAfterBreak="0">
    <w:nsid w:val="7CA927CF"/>
    <w:multiLevelType w:val="hybridMultilevel"/>
    <w:tmpl w:val="E24284A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879366378">
    <w:abstractNumId w:val="11"/>
  </w:num>
  <w:num w:numId="2" w16cid:durableId="96874862">
    <w:abstractNumId w:val="20"/>
  </w:num>
  <w:num w:numId="3" w16cid:durableId="524758349">
    <w:abstractNumId w:val="27"/>
  </w:num>
  <w:num w:numId="4" w16cid:durableId="1983775289">
    <w:abstractNumId w:val="21"/>
  </w:num>
  <w:num w:numId="5" w16cid:durableId="419375663">
    <w:abstractNumId w:val="26"/>
  </w:num>
  <w:num w:numId="6" w16cid:durableId="1025134009">
    <w:abstractNumId w:val="13"/>
  </w:num>
  <w:num w:numId="7" w16cid:durableId="189953162">
    <w:abstractNumId w:val="17"/>
  </w:num>
  <w:num w:numId="8" w16cid:durableId="550652215">
    <w:abstractNumId w:val="25"/>
  </w:num>
  <w:num w:numId="9" w16cid:durableId="1548058003">
    <w:abstractNumId w:val="11"/>
  </w:num>
  <w:num w:numId="10" w16cid:durableId="974483384">
    <w:abstractNumId w:val="21"/>
  </w:num>
  <w:num w:numId="11" w16cid:durableId="1617328023">
    <w:abstractNumId w:val="21"/>
  </w:num>
  <w:num w:numId="12" w16cid:durableId="915943837">
    <w:abstractNumId w:val="9"/>
  </w:num>
  <w:num w:numId="13" w16cid:durableId="1982347580">
    <w:abstractNumId w:val="7"/>
  </w:num>
  <w:num w:numId="14" w16cid:durableId="129397344">
    <w:abstractNumId w:val="6"/>
  </w:num>
  <w:num w:numId="15" w16cid:durableId="79177817">
    <w:abstractNumId w:val="5"/>
  </w:num>
  <w:num w:numId="16" w16cid:durableId="1594242771">
    <w:abstractNumId w:val="4"/>
  </w:num>
  <w:num w:numId="17" w16cid:durableId="1733767416">
    <w:abstractNumId w:val="8"/>
  </w:num>
  <w:num w:numId="18" w16cid:durableId="1911497575">
    <w:abstractNumId w:val="3"/>
  </w:num>
  <w:num w:numId="19" w16cid:durableId="483855495">
    <w:abstractNumId w:val="2"/>
  </w:num>
  <w:num w:numId="20" w16cid:durableId="1454985666">
    <w:abstractNumId w:val="1"/>
  </w:num>
  <w:num w:numId="21" w16cid:durableId="2078282781">
    <w:abstractNumId w:val="0"/>
  </w:num>
  <w:num w:numId="22" w16cid:durableId="2009290691">
    <w:abstractNumId w:val="16"/>
  </w:num>
  <w:num w:numId="23" w16cid:durableId="713389931">
    <w:abstractNumId w:val="10"/>
  </w:num>
  <w:num w:numId="24" w16cid:durableId="696124863">
    <w:abstractNumId w:val="14"/>
  </w:num>
  <w:num w:numId="25" w16cid:durableId="1402405523">
    <w:abstractNumId w:val="12"/>
  </w:num>
  <w:num w:numId="26" w16cid:durableId="1810200662">
    <w:abstractNumId w:val="22"/>
  </w:num>
  <w:num w:numId="27" w16cid:durableId="1520966078">
    <w:abstractNumId w:val="15"/>
  </w:num>
  <w:num w:numId="28" w16cid:durableId="463085357">
    <w:abstractNumId w:val="24"/>
  </w:num>
  <w:num w:numId="29" w16cid:durableId="548344364">
    <w:abstractNumId w:val="19"/>
  </w:num>
  <w:num w:numId="30" w16cid:durableId="1981029727">
    <w:abstractNumId w:val="28"/>
  </w:num>
  <w:num w:numId="31" w16cid:durableId="330447957">
    <w:abstractNumId w:val="18"/>
  </w:num>
  <w:num w:numId="32" w16cid:durableId="231894660">
    <w:abstractNumId w:val="2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34"/>
    <w:rsid w:val="00001846"/>
    <w:rsid w:val="00002BB1"/>
    <w:rsid w:val="000168B6"/>
    <w:rsid w:val="00020487"/>
    <w:rsid w:val="00021DEC"/>
    <w:rsid w:val="0002265F"/>
    <w:rsid w:val="0002595E"/>
    <w:rsid w:val="00027609"/>
    <w:rsid w:val="00030253"/>
    <w:rsid w:val="0003068A"/>
    <w:rsid w:val="00034B83"/>
    <w:rsid w:val="00040315"/>
    <w:rsid w:val="000418F6"/>
    <w:rsid w:val="00041B51"/>
    <w:rsid w:val="000439D5"/>
    <w:rsid w:val="00047EFE"/>
    <w:rsid w:val="00050130"/>
    <w:rsid w:val="00050924"/>
    <w:rsid w:val="0005121B"/>
    <w:rsid w:val="00052289"/>
    <w:rsid w:val="000529E2"/>
    <w:rsid w:val="0006717F"/>
    <w:rsid w:val="000764E9"/>
    <w:rsid w:val="00080066"/>
    <w:rsid w:val="000804A3"/>
    <w:rsid w:val="000830F1"/>
    <w:rsid w:val="00085F5F"/>
    <w:rsid w:val="000921BA"/>
    <w:rsid w:val="00094784"/>
    <w:rsid w:val="000A0F35"/>
    <w:rsid w:val="000A1EAB"/>
    <w:rsid w:val="000A24C6"/>
    <w:rsid w:val="000A4B2B"/>
    <w:rsid w:val="000A521C"/>
    <w:rsid w:val="000B1877"/>
    <w:rsid w:val="000B1FFD"/>
    <w:rsid w:val="000B5919"/>
    <w:rsid w:val="000D0C39"/>
    <w:rsid w:val="000D1F69"/>
    <w:rsid w:val="000D3B8A"/>
    <w:rsid w:val="000E7C3A"/>
    <w:rsid w:val="000F442E"/>
    <w:rsid w:val="000F6A81"/>
    <w:rsid w:val="00103956"/>
    <w:rsid w:val="00104C87"/>
    <w:rsid w:val="001117F2"/>
    <w:rsid w:val="00116251"/>
    <w:rsid w:val="00124CFF"/>
    <w:rsid w:val="00126E94"/>
    <w:rsid w:val="00132D75"/>
    <w:rsid w:val="00143728"/>
    <w:rsid w:val="00146EC3"/>
    <w:rsid w:val="00147694"/>
    <w:rsid w:val="001540D4"/>
    <w:rsid w:val="001722CA"/>
    <w:rsid w:val="00174A20"/>
    <w:rsid w:val="00176459"/>
    <w:rsid w:val="00185352"/>
    <w:rsid w:val="00187E8F"/>
    <w:rsid w:val="00192F54"/>
    <w:rsid w:val="001A165D"/>
    <w:rsid w:val="001A3F33"/>
    <w:rsid w:val="001B321F"/>
    <w:rsid w:val="001B60D7"/>
    <w:rsid w:val="001C0F2D"/>
    <w:rsid w:val="001C42C1"/>
    <w:rsid w:val="001C66D7"/>
    <w:rsid w:val="001D1F29"/>
    <w:rsid w:val="001D642F"/>
    <w:rsid w:val="001E4E0D"/>
    <w:rsid w:val="00200B39"/>
    <w:rsid w:val="00205569"/>
    <w:rsid w:val="0021084A"/>
    <w:rsid w:val="00212253"/>
    <w:rsid w:val="00223AB7"/>
    <w:rsid w:val="00224396"/>
    <w:rsid w:val="00224E35"/>
    <w:rsid w:val="00225B2B"/>
    <w:rsid w:val="00230AC1"/>
    <w:rsid w:val="002334FB"/>
    <w:rsid w:val="00235465"/>
    <w:rsid w:val="002402A2"/>
    <w:rsid w:val="00241917"/>
    <w:rsid w:val="002429C1"/>
    <w:rsid w:val="0024309F"/>
    <w:rsid w:val="002476A1"/>
    <w:rsid w:val="00247E35"/>
    <w:rsid w:val="00255E71"/>
    <w:rsid w:val="0026765D"/>
    <w:rsid w:val="002715E5"/>
    <w:rsid w:val="002724AE"/>
    <w:rsid w:val="002751FE"/>
    <w:rsid w:val="00275CAD"/>
    <w:rsid w:val="00277253"/>
    <w:rsid w:val="00281CDB"/>
    <w:rsid w:val="00282F62"/>
    <w:rsid w:val="00284C19"/>
    <w:rsid w:val="00292E0F"/>
    <w:rsid w:val="002939A7"/>
    <w:rsid w:val="002946F8"/>
    <w:rsid w:val="002971E1"/>
    <w:rsid w:val="002A0FE5"/>
    <w:rsid w:val="002A4E1C"/>
    <w:rsid w:val="002A5F84"/>
    <w:rsid w:val="002B7EF6"/>
    <w:rsid w:val="002C39FA"/>
    <w:rsid w:val="002C4BCC"/>
    <w:rsid w:val="002D39C8"/>
    <w:rsid w:val="002E001E"/>
    <w:rsid w:val="002E07C2"/>
    <w:rsid w:val="002E21AD"/>
    <w:rsid w:val="002E42DB"/>
    <w:rsid w:val="002F1023"/>
    <w:rsid w:val="002F7405"/>
    <w:rsid w:val="002F7652"/>
    <w:rsid w:val="00300453"/>
    <w:rsid w:val="00302296"/>
    <w:rsid w:val="00305A72"/>
    <w:rsid w:val="00307037"/>
    <w:rsid w:val="003078B1"/>
    <w:rsid w:val="00312C2B"/>
    <w:rsid w:val="003145CF"/>
    <w:rsid w:val="003156EC"/>
    <w:rsid w:val="0031637F"/>
    <w:rsid w:val="00320CE5"/>
    <w:rsid w:val="00322595"/>
    <w:rsid w:val="0032271C"/>
    <w:rsid w:val="00322CCB"/>
    <w:rsid w:val="00324D0A"/>
    <w:rsid w:val="00326BE2"/>
    <w:rsid w:val="00333EA3"/>
    <w:rsid w:val="00333EE5"/>
    <w:rsid w:val="00334E6C"/>
    <w:rsid w:val="00336A36"/>
    <w:rsid w:val="00336FF2"/>
    <w:rsid w:val="0034564A"/>
    <w:rsid w:val="00347B7D"/>
    <w:rsid w:val="00354261"/>
    <w:rsid w:val="0035557B"/>
    <w:rsid w:val="0036279A"/>
    <w:rsid w:val="00375B63"/>
    <w:rsid w:val="00376D39"/>
    <w:rsid w:val="00377EAC"/>
    <w:rsid w:val="0038219B"/>
    <w:rsid w:val="00382CF7"/>
    <w:rsid w:val="00383649"/>
    <w:rsid w:val="00395188"/>
    <w:rsid w:val="0039548E"/>
    <w:rsid w:val="003960A9"/>
    <w:rsid w:val="003A4991"/>
    <w:rsid w:val="003A4F87"/>
    <w:rsid w:val="003A6267"/>
    <w:rsid w:val="003B0DAF"/>
    <w:rsid w:val="003B1001"/>
    <w:rsid w:val="003B184C"/>
    <w:rsid w:val="003B41B7"/>
    <w:rsid w:val="003B53E7"/>
    <w:rsid w:val="003B721A"/>
    <w:rsid w:val="003C3A3F"/>
    <w:rsid w:val="003C52C3"/>
    <w:rsid w:val="003C58A4"/>
    <w:rsid w:val="003C6321"/>
    <w:rsid w:val="003C6672"/>
    <w:rsid w:val="003C6C5D"/>
    <w:rsid w:val="003C716B"/>
    <w:rsid w:val="003D5F47"/>
    <w:rsid w:val="003D621E"/>
    <w:rsid w:val="003D6C90"/>
    <w:rsid w:val="003E28EC"/>
    <w:rsid w:val="003E51CD"/>
    <w:rsid w:val="003F113A"/>
    <w:rsid w:val="003F17BB"/>
    <w:rsid w:val="003F26FF"/>
    <w:rsid w:val="003F559F"/>
    <w:rsid w:val="00400867"/>
    <w:rsid w:val="00404F5F"/>
    <w:rsid w:val="00407F18"/>
    <w:rsid w:val="0041217E"/>
    <w:rsid w:val="00412F97"/>
    <w:rsid w:val="004132AC"/>
    <w:rsid w:val="004256F4"/>
    <w:rsid w:val="00435710"/>
    <w:rsid w:val="00446AA8"/>
    <w:rsid w:val="00455DE6"/>
    <w:rsid w:val="00455E90"/>
    <w:rsid w:val="00462F41"/>
    <w:rsid w:val="004661ED"/>
    <w:rsid w:val="00472902"/>
    <w:rsid w:val="0047468F"/>
    <w:rsid w:val="00476E0C"/>
    <w:rsid w:val="004800C9"/>
    <w:rsid w:val="00483C6C"/>
    <w:rsid w:val="004843C6"/>
    <w:rsid w:val="0048673E"/>
    <w:rsid w:val="00486BFE"/>
    <w:rsid w:val="00491E23"/>
    <w:rsid w:val="0049385F"/>
    <w:rsid w:val="0049623C"/>
    <w:rsid w:val="004A07A5"/>
    <w:rsid w:val="004A5D3F"/>
    <w:rsid w:val="004A6626"/>
    <w:rsid w:val="004A6DA6"/>
    <w:rsid w:val="004B038C"/>
    <w:rsid w:val="004B09F3"/>
    <w:rsid w:val="004B2B22"/>
    <w:rsid w:val="004C0B04"/>
    <w:rsid w:val="004C449F"/>
    <w:rsid w:val="004C44A6"/>
    <w:rsid w:val="004C6A6A"/>
    <w:rsid w:val="004C7954"/>
    <w:rsid w:val="004D6D1E"/>
    <w:rsid w:val="004D6F55"/>
    <w:rsid w:val="004E48C8"/>
    <w:rsid w:val="004F3311"/>
    <w:rsid w:val="004F4C16"/>
    <w:rsid w:val="004F6804"/>
    <w:rsid w:val="00500E38"/>
    <w:rsid w:val="00501ADB"/>
    <w:rsid w:val="00502668"/>
    <w:rsid w:val="005028F7"/>
    <w:rsid w:val="005058E0"/>
    <w:rsid w:val="005100ED"/>
    <w:rsid w:val="0051096A"/>
    <w:rsid w:val="005147CA"/>
    <w:rsid w:val="00514FB2"/>
    <w:rsid w:val="00520F53"/>
    <w:rsid w:val="00521746"/>
    <w:rsid w:val="00521F53"/>
    <w:rsid w:val="00534239"/>
    <w:rsid w:val="005343DA"/>
    <w:rsid w:val="0053613F"/>
    <w:rsid w:val="00537FBF"/>
    <w:rsid w:val="00543C20"/>
    <w:rsid w:val="00544FCD"/>
    <w:rsid w:val="00546F39"/>
    <w:rsid w:val="00554958"/>
    <w:rsid w:val="00563746"/>
    <w:rsid w:val="0056377C"/>
    <w:rsid w:val="00565033"/>
    <w:rsid w:val="00570843"/>
    <w:rsid w:val="00570DD4"/>
    <w:rsid w:val="00574244"/>
    <w:rsid w:val="0057791D"/>
    <w:rsid w:val="00580A57"/>
    <w:rsid w:val="0058174E"/>
    <w:rsid w:val="00583742"/>
    <w:rsid w:val="00590BF2"/>
    <w:rsid w:val="005978B8"/>
    <w:rsid w:val="005A59A9"/>
    <w:rsid w:val="005B06FA"/>
    <w:rsid w:val="005B0A93"/>
    <w:rsid w:val="005B72E9"/>
    <w:rsid w:val="005C3FEC"/>
    <w:rsid w:val="005D0AA6"/>
    <w:rsid w:val="005D19E4"/>
    <w:rsid w:val="005D2047"/>
    <w:rsid w:val="005D27F5"/>
    <w:rsid w:val="005D43BF"/>
    <w:rsid w:val="005D724D"/>
    <w:rsid w:val="005D79FB"/>
    <w:rsid w:val="005D7B33"/>
    <w:rsid w:val="005E1658"/>
    <w:rsid w:val="005E1938"/>
    <w:rsid w:val="005E3D8A"/>
    <w:rsid w:val="005E5634"/>
    <w:rsid w:val="005E7AEC"/>
    <w:rsid w:val="005F12F2"/>
    <w:rsid w:val="005F3537"/>
    <w:rsid w:val="005F6154"/>
    <w:rsid w:val="00600B22"/>
    <w:rsid w:val="00602325"/>
    <w:rsid w:val="00605528"/>
    <w:rsid w:val="0060785B"/>
    <w:rsid w:val="00607BFD"/>
    <w:rsid w:val="0061121C"/>
    <w:rsid w:val="00613BD5"/>
    <w:rsid w:val="0061500B"/>
    <w:rsid w:val="0061614F"/>
    <w:rsid w:val="0061653B"/>
    <w:rsid w:val="0061683F"/>
    <w:rsid w:val="00620A08"/>
    <w:rsid w:val="00620F70"/>
    <w:rsid w:val="00622FC8"/>
    <w:rsid w:val="00626934"/>
    <w:rsid w:val="00627D14"/>
    <w:rsid w:val="0063109B"/>
    <w:rsid w:val="00634E01"/>
    <w:rsid w:val="006358A8"/>
    <w:rsid w:val="006402A3"/>
    <w:rsid w:val="00642CF8"/>
    <w:rsid w:val="00642E8A"/>
    <w:rsid w:val="0064369C"/>
    <w:rsid w:val="00655D5D"/>
    <w:rsid w:val="00656F38"/>
    <w:rsid w:val="0065735D"/>
    <w:rsid w:val="006612F9"/>
    <w:rsid w:val="006619EE"/>
    <w:rsid w:val="0066330B"/>
    <w:rsid w:val="00666587"/>
    <w:rsid w:val="00666632"/>
    <w:rsid w:val="006676AB"/>
    <w:rsid w:val="00670CA3"/>
    <w:rsid w:val="00673AC3"/>
    <w:rsid w:val="0067598F"/>
    <w:rsid w:val="0068276E"/>
    <w:rsid w:val="00694699"/>
    <w:rsid w:val="006959D8"/>
    <w:rsid w:val="006A19B5"/>
    <w:rsid w:val="006A2182"/>
    <w:rsid w:val="006B2BA0"/>
    <w:rsid w:val="006B3B36"/>
    <w:rsid w:val="006B4F03"/>
    <w:rsid w:val="006B55AE"/>
    <w:rsid w:val="006B7405"/>
    <w:rsid w:val="006C1C71"/>
    <w:rsid w:val="006C3CC2"/>
    <w:rsid w:val="006C471D"/>
    <w:rsid w:val="006C5F0D"/>
    <w:rsid w:val="006D10AA"/>
    <w:rsid w:val="006D2B4C"/>
    <w:rsid w:val="006D3671"/>
    <w:rsid w:val="006D65BE"/>
    <w:rsid w:val="006D6B86"/>
    <w:rsid w:val="006D6BBF"/>
    <w:rsid w:val="006D6E6A"/>
    <w:rsid w:val="006E0B84"/>
    <w:rsid w:val="006E3963"/>
    <w:rsid w:val="006F229C"/>
    <w:rsid w:val="006F5240"/>
    <w:rsid w:val="006F5990"/>
    <w:rsid w:val="0070297C"/>
    <w:rsid w:val="007064A8"/>
    <w:rsid w:val="0070712B"/>
    <w:rsid w:val="00713781"/>
    <w:rsid w:val="00715907"/>
    <w:rsid w:val="00717D9E"/>
    <w:rsid w:val="00721471"/>
    <w:rsid w:val="00721B0E"/>
    <w:rsid w:val="00730416"/>
    <w:rsid w:val="007312FA"/>
    <w:rsid w:val="00737E67"/>
    <w:rsid w:val="00741837"/>
    <w:rsid w:val="007422D8"/>
    <w:rsid w:val="00743B9C"/>
    <w:rsid w:val="00745412"/>
    <w:rsid w:val="00750A7F"/>
    <w:rsid w:val="00756549"/>
    <w:rsid w:val="00761A60"/>
    <w:rsid w:val="00763252"/>
    <w:rsid w:val="00770899"/>
    <w:rsid w:val="00771D92"/>
    <w:rsid w:val="00772C5F"/>
    <w:rsid w:val="0077317A"/>
    <w:rsid w:val="00773528"/>
    <w:rsid w:val="00773E26"/>
    <w:rsid w:val="007775F4"/>
    <w:rsid w:val="0078444F"/>
    <w:rsid w:val="00785058"/>
    <w:rsid w:val="00785286"/>
    <w:rsid w:val="00793B3C"/>
    <w:rsid w:val="00794474"/>
    <w:rsid w:val="00797246"/>
    <w:rsid w:val="00797DA0"/>
    <w:rsid w:val="007A178C"/>
    <w:rsid w:val="007A2AB1"/>
    <w:rsid w:val="007B0268"/>
    <w:rsid w:val="007B253E"/>
    <w:rsid w:val="007B4289"/>
    <w:rsid w:val="007B5E05"/>
    <w:rsid w:val="007B7D4F"/>
    <w:rsid w:val="007C0E9C"/>
    <w:rsid w:val="007C3936"/>
    <w:rsid w:val="007C520B"/>
    <w:rsid w:val="007C59D7"/>
    <w:rsid w:val="007D0137"/>
    <w:rsid w:val="007E6F44"/>
    <w:rsid w:val="007E72D0"/>
    <w:rsid w:val="007E77A2"/>
    <w:rsid w:val="007F696B"/>
    <w:rsid w:val="007F6BD2"/>
    <w:rsid w:val="00800B1C"/>
    <w:rsid w:val="00800FF2"/>
    <w:rsid w:val="00801F10"/>
    <w:rsid w:val="00803201"/>
    <w:rsid w:val="00810559"/>
    <w:rsid w:val="00811230"/>
    <w:rsid w:val="00823ED4"/>
    <w:rsid w:val="008266EA"/>
    <w:rsid w:val="008317C4"/>
    <w:rsid w:val="008442B4"/>
    <w:rsid w:val="008444B2"/>
    <w:rsid w:val="00844E4D"/>
    <w:rsid w:val="00844FDC"/>
    <w:rsid w:val="008510F8"/>
    <w:rsid w:val="0085282F"/>
    <w:rsid w:val="00854272"/>
    <w:rsid w:val="00860D64"/>
    <w:rsid w:val="008630DD"/>
    <w:rsid w:val="008662F3"/>
    <w:rsid w:val="00866A04"/>
    <w:rsid w:val="0087341D"/>
    <w:rsid w:val="0088043B"/>
    <w:rsid w:val="00881863"/>
    <w:rsid w:val="008823E1"/>
    <w:rsid w:val="00891298"/>
    <w:rsid w:val="00891F75"/>
    <w:rsid w:val="008950A8"/>
    <w:rsid w:val="00895986"/>
    <w:rsid w:val="008A13D8"/>
    <w:rsid w:val="008A4C95"/>
    <w:rsid w:val="008A5E9D"/>
    <w:rsid w:val="008B2B41"/>
    <w:rsid w:val="008B49D4"/>
    <w:rsid w:val="008B5CD8"/>
    <w:rsid w:val="008C6231"/>
    <w:rsid w:val="008C6522"/>
    <w:rsid w:val="008D454B"/>
    <w:rsid w:val="008D70BC"/>
    <w:rsid w:val="008D7F37"/>
    <w:rsid w:val="008E7AC8"/>
    <w:rsid w:val="008E7B99"/>
    <w:rsid w:val="009041DF"/>
    <w:rsid w:val="009050F5"/>
    <w:rsid w:val="00911706"/>
    <w:rsid w:val="00913BF2"/>
    <w:rsid w:val="009171C7"/>
    <w:rsid w:val="009171DD"/>
    <w:rsid w:val="009173DE"/>
    <w:rsid w:val="009201BC"/>
    <w:rsid w:val="00922114"/>
    <w:rsid w:val="009229F0"/>
    <w:rsid w:val="009244A9"/>
    <w:rsid w:val="0092618A"/>
    <w:rsid w:val="00927171"/>
    <w:rsid w:val="00931210"/>
    <w:rsid w:val="00935829"/>
    <w:rsid w:val="00954744"/>
    <w:rsid w:val="009569AD"/>
    <w:rsid w:val="00961E51"/>
    <w:rsid w:val="00964127"/>
    <w:rsid w:val="009652AB"/>
    <w:rsid w:val="00966A90"/>
    <w:rsid w:val="009703AE"/>
    <w:rsid w:val="00972AB4"/>
    <w:rsid w:val="00974AEC"/>
    <w:rsid w:val="009753C5"/>
    <w:rsid w:val="0098401E"/>
    <w:rsid w:val="00987026"/>
    <w:rsid w:val="00987790"/>
    <w:rsid w:val="00991D04"/>
    <w:rsid w:val="00991D07"/>
    <w:rsid w:val="00992A6F"/>
    <w:rsid w:val="00995883"/>
    <w:rsid w:val="00995BE5"/>
    <w:rsid w:val="00995D4A"/>
    <w:rsid w:val="009A4561"/>
    <w:rsid w:val="009B1C07"/>
    <w:rsid w:val="009B2938"/>
    <w:rsid w:val="009C2EC7"/>
    <w:rsid w:val="009C6895"/>
    <w:rsid w:val="009D2A81"/>
    <w:rsid w:val="009E6409"/>
    <w:rsid w:val="009E6F32"/>
    <w:rsid w:val="009F0B4A"/>
    <w:rsid w:val="009F1201"/>
    <w:rsid w:val="00A11E03"/>
    <w:rsid w:val="00A123CC"/>
    <w:rsid w:val="00A145B4"/>
    <w:rsid w:val="00A15C2E"/>
    <w:rsid w:val="00A22CC0"/>
    <w:rsid w:val="00A24A2A"/>
    <w:rsid w:val="00A24B98"/>
    <w:rsid w:val="00A2625F"/>
    <w:rsid w:val="00A267AD"/>
    <w:rsid w:val="00A26EF9"/>
    <w:rsid w:val="00A34A17"/>
    <w:rsid w:val="00A34C8A"/>
    <w:rsid w:val="00A43DDD"/>
    <w:rsid w:val="00A468AA"/>
    <w:rsid w:val="00A46FEF"/>
    <w:rsid w:val="00A502A5"/>
    <w:rsid w:val="00A5138E"/>
    <w:rsid w:val="00A51797"/>
    <w:rsid w:val="00A54068"/>
    <w:rsid w:val="00A548E6"/>
    <w:rsid w:val="00A57A9C"/>
    <w:rsid w:val="00A801E5"/>
    <w:rsid w:val="00A81318"/>
    <w:rsid w:val="00A921C1"/>
    <w:rsid w:val="00AA35A0"/>
    <w:rsid w:val="00AB1DE0"/>
    <w:rsid w:val="00AB4172"/>
    <w:rsid w:val="00AB4FC0"/>
    <w:rsid w:val="00AC15D6"/>
    <w:rsid w:val="00AC44F8"/>
    <w:rsid w:val="00AC5303"/>
    <w:rsid w:val="00AC63EF"/>
    <w:rsid w:val="00AC7826"/>
    <w:rsid w:val="00AC7F06"/>
    <w:rsid w:val="00AD38A7"/>
    <w:rsid w:val="00AE74C6"/>
    <w:rsid w:val="00AF1B7E"/>
    <w:rsid w:val="00AF28E2"/>
    <w:rsid w:val="00AF5C2D"/>
    <w:rsid w:val="00B0322C"/>
    <w:rsid w:val="00B04226"/>
    <w:rsid w:val="00B07ECA"/>
    <w:rsid w:val="00B11922"/>
    <w:rsid w:val="00B13EED"/>
    <w:rsid w:val="00B22172"/>
    <w:rsid w:val="00B22320"/>
    <w:rsid w:val="00B24B24"/>
    <w:rsid w:val="00B27C5B"/>
    <w:rsid w:val="00B32747"/>
    <w:rsid w:val="00B3637C"/>
    <w:rsid w:val="00B36398"/>
    <w:rsid w:val="00B364E3"/>
    <w:rsid w:val="00B41932"/>
    <w:rsid w:val="00B42457"/>
    <w:rsid w:val="00B4425A"/>
    <w:rsid w:val="00B5427B"/>
    <w:rsid w:val="00B5520E"/>
    <w:rsid w:val="00B55E13"/>
    <w:rsid w:val="00B62160"/>
    <w:rsid w:val="00B6307D"/>
    <w:rsid w:val="00B73141"/>
    <w:rsid w:val="00B745A0"/>
    <w:rsid w:val="00B7769B"/>
    <w:rsid w:val="00B77D0F"/>
    <w:rsid w:val="00B81680"/>
    <w:rsid w:val="00B87B9A"/>
    <w:rsid w:val="00B90604"/>
    <w:rsid w:val="00B91557"/>
    <w:rsid w:val="00B91EB9"/>
    <w:rsid w:val="00BA149F"/>
    <w:rsid w:val="00BA1D57"/>
    <w:rsid w:val="00BA409E"/>
    <w:rsid w:val="00BB2604"/>
    <w:rsid w:val="00BB2E18"/>
    <w:rsid w:val="00BB56FA"/>
    <w:rsid w:val="00BC01DD"/>
    <w:rsid w:val="00BC3957"/>
    <w:rsid w:val="00BC78AF"/>
    <w:rsid w:val="00BD0DD2"/>
    <w:rsid w:val="00BE33E6"/>
    <w:rsid w:val="00BE3F97"/>
    <w:rsid w:val="00BF19CB"/>
    <w:rsid w:val="00BF587C"/>
    <w:rsid w:val="00C00392"/>
    <w:rsid w:val="00C036A4"/>
    <w:rsid w:val="00C21F42"/>
    <w:rsid w:val="00C26006"/>
    <w:rsid w:val="00C318C8"/>
    <w:rsid w:val="00C32CEE"/>
    <w:rsid w:val="00C331DE"/>
    <w:rsid w:val="00C3377A"/>
    <w:rsid w:val="00C37FCD"/>
    <w:rsid w:val="00C42EEF"/>
    <w:rsid w:val="00C47A1C"/>
    <w:rsid w:val="00C617A8"/>
    <w:rsid w:val="00C62BE1"/>
    <w:rsid w:val="00C73491"/>
    <w:rsid w:val="00C753B3"/>
    <w:rsid w:val="00C766F3"/>
    <w:rsid w:val="00C80474"/>
    <w:rsid w:val="00C83B29"/>
    <w:rsid w:val="00C83E63"/>
    <w:rsid w:val="00C854BC"/>
    <w:rsid w:val="00C860F8"/>
    <w:rsid w:val="00C865CE"/>
    <w:rsid w:val="00C86FCF"/>
    <w:rsid w:val="00CA26FB"/>
    <w:rsid w:val="00CA35F9"/>
    <w:rsid w:val="00CA585D"/>
    <w:rsid w:val="00CA7B49"/>
    <w:rsid w:val="00CB0828"/>
    <w:rsid w:val="00CB1C79"/>
    <w:rsid w:val="00CB547F"/>
    <w:rsid w:val="00CB6492"/>
    <w:rsid w:val="00CD038B"/>
    <w:rsid w:val="00CD043D"/>
    <w:rsid w:val="00CD10E4"/>
    <w:rsid w:val="00CD4A44"/>
    <w:rsid w:val="00CD4A7E"/>
    <w:rsid w:val="00CD57C6"/>
    <w:rsid w:val="00CE2316"/>
    <w:rsid w:val="00CE2558"/>
    <w:rsid w:val="00CE5DA8"/>
    <w:rsid w:val="00CF5989"/>
    <w:rsid w:val="00CF7AA8"/>
    <w:rsid w:val="00D029B9"/>
    <w:rsid w:val="00D03EAC"/>
    <w:rsid w:val="00D074C7"/>
    <w:rsid w:val="00D141D7"/>
    <w:rsid w:val="00D23B30"/>
    <w:rsid w:val="00D25925"/>
    <w:rsid w:val="00D277E6"/>
    <w:rsid w:val="00D3008E"/>
    <w:rsid w:val="00D300FE"/>
    <w:rsid w:val="00D3091E"/>
    <w:rsid w:val="00D31183"/>
    <w:rsid w:val="00D32F51"/>
    <w:rsid w:val="00D36156"/>
    <w:rsid w:val="00D36DC6"/>
    <w:rsid w:val="00D379E6"/>
    <w:rsid w:val="00D546A1"/>
    <w:rsid w:val="00D573C7"/>
    <w:rsid w:val="00D66CCA"/>
    <w:rsid w:val="00D7074A"/>
    <w:rsid w:val="00D710AC"/>
    <w:rsid w:val="00D7162B"/>
    <w:rsid w:val="00D818AA"/>
    <w:rsid w:val="00D84EA3"/>
    <w:rsid w:val="00D87B80"/>
    <w:rsid w:val="00D90A1B"/>
    <w:rsid w:val="00D91450"/>
    <w:rsid w:val="00D93726"/>
    <w:rsid w:val="00D94928"/>
    <w:rsid w:val="00D96F9E"/>
    <w:rsid w:val="00DA0EFA"/>
    <w:rsid w:val="00DA6CF1"/>
    <w:rsid w:val="00DA7ED4"/>
    <w:rsid w:val="00DB0A0A"/>
    <w:rsid w:val="00DB121E"/>
    <w:rsid w:val="00DB30BE"/>
    <w:rsid w:val="00DB62EF"/>
    <w:rsid w:val="00DC0479"/>
    <w:rsid w:val="00DC17C3"/>
    <w:rsid w:val="00DC664D"/>
    <w:rsid w:val="00DC7F68"/>
    <w:rsid w:val="00DD2836"/>
    <w:rsid w:val="00DE0FE1"/>
    <w:rsid w:val="00DE17C1"/>
    <w:rsid w:val="00DE2F77"/>
    <w:rsid w:val="00DE331E"/>
    <w:rsid w:val="00DE4507"/>
    <w:rsid w:val="00DE6317"/>
    <w:rsid w:val="00DE66AA"/>
    <w:rsid w:val="00DE7531"/>
    <w:rsid w:val="00DF2CA3"/>
    <w:rsid w:val="00DF367B"/>
    <w:rsid w:val="00DF71BF"/>
    <w:rsid w:val="00DF72F6"/>
    <w:rsid w:val="00DF7859"/>
    <w:rsid w:val="00E01CD8"/>
    <w:rsid w:val="00E02841"/>
    <w:rsid w:val="00E038EF"/>
    <w:rsid w:val="00E0670E"/>
    <w:rsid w:val="00E1043C"/>
    <w:rsid w:val="00E104AF"/>
    <w:rsid w:val="00E1295A"/>
    <w:rsid w:val="00E144D7"/>
    <w:rsid w:val="00E1471F"/>
    <w:rsid w:val="00E15BC0"/>
    <w:rsid w:val="00E176C2"/>
    <w:rsid w:val="00E21AB4"/>
    <w:rsid w:val="00E23EF3"/>
    <w:rsid w:val="00E2783C"/>
    <w:rsid w:val="00E34C80"/>
    <w:rsid w:val="00E368C4"/>
    <w:rsid w:val="00E4366D"/>
    <w:rsid w:val="00E46537"/>
    <w:rsid w:val="00E4699A"/>
    <w:rsid w:val="00E47715"/>
    <w:rsid w:val="00E51AB1"/>
    <w:rsid w:val="00E528B3"/>
    <w:rsid w:val="00E55E00"/>
    <w:rsid w:val="00E62EB5"/>
    <w:rsid w:val="00E67A1C"/>
    <w:rsid w:val="00E70E28"/>
    <w:rsid w:val="00E71F5B"/>
    <w:rsid w:val="00E7257D"/>
    <w:rsid w:val="00E838EB"/>
    <w:rsid w:val="00E87910"/>
    <w:rsid w:val="00E92E98"/>
    <w:rsid w:val="00E92EC3"/>
    <w:rsid w:val="00E93AF6"/>
    <w:rsid w:val="00E93E08"/>
    <w:rsid w:val="00E9744C"/>
    <w:rsid w:val="00E97CD8"/>
    <w:rsid w:val="00EA0A2E"/>
    <w:rsid w:val="00EA3389"/>
    <w:rsid w:val="00EA3F7D"/>
    <w:rsid w:val="00EA42D7"/>
    <w:rsid w:val="00EA46B8"/>
    <w:rsid w:val="00EB1D93"/>
    <w:rsid w:val="00EB4A22"/>
    <w:rsid w:val="00EC6323"/>
    <w:rsid w:val="00ED2362"/>
    <w:rsid w:val="00ED38E9"/>
    <w:rsid w:val="00ED45C5"/>
    <w:rsid w:val="00ED6403"/>
    <w:rsid w:val="00ED6600"/>
    <w:rsid w:val="00EE4B7D"/>
    <w:rsid w:val="00EE4D0B"/>
    <w:rsid w:val="00EF1CE2"/>
    <w:rsid w:val="00EF3622"/>
    <w:rsid w:val="00EF381D"/>
    <w:rsid w:val="00EF3BFF"/>
    <w:rsid w:val="00EF6E47"/>
    <w:rsid w:val="00F0391A"/>
    <w:rsid w:val="00F042B3"/>
    <w:rsid w:val="00F07564"/>
    <w:rsid w:val="00F100E4"/>
    <w:rsid w:val="00F10990"/>
    <w:rsid w:val="00F11593"/>
    <w:rsid w:val="00F21572"/>
    <w:rsid w:val="00F22810"/>
    <w:rsid w:val="00F24D1F"/>
    <w:rsid w:val="00F25B52"/>
    <w:rsid w:val="00F3549A"/>
    <w:rsid w:val="00F35694"/>
    <w:rsid w:val="00F462AF"/>
    <w:rsid w:val="00F50BB4"/>
    <w:rsid w:val="00F51DFF"/>
    <w:rsid w:val="00F54432"/>
    <w:rsid w:val="00F55DC8"/>
    <w:rsid w:val="00F6109E"/>
    <w:rsid w:val="00F62666"/>
    <w:rsid w:val="00F63842"/>
    <w:rsid w:val="00F66DCA"/>
    <w:rsid w:val="00F66DEA"/>
    <w:rsid w:val="00F741A5"/>
    <w:rsid w:val="00F7505A"/>
    <w:rsid w:val="00F75062"/>
    <w:rsid w:val="00F82B2E"/>
    <w:rsid w:val="00F84BA1"/>
    <w:rsid w:val="00F8695C"/>
    <w:rsid w:val="00F934FB"/>
    <w:rsid w:val="00FA3BA2"/>
    <w:rsid w:val="00FB0948"/>
    <w:rsid w:val="00FB0F6A"/>
    <w:rsid w:val="00FB1368"/>
    <w:rsid w:val="00FB551B"/>
    <w:rsid w:val="00FB5D0C"/>
    <w:rsid w:val="00FC0A55"/>
    <w:rsid w:val="00FD0FA3"/>
    <w:rsid w:val="00FD12E5"/>
    <w:rsid w:val="00FD6656"/>
    <w:rsid w:val="00FE35C7"/>
    <w:rsid w:val="00FE5B70"/>
    <w:rsid w:val="00FF3980"/>
    <w:rsid w:val="00FF3BE8"/>
    <w:rsid w:val="01B522A0"/>
    <w:rsid w:val="04684F57"/>
    <w:rsid w:val="06526E68"/>
    <w:rsid w:val="066D8B7F"/>
    <w:rsid w:val="06C52176"/>
    <w:rsid w:val="0858DF3B"/>
    <w:rsid w:val="097B6506"/>
    <w:rsid w:val="0980069E"/>
    <w:rsid w:val="0FAEFAF8"/>
    <w:rsid w:val="10AEF858"/>
    <w:rsid w:val="1268384F"/>
    <w:rsid w:val="12A94B51"/>
    <w:rsid w:val="16251B7B"/>
    <w:rsid w:val="16AE6BAA"/>
    <w:rsid w:val="17DA202E"/>
    <w:rsid w:val="1B970AE3"/>
    <w:rsid w:val="1C288D70"/>
    <w:rsid w:val="1CDFD1FF"/>
    <w:rsid w:val="1D0240AA"/>
    <w:rsid w:val="1D077C8B"/>
    <w:rsid w:val="1DB74BE7"/>
    <w:rsid w:val="1DBE256E"/>
    <w:rsid w:val="1FB3D32F"/>
    <w:rsid w:val="235B14C8"/>
    <w:rsid w:val="23D38C8C"/>
    <w:rsid w:val="23DE2F4F"/>
    <w:rsid w:val="2514BBED"/>
    <w:rsid w:val="26240F22"/>
    <w:rsid w:val="267ED2E2"/>
    <w:rsid w:val="2759A4E4"/>
    <w:rsid w:val="27CBCA89"/>
    <w:rsid w:val="296ABCC1"/>
    <w:rsid w:val="29893A52"/>
    <w:rsid w:val="29FE3D52"/>
    <w:rsid w:val="2A46329F"/>
    <w:rsid w:val="2B63DA37"/>
    <w:rsid w:val="2B7150E5"/>
    <w:rsid w:val="2B98E46E"/>
    <w:rsid w:val="2C3F61FC"/>
    <w:rsid w:val="2C90A254"/>
    <w:rsid w:val="2D6ACE88"/>
    <w:rsid w:val="2EC84C56"/>
    <w:rsid w:val="302D8085"/>
    <w:rsid w:val="30E893D9"/>
    <w:rsid w:val="3100E9B6"/>
    <w:rsid w:val="31DB6EA1"/>
    <w:rsid w:val="32196BC2"/>
    <w:rsid w:val="32AF42BF"/>
    <w:rsid w:val="3336E9B7"/>
    <w:rsid w:val="339E424B"/>
    <w:rsid w:val="348AF8B3"/>
    <w:rsid w:val="34D153B3"/>
    <w:rsid w:val="35B6FDFB"/>
    <w:rsid w:val="3960166A"/>
    <w:rsid w:val="3AB68A28"/>
    <w:rsid w:val="3CD963B7"/>
    <w:rsid w:val="3D362B8A"/>
    <w:rsid w:val="402385FF"/>
    <w:rsid w:val="40BD6C02"/>
    <w:rsid w:val="419AB67E"/>
    <w:rsid w:val="42798A0D"/>
    <w:rsid w:val="42802575"/>
    <w:rsid w:val="42BA54AE"/>
    <w:rsid w:val="42D0C799"/>
    <w:rsid w:val="44310B4A"/>
    <w:rsid w:val="44FA15BB"/>
    <w:rsid w:val="457BFD5D"/>
    <w:rsid w:val="458B8A49"/>
    <w:rsid w:val="45B1362C"/>
    <w:rsid w:val="49E20126"/>
    <w:rsid w:val="4A42AFFC"/>
    <w:rsid w:val="4CCD302F"/>
    <w:rsid w:val="4E99CBCF"/>
    <w:rsid w:val="4F23504B"/>
    <w:rsid w:val="4F4F86E6"/>
    <w:rsid w:val="514EDFD7"/>
    <w:rsid w:val="543E0C4B"/>
    <w:rsid w:val="54B8D210"/>
    <w:rsid w:val="55F3E64F"/>
    <w:rsid w:val="57302431"/>
    <w:rsid w:val="573BB4B9"/>
    <w:rsid w:val="5749B08D"/>
    <w:rsid w:val="57CDE08D"/>
    <w:rsid w:val="590A0C09"/>
    <w:rsid w:val="5951F37E"/>
    <w:rsid w:val="5B7DA389"/>
    <w:rsid w:val="5E5FCE61"/>
    <w:rsid w:val="5ECCCB1E"/>
    <w:rsid w:val="5F2B2CC5"/>
    <w:rsid w:val="5F62B06A"/>
    <w:rsid w:val="600009F2"/>
    <w:rsid w:val="608AAA90"/>
    <w:rsid w:val="62E0B7B7"/>
    <w:rsid w:val="64556425"/>
    <w:rsid w:val="673CAEB9"/>
    <w:rsid w:val="6746C919"/>
    <w:rsid w:val="6766E9CF"/>
    <w:rsid w:val="687E2BF0"/>
    <w:rsid w:val="68943BDF"/>
    <w:rsid w:val="694FE709"/>
    <w:rsid w:val="69A6F2BD"/>
    <w:rsid w:val="6C280315"/>
    <w:rsid w:val="6DDAAB40"/>
    <w:rsid w:val="6F002AE7"/>
    <w:rsid w:val="6FDB5F97"/>
    <w:rsid w:val="709167FE"/>
    <w:rsid w:val="719FF40C"/>
    <w:rsid w:val="745DE1F5"/>
    <w:rsid w:val="7461DA6F"/>
    <w:rsid w:val="7464274C"/>
    <w:rsid w:val="75E3C4F2"/>
    <w:rsid w:val="7603E70F"/>
    <w:rsid w:val="7950296C"/>
    <w:rsid w:val="7967B312"/>
    <w:rsid w:val="7A1DE546"/>
    <w:rsid w:val="7A33F5DE"/>
    <w:rsid w:val="7AE4EAC7"/>
    <w:rsid w:val="7C66C031"/>
    <w:rsid w:val="7D8672E8"/>
    <w:rsid w:val="7E6781A9"/>
    <w:rsid w:val="7F0935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7DCD1"/>
  <w15:chartTrackingRefBased/>
  <w15:docId w15:val="{54DB3D7A-4815-45E6-AF8C-89EF3D1BD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eastAsia="Century Gothic" w:ascii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B4A22"/>
    <w:pPr>
      <w:widowControl w:val="0"/>
      <w:autoSpaceDE w:val="0"/>
      <w:autoSpaceDN w:val="0"/>
      <w:spacing w:before="120" w:after="120"/>
    </w:pPr>
    <w:rPr>
      <w:rFonts w:ascii="Arial" w:hAnsi="Arial" w:cs="Century Gothic"/>
      <w:kern w:val="0"/>
      <w:sz w:val="24"/>
      <w:lang w:eastAsia="en-AU" w:bidi="en-AU"/>
      <w14:ligatures w14:val="none"/>
    </w:rPr>
  </w:style>
  <w:style w:type="paragraph" w:styleId="Heading1">
    <w:name w:val="heading 1"/>
    <w:basedOn w:val="Normal"/>
    <w:next w:val="Normal"/>
    <w:link w:val="Heading1Char"/>
    <w:uiPriority w:val="1"/>
    <w:qFormat/>
    <w:rsid w:val="00DB62EF"/>
    <w:pPr>
      <w:spacing w:before="240" w:after="240"/>
      <w:outlineLvl w:val="0"/>
    </w:pPr>
    <w:rPr>
      <w:b/>
      <w:bCs/>
      <w:sz w:val="36"/>
      <w:szCs w:val="28"/>
    </w:rPr>
  </w:style>
  <w:style w:type="paragraph" w:styleId="Heading2">
    <w:name w:val="heading 2"/>
    <w:basedOn w:val="Normal"/>
    <w:next w:val="Normal"/>
    <w:link w:val="Heading2Char"/>
    <w:uiPriority w:val="1"/>
    <w:unhideWhenUsed/>
    <w:qFormat/>
    <w:rsid w:val="007E77A2"/>
    <w:pPr>
      <w:spacing w:before="360" w:after="360"/>
      <w:outlineLvl w:val="1"/>
    </w:pPr>
    <w:rPr>
      <w:b/>
      <w:bCs/>
      <w:sz w:val="32"/>
    </w:rPr>
  </w:style>
  <w:style w:type="paragraph" w:styleId="Heading3">
    <w:name w:val="heading 3"/>
    <w:basedOn w:val="Normal"/>
    <w:next w:val="Normal"/>
    <w:link w:val="Heading3Char"/>
    <w:uiPriority w:val="1"/>
    <w:unhideWhenUsed/>
    <w:qFormat/>
    <w:rsid w:val="00DB62EF"/>
    <w:pPr>
      <w:spacing w:before="240"/>
      <w:outlineLvl w:val="2"/>
    </w:pPr>
    <w:rPr>
      <w:b/>
      <w:bCs/>
      <w:sz w:val="28"/>
    </w:rPr>
  </w:style>
  <w:style w:type="paragraph" w:styleId="Heading4">
    <w:name w:val="heading 4"/>
    <w:basedOn w:val="Heading3"/>
    <w:next w:val="Normal"/>
    <w:link w:val="Heading4Char"/>
    <w:uiPriority w:val="1"/>
    <w:unhideWhenUsed/>
    <w:qFormat/>
    <w:rsid w:val="00DB62EF"/>
    <w:pPr>
      <w:spacing w:before="120"/>
      <w:outlineLvl w:val="3"/>
    </w:pPr>
    <w:rPr>
      <w:bCs w:val="0"/>
      <w:iCs/>
      <w:sz w:val="26"/>
    </w:rPr>
  </w:style>
  <w:style w:type="paragraph" w:styleId="Heading5">
    <w:name w:val="heading 5"/>
    <w:basedOn w:val="Normal"/>
    <w:next w:val="Normal"/>
    <w:link w:val="Heading5Char"/>
    <w:uiPriority w:val="1"/>
    <w:rsid w:val="00DB62EF"/>
    <w:pPr>
      <w:keepNext/>
      <w:keepLines/>
      <w:outlineLvl w:val="4"/>
    </w:pPr>
    <w:rPr>
      <w:rFonts w:eastAsiaTheme="majorEastAsia" w:cstheme="majorBidi"/>
      <w:b/>
    </w:rPr>
  </w:style>
  <w:style w:type="paragraph" w:styleId="Heading6">
    <w:name w:val="heading 6"/>
    <w:basedOn w:val="Normal"/>
    <w:next w:val="Normal"/>
    <w:link w:val="Heading6Char"/>
    <w:uiPriority w:val="1"/>
    <w:qFormat/>
    <w:rsid w:val="00F741A5"/>
    <w:pPr>
      <w:keepNext/>
      <w:keepLines/>
      <w:outlineLvl w:val="5"/>
    </w:pPr>
    <w:rPr>
      <w:rFonts w:eastAsiaTheme="majorEastAsia" w:cstheme="majorBidi"/>
      <w:b/>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1"/>
    <w:rsid w:val="00F741A5"/>
    <w:rPr>
      <w:rFonts w:ascii="Arial" w:hAnsi="Arial" w:cs="Century Gothic"/>
      <w:b/>
      <w:bCs/>
      <w:kern w:val="0"/>
      <w:sz w:val="36"/>
      <w:szCs w:val="28"/>
      <w:lang w:eastAsia="en-AU" w:bidi="en-AU"/>
      <w14:ligatures w14:val="none"/>
    </w:rPr>
  </w:style>
  <w:style w:type="paragraph" w:styleId="Bullet2" w:customStyle="1">
    <w:name w:val="Bullet 2"/>
    <w:basedOn w:val="Normal"/>
    <w:uiPriority w:val="4"/>
    <w:rsid w:val="00F741A5"/>
    <w:pPr>
      <w:numPr>
        <w:ilvl w:val="1"/>
        <w:numId w:val="4"/>
      </w:numPr>
    </w:pPr>
  </w:style>
  <w:style w:type="paragraph" w:styleId="Quote">
    <w:name w:val="Quote"/>
    <w:aliases w:val="ACT"/>
    <w:basedOn w:val="Normal"/>
    <w:next w:val="Normal"/>
    <w:link w:val="QuoteChar"/>
    <w:uiPriority w:val="29"/>
    <w:qFormat/>
    <w:rsid w:val="00F741A5"/>
    <w:rPr>
      <w:i/>
      <w:iCs/>
    </w:rPr>
  </w:style>
  <w:style w:type="character" w:styleId="QuoteChar" w:customStyle="1">
    <w:name w:val="Quote Char"/>
    <w:aliases w:val="ACT Char"/>
    <w:basedOn w:val="DefaultParagraphFont"/>
    <w:link w:val="Quote"/>
    <w:uiPriority w:val="29"/>
    <w:rsid w:val="00F741A5"/>
    <w:rPr>
      <w:rFonts w:ascii="Arial" w:hAnsi="Arial" w:cs="Century Gothic"/>
      <w:i/>
      <w:iCs/>
      <w:kern w:val="0"/>
      <w:sz w:val="24"/>
      <w:lang w:eastAsia="en-AU" w:bidi="en-AU"/>
      <w14:ligatures w14:val="none"/>
    </w:rPr>
  </w:style>
  <w:style w:type="character" w:styleId="Heading2Char" w:customStyle="1">
    <w:name w:val="Heading 2 Char"/>
    <w:basedOn w:val="DefaultParagraphFont"/>
    <w:link w:val="Heading2"/>
    <w:uiPriority w:val="1"/>
    <w:rsid w:val="007E77A2"/>
    <w:rPr>
      <w:rFonts w:ascii="Arial" w:hAnsi="Arial" w:cs="Century Gothic"/>
      <w:b/>
      <w:bCs/>
      <w:kern w:val="0"/>
      <w:sz w:val="32"/>
      <w:lang w:eastAsia="en-AU" w:bidi="en-AU"/>
      <w14:ligatures w14:val="none"/>
    </w:rPr>
  </w:style>
  <w:style w:type="character" w:styleId="Heading3Char" w:customStyle="1">
    <w:name w:val="Heading 3 Char"/>
    <w:basedOn w:val="DefaultParagraphFont"/>
    <w:link w:val="Heading3"/>
    <w:uiPriority w:val="1"/>
    <w:rsid w:val="00F741A5"/>
    <w:rPr>
      <w:rFonts w:ascii="Arial" w:hAnsi="Arial" w:cs="Century Gothic"/>
      <w:b/>
      <w:bCs/>
      <w:kern w:val="0"/>
      <w:sz w:val="28"/>
      <w:lang w:eastAsia="en-AU" w:bidi="en-AU"/>
      <w14:ligatures w14:val="none"/>
    </w:rPr>
  </w:style>
  <w:style w:type="character" w:styleId="Hyperlink">
    <w:name w:val="Hyperlink"/>
    <w:basedOn w:val="DefaultParagraphFont"/>
    <w:uiPriority w:val="99"/>
    <w:unhideWhenUsed/>
    <w:qFormat/>
    <w:rsid w:val="00F741A5"/>
    <w:rPr>
      <w:rFonts w:ascii="Arial" w:hAnsi="Arial"/>
      <w:color w:val="0563C1" w:themeColor="hyperlink"/>
      <w:sz w:val="24"/>
      <w:u w:val="single"/>
    </w:rPr>
  </w:style>
  <w:style w:type="character" w:styleId="UnresolvedMention">
    <w:name w:val="Unresolved Mention"/>
    <w:basedOn w:val="DefaultParagraphFont"/>
    <w:uiPriority w:val="99"/>
    <w:semiHidden/>
    <w:unhideWhenUsed/>
    <w:rsid w:val="00EA0A2E"/>
    <w:rPr>
      <w:color w:val="605E5C"/>
      <w:shd w:val="clear" w:color="auto" w:fill="E1DFDD"/>
    </w:rPr>
  </w:style>
  <w:style w:type="character" w:styleId="FollowedHyperlink">
    <w:name w:val="FollowedHyperlink"/>
    <w:basedOn w:val="DefaultParagraphFont"/>
    <w:uiPriority w:val="99"/>
    <w:semiHidden/>
    <w:unhideWhenUsed/>
    <w:rsid w:val="00B77D0F"/>
    <w:rPr>
      <w:color w:val="954F72" w:themeColor="followedHyperlink"/>
      <w:u w:val="single"/>
    </w:rPr>
  </w:style>
  <w:style w:type="character" w:styleId="CommentReference">
    <w:name w:val="annotation reference"/>
    <w:basedOn w:val="DefaultParagraphFont"/>
    <w:uiPriority w:val="99"/>
    <w:semiHidden/>
    <w:unhideWhenUsed/>
    <w:rsid w:val="00B77D0F"/>
    <w:rPr>
      <w:sz w:val="16"/>
      <w:szCs w:val="16"/>
    </w:rPr>
  </w:style>
  <w:style w:type="paragraph" w:styleId="CommentSubject">
    <w:name w:val="annotation subject"/>
    <w:basedOn w:val="Normal"/>
    <w:next w:val="Normal"/>
    <w:link w:val="CommentSubjectChar"/>
    <w:uiPriority w:val="99"/>
    <w:semiHidden/>
    <w:unhideWhenUsed/>
    <w:rsid w:val="00F741A5"/>
    <w:rPr>
      <w:b/>
      <w:bCs/>
      <w:sz w:val="20"/>
      <w:szCs w:val="20"/>
    </w:rPr>
  </w:style>
  <w:style w:type="character" w:styleId="CommentSubjectChar" w:customStyle="1">
    <w:name w:val="Comment Subject Char"/>
    <w:basedOn w:val="DefaultParagraphFont"/>
    <w:link w:val="CommentSubject"/>
    <w:uiPriority w:val="99"/>
    <w:semiHidden/>
    <w:rsid w:val="00F741A5"/>
    <w:rPr>
      <w:rFonts w:ascii="Arial" w:hAnsi="Arial" w:cs="Century Gothic"/>
      <w:b/>
      <w:bCs/>
      <w:kern w:val="0"/>
      <w:sz w:val="20"/>
      <w:szCs w:val="20"/>
      <w:lang w:eastAsia="en-AU" w:bidi="en-AU"/>
      <w14:ligatures w14:val="none"/>
    </w:rPr>
  </w:style>
  <w:style w:type="paragraph" w:styleId="ListParagraph">
    <w:name w:val="List Paragraph"/>
    <w:basedOn w:val="Normal"/>
    <w:uiPriority w:val="34"/>
    <w:qFormat/>
    <w:rsid w:val="00E1471F"/>
    <w:pPr>
      <w:ind w:left="720"/>
      <w:contextualSpacing/>
    </w:pPr>
  </w:style>
  <w:style w:type="paragraph" w:styleId="Bulletlist" w:customStyle="1">
    <w:name w:val="Bullet list"/>
    <w:basedOn w:val="ListParagraph"/>
    <w:uiPriority w:val="3"/>
    <w:rsid w:val="00E1471F"/>
    <w:pPr>
      <w:numPr>
        <w:numId w:val="1"/>
      </w:numPr>
    </w:pPr>
  </w:style>
  <w:style w:type="character" w:styleId="Heading4Char" w:customStyle="1">
    <w:name w:val="Heading 4 Char"/>
    <w:basedOn w:val="DefaultParagraphFont"/>
    <w:link w:val="Heading4"/>
    <w:uiPriority w:val="1"/>
    <w:rsid w:val="00F741A5"/>
    <w:rPr>
      <w:rFonts w:ascii="Arial" w:hAnsi="Arial" w:cs="Century Gothic"/>
      <w:b/>
      <w:iCs/>
      <w:kern w:val="0"/>
      <w:sz w:val="26"/>
      <w:lang w:eastAsia="en-AU" w:bidi="en-AU"/>
      <w14:ligatures w14:val="none"/>
    </w:rPr>
  </w:style>
  <w:style w:type="paragraph" w:styleId="Tableheader" w:customStyle="1">
    <w:name w:val="Table header"/>
    <w:basedOn w:val="Normal"/>
    <w:uiPriority w:val="2"/>
    <w:rsid w:val="00DE17C1"/>
    <w:pPr>
      <w:widowControl/>
      <w:autoSpaceDE/>
      <w:autoSpaceDN/>
      <w:spacing w:before="60" w:after="60" w:line="240" w:lineRule="auto"/>
      <w:ind w:left="113"/>
    </w:pPr>
    <w:rPr>
      <w:rFonts w:eastAsia="Times New Roman" w:cs="Times New Roman"/>
      <w:b/>
      <w:sz w:val="22"/>
      <w:szCs w:val="20"/>
      <w:lang w:bidi="ar-SA"/>
    </w:rPr>
  </w:style>
  <w:style w:type="paragraph" w:styleId="Tabletext" w:customStyle="1">
    <w:name w:val="Table text"/>
    <w:uiPriority w:val="2"/>
    <w:rsid w:val="00DE17C1"/>
    <w:pPr>
      <w:spacing w:before="60" w:after="60" w:line="240" w:lineRule="auto"/>
    </w:pPr>
    <w:rPr>
      <w:rFonts w:ascii="Arial" w:hAnsi="Arial" w:eastAsia="Times New Roman" w:cs="Times New Roman"/>
      <w:color w:val="538135" w:themeColor="accent6" w:themeShade="BF"/>
      <w:kern w:val="0"/>
      <w:szCs w:val="20"/>
      <w:lang w:eastAsia="en-AU"/>
      <w14:ligatures w14:val="none"/>
    </w:rPr>
  </w:style>
  <w:style w:type="character" w:styleId="Heading5Char" w:customStyle="1">
    <w:name w:val="Heading 5 Char"/>
    <w:basedOn w:val="DefaultParagraphFont"/>
    <w:link w:val="Heading5"/>
    <w:uiPriority w:val="1"/>
    <w:rsid w:val="00F741A5"/>
    <w:rPr>
      <w:rFonts w:ascii="Arial" w:hAnsi="Arial" w:eastAsiaTheme="majorEastAsia" w:cstheme="majorBidi"/>
      <w:b/>
      <w:kern w:val="0"/>
      <w:sz w:val="24"/>
      <w:lang w:eastAsia="en-AU" w:bidi="en-AU"/>
      <w14:ligatures w14:val="none"/>
    </w:rPr>
  </w:style>
  <w:style w:type="character" w:styleId="Heading6Char" w:customStyle="1">
    <w:name w:val="Heading 6 Char"/>
    <w:basedOn w:val="DefaultParagraphFont"/>
    <w:link w:val="Heading6"/>
    <w:uiPriority w:val="1"/>
    <w:rsid w:val="00F741A5"/>
    <w:rPr>
      <w:rFonts w:ascii="Arial" w:hAnsi="Arial" w:eastAsiaTheme="majorEastAsia" w:cstheme="majorBidi"/>
      <w:b/>
      <w:i/>
      <w:kern w:val="0"/>
      <w:sz w:val="24"/>
      <w:lang w:eastAsia="en-AU" w:bidi="en-AU"/>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rFonts w:ascii="Arial" w:hAnsi="Arial" w:cs="Century Gothic"/>
      <w:kern w:val="0"/>
      <w:sz w:val="20"/>
      <w:szCs w:val="20"/>
      <w:lang w:eastAsia="en-AU" w:bidi="en-AU"/>
      <w14:ligatures w14:val="none"/>
    </w:rPr>
  </w:style>
  <w:style w:type="paragraph" w:styleId="Revision">
    <w:name w:val="Revision"/>
    <w:hidden/>
    <w:uiPriority w:val="99"/>
    <w:semiHidden/>
    <w:rsid w:val="005E5634"/>
    <w:pPr>
      <w:spacing w:after="0" w:line="240" w:lineRule="auto"/>
    </w:pPr>
    <w:rPr>
      <w:rFonts w:ascii="Arial" w:hAnsi="Arial" w:cs="Century Gothic"/>
      <w:kern w:val="0"/>
      <w:sz w:val="24"/>
      <w:lang w:eastAsia="en-AU" w:bidi="en-AU"/>
      <w14:ligatures w14:val="none"/>
    </w:rPr>
  </w:style>
  <w:style w:type="paragraph" w:styleId="Header">
    <w:name w:val="header"/>
    <w:basedOn w:val="Normal"/>
    <w:link w:val="HeaderChar"/>
    <w:uiPriority w:val="99"/>
    <w:unhideWhenUsed/>
    <w:rsid w:val="00A46FEF"/>
    <w:pPr>
      <w:tabs>
        <w:tab w:val="center" w:pos="4513"/>
        <w:tab w:val="right" w:pos="9026"/>
      </w:tabs>
      <w:spacing w:before="0" w:after="0" w:line="240" w:lineRule="auto"/>
    </w:pPr>
  </w:style>
  <w:style w:type="character" w:styleId="HeaderChar" w:customStyle="1">
    <w:name w:val="Header Char"/>
    <w:basedOn w:val="DefaultParagraphFont"/>
    <w:link w:val="Header"/>
    <w:uiPriority w:val="99"/>
    <w:rsid w:val="00A46FEF"/>
    <w:rPr>
      <w:rFonts w:ascii="Arial" w:hAnsi="Arial" w:cs="Century Gothic"/>
      <w:kern w:val="0"/>
      <w:sz w:val="24"/>
      <w:lang w:eastAsia="en-AU" w:bidi="en-AU"/>
      <w14:ligatures w14:val="none"/>
    </w:rPr>
  </w:style>
  <w:style w:type="paragraph" w:styleId="Footer">
    <w:name w:val="footer"/>
    <w:basedOn w:val="Normal"/>
    <w:link w:val="FooterChar"/>
    <w:uiPriority w:val="99"/>
    <w:unhideWhenUsed/>
    <w:rsid w:val="00A46FEF"/>
    <w:pPr>
      <w:tabs>
        <w:tab w:val="center" w:pos="4513"/>
        <w:tab w:val="right" w:pos="9026"/>
      </w:tabs>
      <w:spacing w:before="0" w:after="0" w:line="240" w:lineRule="auto"/>
    </w:pPr>
  </w:style>
  <w:style w:type="character" w:styleId="FooterChar" w:customStyle="1">
    <w:name w:val="Footer Char"/>
    <w:basedOn w:val="DefaultParagraphFont"/>
    <w:link w:val="Footer"/>
    <w:uiPriority w:val="99"/>
    <w:rsid w:val="00A46FEF"/>
    <w:rPr>
      <w:rFonts w:ascii="Arial" w:hAnsi="Arial" w:cs="Century Gothic"/>
      <w:kern w:val="0"/>
      <w:sz w:val="24"/>
      <w:lang w:eastAsia="en-AU" w:bidi="en-AU"/>
      <w14:ligatures w14:val="none"/>
    </w:rPr>
  </w:style>
  <w:style w:type="paragraph" w:styleId="Bullet1" w:customStyle="1">
    <w:name w:val="Bullet 1"/>
    <w:basedOn w:val="Normal"/>
    <w:uiPriority w:val="99"/>
    <w:rsid w:val="009B2938"/>
    <w:pPr>
      <w:widowControl/>
      <w:suppressAutoHyphens/>
      <w:adjustRightInd w:val="0"/>
      <w:spacing w:before="0" w:after="200" w:line="240" w:lineRule="auto"/>
    </w:pPr>
    <w:rPr>
      <w:rFonts w:eastAsia="Times New Roman" w:cs="Arial"/>
      <w:color w:val="000000"/>
      <w:sz w:val="20"/>
      <w:szCs w:val="20"/>
      <w:lang w:val="en-GB" w:bidi="ar-SA"/>
    </w:rPr>
  </w:style>
  <w:style w:type="paragraph" w:styleId="paragraph" w:customStyle="1">
    <w:name w:val="paragraph"/>
    <w:basedOn w:val="Normal"/>
    <w:rsid w:val="00F8695C"/>
    <w:pPr>
      <w:widowControl/>
      <w:autoSpaceDE/>
      <w:autoSpaceDN/>
      <w:spacing w:before="100" w:beforeAutospacing="1" w:after="100" w:afterAutospacing="1" w:line="240" w:lineRule="auto"/>
    </w:pPr>
    <w:rPr>
      <w:rFonts w:ascii="Times New Roman" w:hAnsi="Times New Roman" w:eastAsia="Times New Roman" w:cs="Times New Roman"/>
      <w:szCs w:val="24"/>
      <w:lang w:bidi="ar-SA"/>
    </w:rPr>
  </w:style>
  <w:style w:type="character" w:styleId="normaltextrun" w:customStyle="1">
    <w:name w:val="normaltextrun"/>
    <w:basedOn w:val="DefaultParagraphFont"/>
    <w:rsid w:val="00F8695C"/>
  </w:style>
  <w:style w:type="character" w:styleId="eop" w:customStyle="1">
    <w:name w:val="eop"/>
    <w:basedOn w:val="DefaultParagraphFont"/>
    <w:rsid w:val="00F86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341652">
      <w:bodyDiv w:val="1"/>
      <w:marLeft w:val="0"/>
      <w:marRight w:val="0"/>
      <w:marTop w:val="0"/>
      <w:marBottom w:val="0"/>
      <w:divBdr>
        <w:top w:val="none" w:sz="0" w:space="0" w:color="auto"/>
        <w:left w:val="none" w:sz="0" w:space="0" w:color="auto"/>
        <w:bottom w:val="none" w:sz="0" w:space="0" w:color="auto"/>
        <w:right w:val="none" w:sz="0" w:space="0" w:color="auto"/>
      </w:divBdr>
      <w:divsChild>
        <w:div w:id="1475759630">
          <w:marLeft w:val="0"/>
          <w:marRight w:val="0"/>
          <w:marTop w:val="0"/>
          <w:marBottom w:val="0"/>
          <w:divBdr>
            <w:top w:val="none" w:sz="0" w:space="0" w:color="auto"/>
            <w:left w:val="none" w:sz="0" w:space="0" w:color="auto"/>
            <w:bottom w:val="none" w:sz="0" w:space="0" w:color="auto"/>
            <w:right w:val="none" w:sz="0" w:space="0" w:color="auto"/>
          </w:divBdr>
        </w:div>
        <w:div w:id="1639842725">
          <w:marLeft w:val="0"/>
          <w:marRight w:val="0"/>
          <w:marTop w:val="0"/>
          <w:marBottom w:val="0"/>
          <w:divBdr>
            <w:top w:val="none" w:sz="0" w:space="0" w:color="auto"/>
            <w:left w:val="none" w:sz="0" w:space="0" w:color="auto"/>
            <w:bottom w:val="none" w:sz="0" w:space="0" w:color="auto"/>
            <w:right w:val="none" w:sz="0" w:space="0" w:color="auto"/>
          </w:divBdr>
        </w:div>
      </w:divsChild>
    </w:div>
    <w:div w:id="1032194223">
      <w:bodyDiv w:val="1"/>
      <w:marLeft w:val="0"/>
      <w:marRight w:val="0"/>
      <w:marTop w:val="0"/>
      <w:marBottom w:val="0"/>
      <w:divBdr>
        <w:top w:val="none" w:sz="0" w:space="0" w:color="auto"/>
        <w:left w:val="none" w:sz="0" w:space="0" w:color="auto"/>
        <w:bottom w:val="none" w:sz="0" w:space="0" w:color="auto"/>
        <w:right w:val="none" w:sz="0" w:space="0" w:color="auto"/>
      </w:divBdr>
      <w:divsChild>
        <w:div w:id="1422333899">
          <w:marLeft w:val="0"/>
          <w:marRight w:val="0"/>
          <w:marTop w:val="0"/>
          <w:marBottom w:val="0"/>
          <w:divBdr>
            <w:top w:val="none" w:sz="0" w:space="0" w:color="auto"/>
            <w:left w:val="none" w:sz="0" w:space="0" w:color="auto"/>
            <w:bottom w:val="none" w:sz="0" w:space="0" w:color="auto"/>
            <w:right w:val="none" w:sz="0" w:space="0" w:color="auto"/>
          </w:divBdr>
        </w:div>
        <w:div w:id="1561669427">
          <w:marLeft w:val="0"/>
          <w:marRight w:val="0"/>
          <w:marTop w:val="0"/>
          <w:marBottom w:val="0"/>
          <w:divBdr>
            <w:top w:val="none" w:sz="0" w:space="0" w:color="auto"/>
            <w:left w:val="none" w:sz="0" w:space="0" w:color="auto"/>
            <w:bottom w:val="none" w:sz="0" w:space="0" w:color="auto"/>
            <w:right w:val="none" w:sz="0" w:space="0" w:color="auto"/>
          </w:divBdr>
        </w:div>
        <w:div w:id="200239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hyperlink" Target="mailto:BREP@transport.vic.gov.au" TargetMode="External" Id="rId15" /><Relationship Type="http://schemas.microsoft.com/office/2011/relationships/people" Target="peop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vpa.vic.gov.au/project/brep/" TargetMode="External" Id="rId14"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85\AppData\Local\Microsoft\Windows\INetCache\Content.Outlook\OHOGD967\Explanatory%20Report%20-%20Boroondara%20accessible%20version%20-%202023-09-14.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22981C9C628A478FB16498A5BF937A" ma:contentTypeVersion="55" ma:contentTypeDescription="Create a new document." ma:contentTypeScope="" ma:versionID="b0856332c77832e7db6bebadb11f8ba8">
  <xsd:schema xmlns:xsd="http://www.w3.org/2001/XMLSchema" xmlns:xs="http://www.w3.org/2001/XMLSchema" xmlns:p="http://schemas.microsoft.com/office/2006/metadata/properties" xmlns:ns2="4fdd728e-833c-48c5-805e-65ec2f07fb05" xmlns:ns3="e2da5281-84a0-430a-a803-36456b4c9a2c" targetNamespace="http://schemas.microsoft.com/office/2006/metadata/properties" ma:root="true" ma:fieldsID="a1bdc0af68f69477e6528e6d2ed266b4" ns2:_="" ns3:_="">
    <xsd:import namespace="4fdd728e-833c-48c5-805e-65ec2f07fb05"/>
    <xsd:import namespace="e2da5281-84a0-430a-a803-36456b4c9a2c"/>
    <xsd:element name="properties">
      <xsd:complexType>
        <xsd:sequence>
          <xsd:element name="documentManagement">
            <xsd:complexType>
              <xsd:all>
                <xsd:element ref="ns2:MigrationWizId" minOccurs="0"/>
                <xsd:element ref="ns2:MigrationWizIdPermissions" minOccurs="0"/>
                <xsd:element ref="ns2:MigrationWizIdVersion" minOccurs="0"/>
                <xsd:element ref="ns2:_dlc_DocIdUrl" minOccurs="0"/>
                <xsd:element ref="ns2:Sign_x002d_off_x0020_status" minOccurs="0"/>
                <xsd:element ref="ns2:DocCreatedSaved" minOccurs="0"/>
                <xsd:element ref="ns2:DocModifiedSaved" minOccurs="0"/>
                <xsd:element ref="ns2:EmAttachCount" minOccurs="0"/>
                <xsd:element ref="ns2:EmAttachmentNames" minOccurs="0"/>
                <xsd:element ref="ns2:EmBCC" minOccurs="0"/>
                <xsd:element ref="ns2:EmBCCSMTPAddress" minOccurs="0"/>
                <xsd:element ref="ns2:EmBody" minOccurs="0"/>
                <xsd:element ref="ns2:EmCategory" minOccurs="0"/>
                <xsd:element ref="ns2:EmCC" minOccurs="0"/>
                <xsd:element ref="ns2:EmCCSMTPAddress" minOccurs="0"/>
                <xsd:element ref="ns2:EmCompanies" minOccurs="0"/>
                <xsd:element ref="ns2:EmCon" minOccurs="0"/>
                <xsd:element ref="ns2:EmConversationID" minOccurs="0"/>
                <xsd:element ref="ns2:EmConversationIndex" minOccurs="0"/>
                <xsd:element ref="ns2:EmDate" minOccurs="0"/>
                <xsd:element ref="ns2:EmDateReceived" minOccurs="0"/>
                <xsd:element ref="ns2:EmDateSent" minOccurs="0"/>
                <xsd:element ref="ns2:EmFrom" minOccurs="0"/>
                <xsd:element ref="ns2:EmFromName" minOccurs="0"/>
                <xsd:element ref="ns2:EmFromSMTPAddress" minOccurs="0"/>
                <xsd:element ref="ns2:EmHasAttachments" minOccurs="0"/>
                <xsd:element ref="ns2:EmID" minOccurs="0"/>
                <xsd:element ref="ns2:EmImportance" minOccurs="0"/>
                <xsd:element ref="ns2:EmReceivedByName" minOccurs="0"/>
                <xsd:element ref="ns2:EmReceivedOnBehalfOfName" minOccurs="0"/>
                <xsd:element ref="ns2:EmReplyRecipientNames" minOccurs="0"/>
                <xsd:element ref="ns2:EmReplyRecipients" minOccurs="0"/>
                <xsd:element ref="ns2:EmRetentionPolicyName" minOccurs="0"/>
                <xsd:element ref="ns2:EmSensitivity" minOccurs="0"/>
                <xsd:element ref="ns2:EmSentOnBehalfOfName" minOccurs="0"/>
                <xsd:element ref="ns2:EmSubject" minOccurs="0"/>
                <xsd:element ref="ns2:EmTo" minOccurs="0"/>
                <xsd:element ref="ns2:EmToAddress" minOccurs="0"/>
                <xsd:element ref="ns2:EmToSMTPAddress"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igrationWizIdPermissionLevels" minOccurs="0"/>
                <xsd:element ref="ns2:MigrationWizIdDocumentLibraryPermissions" minOccurs="0"/>
                <xsd:element ref="ns2:MigrationWizIdSecurityGroup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728e-833c-48c5-805e-65ec2f07fb05"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dlc_DocIdUrl" ma:index="11" nillable="true" ma:displayName="Document ID" ma:format="" ma:internalName="_dlc_DocIdUrl">
      <xsd:complexType>
        <xsd:complexContent>
          <xsd:extension base="dms:URL">
            <xsd:sequence>
              <xsd:element name="Url" type="dms:ValidUrl" minOccurs="0" nillable="true"/>
              <xsd:element name="Description" type="xsd:string" nillable="true"/>
            </xsd:sequence>
          </xsd:extension>
        </xsd:complexContent>
      </xsd:complexType>
    </xsd:element>
    <xsd:element name="Sign_x002d_off_x0020_status" ma:index="12" nillable="true" ma:displayName="Sign-off status" ma:internalName="Sign_x002d_off_x0020_status" ma:readOnly="false">
      <xsd:simpleType>
        <xsd:restriction base="dms:Text">
          <xsd:maxLength value="255"/>
        </xsd:restriction>
      </xsd:simpleType>
    </xsd:element>
    <xsd:element name="DocCreatedSaved" ma:index="13" nillable="true" ma:displayName="Document Created Saved" ma:format="DateTime" ma:internalName="DocCreatedSaved" ma:readOnly="false">
      <xsd:simpleType>
        <xsd:restriction base="dms:DateTime"/>
      </xsd:simpleType>
    </xsd:element>
    <xsd:element name="DocModifiedSaved" ma:index="14" nillable="true" ma:displayName="Document Modified Saved" ma:format="DateTime" ma:internalName="DocModifiedSaved" ma:readOnly="false">
      <xsd:simpleType>
        <xsd:restriction base="dms:DateTime"/>
      </xsd:simpleType>
    </xsd:element>
    <xsd:element name="EmAttachCount" ma:index="15" nillable="true" ma:displayName="Email Attachment Count" ma:internalName="EmAttachCount" ma:readOnly="false">
      <xsd:simpleType>
        <xsd:restriction base="dms:Text">
          <xsd:maxLength value="255"/>
        </xsd:restriction>
      </xsd:simpleType>
    </xsd:element>
    <xsd:element name="EmAttachmentNames" ma:index="16" nillable="true" ma:displayName="Email Attachment Names" ma:internalName="EmAttachmentNames" ma:readOnly="false">
      <xsd:simpleType>
        <xsd:restriction base="dms:Note">
          <xsd:maxLength value="255"/>
        </xsd:restriction>
      </xsd:simpleType>
    </xsd:element>
    <xsd:element name="EmBCC" ma:index="17" nillable="true" ma:displayName="Email BCC" ma:internalName="EmBCC" ma:readOnly="false">
      <xsd:simpleType>
        <xsd:restriction base="dms:Note">
          <xsd:maxLength value="255"/>
        </xsd:restriction>
      </xsd:simpleType>
    </xsd:element>
    <xsd:element name="EmBCCSMTPAddress" ma:index="18" nillable="true" ma:displayName="Email BCC SMTP Address" ma:internalName="EmBCCSMTPAddress" ma:readOnly="false">
      <xsd:simpleType>
        <xsd:restriction base="dms:Note">
          <xsd:maxLength value="255"/>
        </xsd:restriction>
      </xsd:simpleType>
    </xsd:element>
    <xsd:element name="EmBody" ma:index="19" nillable="true" ma:displayName="Email Body" ma:internalName="EmBody" ma:readOnly="false">
      <xsd:simpleType>
        <xsd:restriction base="dms:Note">
          <xsd:maxLength value="255"/>
        </xsd:restriction>
      </xsd:simpleType>
    </xsd:element>
    <xsd:element name="EmCategory" ma:index="20" nillable="true" ma:displayName="Email Category" ma:internalName="EmCategory" ma:readOnly="false">
      <xsd:simpleType>
        <xsd:restriction base="dms:Text">
          <xsd:maxLength value="255"/>
        </xsd:restriction>
      </xsd:simpleType>
    </xsd:element>
    <xsd:element name="EmCC" ma:index="21" nillable="true" ma:displayName="Email CC" ma:internalName="EmCC" ma:readOnly="false">
      <xsd:simpleType>
        <xsd:restriction base="dms:Note">
          <xsd:maxLength value="255"/>
        </xsd:restriction>
      </xsd:simpleType>
    </xsd:element>
    <xsd:element name="EmCCSMTPAddress" ma:index="22" nillable="true" ma:displayName="Email CC SMTP Address" ma:internalName="EmCCSMTPAddress" ma:readOnly="false">
      <xsd:simpleType>
        <xsd:restriction base="dms:Note">
          <xsd:maxLength value="255"/>
        </xsd:restriction>
      </xsd:simpleType>
    </xsd:element>
    <xsd:element name="EmCompanies" ma:index="23" nillable="true" ma:displayName="Email Companies" ma:internalName="EmCompanies" ma:readOnly="false">
      <xsd:simpleType>
        <xsd:restriction base="dms:Text">
          <xsd:maxLength value="255"/>
        </xsd:restriction>
      </xsd:simpleType>
    </xsd:element>
    <xsd:element name="EmCon" ma:index="24" nillable="true" ma:displayName="Email Conversation" ma:internalName="EmCon" ma:readOnly="false">
      <xsd:simpleType>
        <xsd:restriction base="dms:Text">
          <xsd:maxLength value="255"/>
        </xsd:restriction>
      </xsd:simpleType>
    </xsd:element>
    <xsd:element name="EmConversationID" ma:index="25" nillable="true" ma:displayName="Email Conversation ID" ma:internalName="EmConversationID" ma:readOnly="false">
      <xsd:simpleType>
        <xsd:restriction base="dms:Note">
          <xsd:maxLength value="255"/>
        </xsd:restriction>
      </xsd:simpleType>
    </xsd:element>
    <xsd:element name="EmConversationIndex" ma:index="26" nillable="true" ma:displayName="Email Conversation Index" ma:internalName="EmConversationIndex" ma:readOnly="false">
      <xsd:simpleType>
        <xsd:restriction base="dms:Note">
          <xsd:maxLength value="255"/>
        </xsd:restriction>
      </xsd:simpleType>
    </xsd:element>
    <xsd:element name="EmDate" ma:index="27" nillable="true" ma:displayName="Email Date" ma:format="DateTime" ma:indexed="true" ma:internalName="EmDate" ma:readOnly="false">
      <xsd:simpleType>
        <xsd:restriction base="dms:DateTime"/>
      </xsd:simpleType>
    </xsd:element>
    <xsd:element name="EmDateReceived" ma:index="28" nillable="true" ma:displayName="Email Date Received" ma:format="DateTime" ma:internalName="EmDateReceived" ma:readOnly="false">
      <xsd:simpleType>
        <xsd:restriction base="dms:DateTime"/>
      </xsd:simpleType>
    </xsd:element>
    <xsd:element name="EmDateSent" ma:index="29" nillable="true" ma:displayName="Email Date Sent" ma:format="DateTime" ma:internalName="EmDateSent" ma:readOnly="false">
      <xsd:simpleType>
        <xsd:restriction base="dms:DateTime"/>
      </xsd:simpleType>
    </xsd:element>
    <xsd:element name="EmFrom" ma:index="30" nillable="true" ma:displayName="Email From" ma:internalName="EmFrom" ma:readOnly="false">
      <xsd:simpleType>
        <xsd:restriction base="dms:Text">
          <xsd:maxLength value="255"/>
        </xsd:restriction>
      </xsd:simpleType>
    </xsd:element>
    <xsd:element name="EmFromName" ma:index="31" nillable="true" ma:displayName="Email From Name" ma:internalName="EmFromName" ma:readOnly="false">
      <xsd:simpleType>
        <xsd:restriction base="dms:Text">
          <xsd:maxLength value="255"/>
        </xsd:restriction>
      </xsd:simpleType>
    </xsd:element>
    <xsd:element name="EmFromSMTPAddress" ma:index="32" nillable="true" ma:displayName="Email From SMTP Address" ma:internalName="EmFromSMTPAddress" ma:readOnly="false">
      <xsd:simpleType>
        <xsd:restriction base="dms:Text">
          <xsd:maxLength value="255"/>
        </xsd:restriction>
      </xsd:simpleType>
    </xsd:element>
    <xsd:element name="EmHasAttachments" ma:index="33" nillable="true" ma:displayName="Email Has Attachments" ma:internalName="EmHasAttachments" ma:readOnly="false">
      <xsd:simpleType>
        <xsd:restriction base="dms:Boolean"/>
      </xsd:simpleType>
    </xsd:element>
    <xsd:element name="EmID" ma:index="34" nillable="true" ma:displayName="Email ID" ma:internalName="EmID" ma:readOnly="false">
      <xsd:simpleType>
        <xsd:restriction base="dms:Text">
          <xsd:maxLength value="255"/>
        </xsd:restriction>
      </xsd:simpleType>
    </xsd:element>
    <xsd:element name="EmImportance" ma:index="35" nillable="true" ma:displayName="Email Importance" ma:internalName="EmImportance" ma:readOnly="false" ma:percentage="FALSE">
      <xsd:simpleType>
        <xsd:restriction base="dms:Number"/>
      </xsd:simpleType>
    </xsd:element>
    <xsd:element name="EmReceivedByName" ma:index="36" nillable="true" ma:displayName="Email Received By Name" ma:internalName="EmReceivedByName" ma:readOnly="false">
      <xsd:simpleType>
        <xsd:restriction base="dms:Text">
          <xsd:maxLength value="255"/>
        </xsd:restriction>
      </xsd:simpleType>
    </xsd:element>
    <xsd:element name="EmReceivedOnBehalfOfName" ma:index="37" nillable="true" ma:displayName="Email Received On Behalf Of Name" ma:internalName="EmReceivedOnBehalfOfName" ma:readOnly="false">
      <xsd:simpleType>
        <xsd:restriction base="dms:Text">
          <xsd:maxLength value="255"/>
        </xsd:restriction>
      </xsd:simpleType>
    </xsd:element>
    <xsd:element name="EmReplyRecipientNames" ma:index="38" nillable="true" ma:displayName="Email Reply Recipient Names" ma:internalName="EmReplyRecipientNames" ma:readOnly="false">
      <xsd:simpleType>
        <xsd:restriction base="dms:Text">
          <xsd:maxLength value="255"/>
        </xsd:restriction>
      </xsd:simpleType>
    </xsd:element>
    <xsd:element name="EmReplyRecipients" ma:index="39" nillable="true" ma:displayName="Email Reply Recipients" ma:internalName="EmReplyRecipients" ma:readOnly="false">
      <xsd:simpleType>
        <xsd:restriction base="dms:Text">
          <xsd:maxLength value="255"/>
        </xsd:restriction>
      </xsd:simpleType>
    </xsd:element>
    <xsd:element name="EmRetentionPolicyName" ma:index="40" nillable="true" ma:displayName="Email Retention Policy Name" ma:internalName="EmRetentionPolicyName" ma:readOnly="false">
      <xsd:simpleType>
        <xsd:restriction base="dms:Text">
          <xsd:maxLength value="255"/>
        </xsd:restriction>
      </xsd:simpleType>
    </xsd:element>
    <xsd:element name="EmSensitivity" ma:index="41" nillable="true" ma:displayName="Email Sensitivity" ma:internalName="EmSensitivity" ma:readOnly="false" ma:percentage="FALSE">
      <xsd:simpleType>
        <xsd:restriction base="dms:Number"/>
      </xsd:simpleType>
    </xsd:element>
    <xsd:element name="EmSentOnBehalfOfName" ma:index="42" nillable="true" ma:displayName="Email Sent On Behalf Of Name" ma:internalName="EmSentOnBehalfOfName" ma:readOnly="false">
      <xsd:simpleType>
        <xsd:restriction base="dms:Text">
          <xsd:maxLength value="255"/>
        </xsd:restriction>
      </xsd:simpleType>
    </xsd:element>
    <xsd:element name="EmSubject" ma:index="43" nillable="true" ma:displayName="Email Subject" ma:internalName="EmSubject" ma:readOnly="false">
      <xsd:simpleType>
        <xsd:restriction base="dms:Text">
          <xsd:maxLength value="255"/>
        </xsd:restriction>
      </xsd:simpleType>
    </xsd:element>
    <xsd:element name="EmTo" ma:index="44" nillable="true" ma:displayName="Email To" ma:internalName="EmTo" ma:readOnly="false">
      <xsd:simpleType>
        <xsd:restriction base="dms:Note">
          <xsd:maxLength value="255"/>
        </xsd:restriction>
      </xsd:simpleType>
    </xsd:element>
    <xsd:element name="EmToAddress" ma:index="45" nillable="true" ma:displayName="Email To Address" ma:internalName="EmToAddress" ma:readOnly="false">
      <xsd:simpleType>
        <xsd:restriction base="dms:Note">
          <xsd:maxLength value="255"/>
        </xsd:restriction>
      </xsd:simpleType>
    </xsd:element>
    <xsd:element name="EmToSMTPAddress" ma:index="46" nillable="true" ma:displayName="Email To SMTP Address" ma:internalName="EmToSMTPAddress" ma:readOnly="false">
      <xsd:simpleType>
        <xsd:restriction base="dms:Note">
          <xsd:maxLength value="255"/>
        </xsd:restriction>
      </xsd:simpleType>
    </xsd:element>
    <xsd:element name="MediaServiceMetadata" ma:index="47" nillable="true" ma:displayName="MediaServiceMetadata" ma:hidden="true" ma:internalName="MediaServiceMetadata" ma:readOnly="true">
      <xsd:simpleType>
        <xsd:restriction base="dms:Note"/>
      </xsd:simpleType>
    </xsd:element>
    <xsd:element name="MediaServiceFastMetadata" ma:index="48" nillable="true" ma:displayName="MediaServiceFastMetadata" ma:hidden="true" ma:internalName="MediaServiceFastMetadata" ma:readOnly="true">
      <xsd:simpleType>
        <xsd:restriction base="dms:Note"/>
      </xsd:simpleType>
    </xsd:element>
    <xsd:element name="MediaServiceSearchProperties" ma:index="49" nillable="true" ma:displayName="MediaServiceSearchProperties" ma:hidden="true" ma:internalName="MediaServiceSearchProperties" ma:readOnly="true">
      <xsd:simpleType>
        <xsd:restriction base="dms:Note"/>
      </xsd:simpleType>
    </xsd:element>
    <xsd:element name="MediaServiceDateTaken" ma:index="50" nillable="true" ma:displayName="MediaServiceDateTaken" ma:hidden="true" ma:indexed="true" ma:internalName="MediaServiceDateTaken" ma:readOnly="true">
      <xsd:simpleType>
        <xsd:restriction base="dms:Text"/>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ServiceOCR" ma:index="56" nillable="true" ma:displayName="Extracted Text" ma:internalName="MediaServiceOCR" ma:readOnly="true">
      <xsd:simpleType>
        <xsd:restriction base="dms:Note">
          <xsd:maxLength value="255"/>
        </xsd:restriction>
      </xsd:simpleType>
    </xsd:element>
    <xsd:element name="MediaLengthInSeconds" ma:index="57" nillable="true" ma:displayName="MediaLengthInSeconds" ma:hidden="true" ma:internalName="MediaLengthInSeconds" ma:readOnly="true">
      <xsd:simpleType>
        <xsd:restriction base="dms:Unknown"/>
      </xsd:simpleType>
    </xsd:element>
    <xsd:element name="MediaServiceBillingMetadata" ma:index="58" nillable="true" ma:displayName="MediaServiceBillingMetadata" ma:hidden="true" ma:internalName="MediaServiceBillingMetadata" ma:readOnly="true">
      <xsd:simpleType>
        <xsd:restriction base="dms:Note"/>
      </xsd:simpleType>
    </xsd:element>
    <xsd:element name="MigrationWizIdPermissionLevels" ma:index="59" nillable="true" ma:displayName="MigrationWizIdPermissionLevels" ma:internalName="MigrationWizIdPermissionLevels">
      <xsd:simpleType>
        <xsd:restriction base="dms:Text"/>
      </xsd:simpleType>
    </xsd:element>
    <xsd:element name="MigrationWizIdDocumentLibraryPermissions" ma:index="60" nillable="true" ma:displayName="MigrationWizIdDocumentLibraryPermissions" ma:internalName="MigrationWizIdDocumentLibraryPermissions">
      <xsd:simpleType>
        <xsd:restriction base="dms:Text"/>
      </xsd:simpleType>
    </xsd:element>
    <xsd:element name="MigrationWizIdSecurityGroups" ma:index="61" nillable="true" ma:displayName="MigrationWizIdSecurityGroups" ma:internalName="MigrationWizIdSecurityGroups">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da5281-84a0-430a-a803-36456b4c9a2c" elementFormDefault="qualified">
    <xsd:import namespace="http://schemas.microsoft.com/office/2006/documentManagement/types"/>
    <xsd:import namespace="http://schemas.microsoft.com/office/infopath/2007/PartnerControls"/>
    <xsd:element name="TaxCatchAll" ma:index="53" nillable="true" ma:displayName="Taxonomy Catch All Column" ma:hidden="true" ma:list="{565ecb0b-90e6-4b3c-8fbc-e084be72c8ae}" ma:internalName="TaxCatchAll" ma:showField="CatchAllData" ma:web="e2da5281-84a0-430a-a803-36456b4c9a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Url xmlns="4fdd728e-833c-48c5-805e-65ec2f07fb05">
      <Url>https://vicroads.sharepoint.com/sites/PPBendigoRegionalEmploymentPSP/_layouts/15/DocIdRedir.aspx?ID=JDJUT7W5HYWP-125522627-3046</Url>
      <Description>JDJUT7W5HYWP-125522627-3046</Description>
    </_dlc_DocIdUrl>
    <lcf76f155ced4ddcb4097134ff3c332f xmlns="4fdd728e-833c-48c5-805e-65ec2f07fb05">
      <Terms xmlns="http://schemas.microsoft.com/office/infopath/2007/PartnerControls"/>
    </lcf76f155ced4ddcb4097134ff3c332f>
    <TaxCatchAll xmlns="e2da5281-84a0-430a-a803-36456b4c9a2c" xsi:nil="true"/>
    <MigrationWizIdDocumentLibraryPermissions xmlns="4fdd728e-833c-48c5-805e-65ec2f07fb05" xsi:nil="true"/>
    <MigrationWizIdSecurityGroups xmlns="4fdd728e-833c-48c5-805e-65ec2f07fb05" xsi:nil="true"/>
    <EmBCCSMTPAddress xmlns="4fdd728e-833c-48c5-805e-65ec2f07fb05" xsi:nil="true"/>
    <EmCon xmlns="4fdd728e-833c-48c5-805e-65ec2f07fb05" xsi:nil="true"/>
    <EmDateSent xmlns="4fdd728e-833c-48c5-805e-65ec2f07fb05" xsi:nil="true"/>
    <EmID xmlns="4fdd728e-833c-48c5-805e-65ec2f07fb05" xsi:nil="true"/>
    <EmAttachCount xmlns="4fdd728e-833c-48c5-805e-65ec2f07fb05" xsi:nil="true"/>
    <EmReceivedByName xmlns="4fdd728e-833c-48c5-805e-65ec2f07fb05" xsi:nil="true"/>
    <EmSentOnBehalfOfName xmlns="4fdd728e-833c-48c5-805e-65ec2f07fb05" xsi:nil="true"/>
    <EmHasAttachments xmlns="4fdd728e-833c-48c5-805e-65ec2f07fb05">false</EmHasAttachments>
    <MigrationWizIdVersion xmlns="4fdd728e-833c-48c5-805e-65ec2f07fb05">29ba4d7a-dc70-464a-bd70-076be55d717e-638829503750000000</MigrationWizIdVersion>
    <EmFromName xmlns="4fdd728e-833c-48c5-805e-65ec2f07fb05" xsi:nil="true"/>
    <EmAttachmentNames xmlns="4fdd728e-833c-48c5-805e-65ec2f07fb05" xsi:nil="true"/>
    <MigrationWizIdPermissionLevels xmlns="4fdd728e-833c-48c5-805e-65ec2f07fb05" xsi:nil="true"/>
    <EmDate xmlns="4fdd728e-833c-48c5-805e-65ec2f07fb05" xsi:nil="true"/>
    <EmReceivedOnBehalfOfName xmlns="4fdd728e-833c-48c5-805e-65ec2f07fb05" xsi:nil="true"/>
    <EmToSMTPAddress xmlns="4fdd728e-833c-48c5-805e-65ec2f07fb05" xsi:nil="true"/>
    <EmCC xmlns="4fdd728e-833c-48c5-805e-65ec2f07fb05" xsi:nil="true"/>
    <EmReplyRecipients xmlns="4fdd728e-833c-48c5-805e-65ec2f07fb05" xsi:nil="true"/>
    <EmBody xmlns="4fdd728e-833c-48c5-805e-65ec2f07fb05" xsi:nil="true"/>
    <EmCategory xmlns="4fdd728e-833c-48c5-805e-65ec2f07fb05" xsi:nil="true"/>
    <MigrationWizIdPermissions xmlns="4fdd728e-833c-48c5-805e-65ec2f07fb05" xsi:nil="true"/>
    <DocModifiedSaved xmlns="4fdd728e-833c-48c5-805e-65ec2f07fb05" xsi:nil="true"/>
    <EmDateReceived xmlns="4fdd728e-833c-48c5-805e-65ec2f07fb05" xsi:nil="true"/>
    <EmTo xmlns="4fdd728e-833c-48c5-805e-65ec2f07fb05" xsi:nil="true"/>
    <EmCCSMTPAddress xmlns="4fdd728e-833c-48c5-805e-65ec2f07fb05" xsi:nil="true"/>
    <MigrationWizId xmlns="4fdd728e-833c-48c5-805e-65ec2f07fb05">29ba4d7a-dc70-464a-bd70-076be55d717e</MigrationWizId>
    <DocCreatedSaved xmlns="4fdd728e-833c-48c5-805e-65ec2f07fb05" xsi:nil="true"/>
    <EmBCC xmlns="4fdd728e-833c-48c5-805e-65ec2f07fb05" xsi:nil="true"/>
    <EmConversationID xmlns="4fdd728e-833c-48c5-805e-65ec2f07fb05" xsi:nil="true"/>
    <EmFrom xmlns="4fdd728e-833c-48c5-805e-65ec2f07fb05" xsi:nil="true"/>
    <EmFromSMTPAddress xmlns="4fdd728e-833c-48c5-805e-65ec2f07fb05" xsi:nil="true"/>
    <EmImportance xmlns="4fdd728e-833c-48c5-805e-65ec2f07fb05" xsi:nil="true"/>
    <EmReplyRecipientNames xmlns="4fdd728e-833c-48c5-805e-65ec2f07fb05" xsi:nil="true"/>
    <EmRetentionPolicyName xmlns="4fdd728e-833c-48c5-805e-65ec2f07fb05" xsi:nil="true"/>
    <EmSubject xmlns="4fdd728e-833c-48c5-805e-65ec2f07fb05" xsi:nil="true"/>
    <EmToAddress xmlns="4fdd728e-833c-48c5-805e-65ec2f07fb05" xsi:nil="true"/>
    <EmCompanies xmlns="4fdd728e-833c-48c5-805e-65ec2f07fb05" xsi:nil="true"/>
    <EmConversationIndex xmlns="4fdd728e-833c-48c5-805e-65ec2f07fb05" xsi:nil="true"/>
    <EmSensitivity xmlns="4fdd728e-833c-48c5-805e-65ec2f07fb05" xsi:nil="true"/>
    <Sign_x002d_off_x0020_status xmlns="4fdd728e-833c-48c5-805e-65ec2f07fb05" xsi:nil="true"/>
  </documentManagement>
</p:properties>
</file>

<file path=customXml/itemProps1.xml><?xml version="1.0" encoding="utf-8"?>
<ds:datastoreItem xmlns:ds="http://schemas.openxmlformats.org/officeDocument/2006/customXml" ds:itemID="{13658E33-1297-4DA5-BCF8-AFEC0FC0C0D1}"/>
</file>

<file path=customXml/itemProps2.xml><?xml version="1.0" encoding="utf-8"?>
<ds:datastoreItem xmlns:ds="http://schemas.openxmlformats.org/officeDocument/2006/customXml" ds:itemID="{62A22ABE-62C8-4BB1-BCA5-890E26F27FC1}">
  <ds:schemaRefs>
    <ds:schemaRef ds:uri="http://schemas.microsoft.com/sharepoint/v3/contenttype/forms"/>
  </ds:schemaRefs>
</ds:datastoreItem>
</file>

<file path=customXml/itemProps3.xml><?xml version="1.0" encoding="utf-8"?>
<ds:datastoreItem xmlns:ds="http://schemas.openxmlformats.org/officeDocument/2006/customXml" ds:itemID="{7018DBC6-2EFE-4C7A-9F70-61EAA1B07713}">
  <ds:schemaRefs>
    <ds:schemaRef ds:uri="http://purl.org/dc/elements/1.1/"/>
    <ds:schemaRef ds:uri="http://schemas.microsoft.com/office/2006/metadata/properties"/>
    <ds:schemaRef ds:uri="e2da5281-84a0-430a-a803-36456b4c9a2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fdd728e-833c-48c5-805e-65ec2f07fb05"/>
    <ds:schemaRef ds:uri="http://www.w3.org/XML/1998/namespace"/>
    <ds:schemaRef ds:uri="http://purl.org/dc/dcmitype/"/>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Explanatory Report - Boroondara accessible version - 2023-09-14.dotx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Explanatory Report</dc:title>
  <dc:subject/>
  <dc:creator>Evangelia Moustogiannis (DELWP)</dc:creator>
  <keywords/>
  <dc:description/>
  <lastModifiedBy>Rebekah J Matkowsky (DTP)</lastModifiedBy>
  <revision>270</revision>
  <dcterms:created xsi:type="dcterms:W3CDTF">2025-09-19T15:46:00.0000000Z</dcterms:created>
  <dcterms:modified xsi:type="dcterms:W3CDTF">2025-11-28T03:16:11.5852080Z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0x0101001C22981C9C628A478FB16498A5BF937A</vt:lpwstr>
  </property>
  <property fmtid="{D5CDD505-2E9C-101B-9397-08002B2CF9AE}" pid="3" name="Records Class Project">
    <vt:lpwstr>25;#Reference Materials|f95fc07f-4085-41de-ae1e-da9e571af2f5</vt:lpwstr>
  </property>
  <property fmtid="{D5CDD505-2E9C-101B-9397-08002B2CF9AE}" pid="4" name="Department Document Type">
    <vt:lpwstr>29;#Instruction|bd959bd7-f47f-4272-85c0-fe4839e53559</vt:lpwstr>
  </property>
  <property fmtid="{D5CDD505-2E9C-101B-9397-08002B2CF9AE}" pid="5" name="Dissemination Limiting Marker">
    <vt:lpwstr>11;#FOUO|955eb6fc-b35a-4808-8aa5-31e514fa3f26</vt:lpwstr>
  </property>
  <property fmtid="{D5CDD505-2E9C-101B-9397-08002B2CF9AE}" pid="6" name="Security Classification">
    <vt:lpwstr>7;#Unclassified|7fa379f4-4aba-4692-ab80-7d39d3a23cf4</vt:lpwstr>
  </property>
  <property fmtid="{D5CDD505-2E9C-101B-9397-08002B2CF9AE}" pid="7" name="Record Purpose">
    <vt:lpwstr/>
  </property>
  <property fmtid="{D5CDD505-2E9C-101B-9397-08002B2CF9AE}" pid="8" name="_dlc_DocIdItemGuid">
    <vt:lpwstr>29ba4d7a-dc70-464a-bd70-076be55d717e</vt:lpwstr>
  </property>
  <property fmtid="{D5CDD505-2E9C-101B-9397-08002B2CF9AE}" pid="9" name="Order">
    <vt:r8>31800</vt:r8>
  </property>
  <property fmtid="{D5CDD505-2E9C-101B-9397-08002B2CF9AE}" pid="10" name="MSIP_Label_b92b7feb-b287-442c-a072-f385b02ec972_Enabled">
    <vt:lpwstr>true</vt:lpwstr>
  </property>
  <property fmtid="{D5CDD505-2E9C-101B-9397-08002B2CF9AE}" pid="11" name="MSIP_Label_b92b7feb-b287-442c-a072-f385b02ec972_SetDate">
    <vt:lpwstr>2023-10-30T00:36:12Z</vt:lpwstr>
  </property>
  <property fmtid="{D5CDD505-2E9C-101B-9397-08002B2CF9AE}" pid="12" name="MSIP_Label_b92b7feb-b287-442c-a072-f385b02ec972_Method">
    <vt:lpwstr>Privileged</vt:lpwstr>
  </property>
  <property fmtid="{D5CDD505-2E9C-101B-9397-08002B2CF9AE}" pid="13" name="MSIP_Label_b92b7feb-b287-442c-a072-f385b02ec972_Name">
    <vt:lpwstr>Unofficial</vt:lpwstr>
  </property>
  <property fmtid="{D5CDD505-2E9C-101B-9397-08002B2CF9AE}" pid="14" name="MSIP_Label_b92b7feb-b287-442c-a072-f385b02ec972_SiteId">
    <vt:lpwstr>e8bdd6f7-fc18-4e48-a554-7f547927223b</vt:lpwstr>
  </property>
  <property fmtid="{D5CDD505-2E9C-101B-9397-08002B2CF9AE}" pid="15" name="MSIP_Label_b92b7feb-b287-442c-a072-f385b02ec972_ActionId">
    <vt:lpwstr>581aa655-7e21-4b0e-9caa-f5d04496c3d9</vt:lpwstr>
  </property>
  <property fmtid="{D5CDD505-2E9C-101B-9397-08002B2CF9AE}" pid="16" name="MSIP_Label_b92b7feb-b287-442c-a072-f385b02ec972_ContentBits">
    <vt:lpwstr>2</vt:lpwstr>
  </property>
  <property fmtid="{D5CDD505-2E9C-101B-9397-08002B2CF9AE}" pid="17" name="MediaServiceImageTags">
    <vt:lpwstr/>
  </property>
  <property fmtid="{D5CDD505-2E9C-101B-9397-08002B2CF9AE}" pid="18" name="DLCPolicyLabelValue">
    <vt:lpwstr>Version 1.6</vt:lpwstr>
  </property>
  <property fmtid="{D5CDD505-2E9C-101B-9397-08002B2CF9AE}" pid="19" name="DLCPolicyLabelClientValue">
    <vt:lpwstr>Version {_UIVersionString}</vt:lpwstr>
  </property>
  <property fmtid="{D5CDD505-2E9C-101B-9397-08002B2CF9AE}" pid="20" name="SharedWithUsers">
    <vt:lpwstr>943;#Enrico LoBianco (DEECA);#1523;#Letitia J Neilson (DEECA);#1217;#Evangelia Moustogiannis (DEECA)</vt:lpwstr>
  </property>
  <property fmtid="{D5CDD505-2E9C-101B-9397-08002B2CF9AE}" pid="21" name="pd01c257034b4e86b1f58279a3bd54c6">
    <vt:lpwstr>Unclassified|7fa379f4-4aba-4692-ab80-7d39d3a23cf4</vt:lpwstr>
  </property>
  <property fmtid="{D5CDD505-2E9C-101B-9397-08002B2CF9AE}" pid="22" name="fb3179c379644f499d7166d0c985669b">
    <vt:lpwstr>FOUO|955eb6fc-b35a-4808-8aa5-31e514fa3f26</vt:lpwstr>
  </property>
  <property fmtid="{D5CDD505-2E9C-101B-9397-08002B2CF9AE}" pid="23" name="f2ccc2d036544b63b99cbcec8aa9ae6a">
    <vt:lpwstr>Reference Materials|f95fc07f-4085-41de-ae1e-da9e571af2f5</vt:lpwstr>
  </property>
  <property fmtid="{D5CDD505-2E9C-101B-9397-08002B2CF9AE}" pid="24" name="TaxCatchAll">
    <vt:lpwstr>11;#FOUO|955eb6fc-b35a-4808-8aa5-31e514fa3f26;#25;#Reference Materials|f95fc07f-4085-41de-ae1e-da9e571af2f5;#29;#Instruction|bd959bd7-f47f-4272-85c0-fe4839e53559;#7;#Unclassified|7fa379f4-4aba-4692-ab80-7d39d3a23cf4</vt:lpwstr>
  </property>
  <property fmtid="{D5CDD505-2E9C-101B-9397-08002B2CF9AE}" pid="25" name="b9b43b809ea4445880dbf70bb9849525">
    <vt:lpwstr>Instruction|bd959bd7-f47f-4272-85c0-fe4839e53559</vt:lpwstr>
  </property>
  <property fmtid="{D5CDD505-2E9C-101B-9397-08002B2CF9AE}" pid="26" name="Records_x0020_Class_x0020_Project">
    <vt:lpwstr>25;#Reference Materials|f95fc07f-4085-41de-ae1e-da9e571af2f5</vt:lpwstr>
  </property>
  <property fmtid="{D5CDD505-2E9C-101B-9397-08002B2CF9AE}" pid="27" name="Security_x0020_Classification">
    <vt:lpwstr>7;#Unclassified|7fa379f4-4aba-4692-ab80-7d39d3a23cf4</vt:lpwstr>
  </property>
  <property fmtid="{D5CDD505-2E9C-101B-9397-08002B2CF9AE}" pid="28" name="Record_x0020_Purpose">
    <vt:lpwstr/>
  </property>
  <property fmtid="{D5CDD505-2E9C-101B-9397-08002B2CF9AE}" pid="29" name="Department_x0020_Document_x0020_Type">
    <vt:lpwstr>29;#Instruction|bd959bd7-f47f-4272-85c0-fe4839e53559</vt:lpwstr>
  </property>
  <property fmtid="{D5CDD505-2E9C-101B-9397-08002B2CF9AE}" pid="30" name="Dissemination_x0020_Limiting_x0020_Marker">
    <vt:lpwstr>11;#FOUO|955eb6fc-b35a-4808-8aa5-31e514fa3f26</vt:lpwstr>
  </property>
  <property fmtid="{D5CDD505-2E9C-101B-9397-08002B2CF9AE}" pid="31" name="xd_ProgID">
    <vt:lpwstr/>
  </property>
  <property fmtid="{D5CDD505-2E9C-101B-9397-08002B2CF9AE}" pid="32" name="_SourceUrl">
    <vt:lpwstr/>
  </property>
  <property fmtid="{D5CDD505-2E9C-101B-9397-08002B2CF9AE}" pid="33" name="_SharedFileIndex">
    <vt:lpwstr/>
  </property>
  <property fmtid="{D5CDD505-2E9C-101B-9397-08002B2CF9AE}" pid="34" name="ComplianceAssetId">
    <vt:lpwstr/>
  </property>
  <property fmtid="{D5CDD505-2E9C-101B-9397-08002B2CF9AE}" pid="35" name="TemplateUrl">
    <vt:lpwstr/>
  </property>
  <property fmtid="{D5CDD505-2E9C-101B-9397-08002B2CF9AE}" pid="36" name="DocumentType">
    <vt:lpwstr>Document</vt:lpwstr>
  </property>
  <property fmtid="{D5CDD505-2E9C-101B-9397-08002B2CF9AE}" pid="37" name="_ExtendedDescription">
    <vt:lpwstr/>
  </property>
  <property fmtid="{D5CDD505-2E9C-101B-9397-08002B2CF9AE}" pid="38" name="TriggerFlowInfo">
    <vt:lpwstr/>
  </property>
  <property fmtid="{D5CDD505-2E9C-101B-9397-08002B2CF9AE}" pid="39" name="StakeholderTypes">
    <vt:lpwstr>;#Government - State;#</vt:lpwstr>
  </property>
  <property fmtid="{D5CDD505-2E9C-101B-9397-08002B2CF9AE}" pid="40" name="xd_Signature">
    <vt:bool>false</vt:bool>
  </property>
</Properties>
</file>