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6F002" w14:textId="77777777" w:rsidR="00E60C59" w:rsidRDefault="00271FF6">
      <w:pPr>
        <w:pStyle w:val="NormalWeb"/>
        <w:jc w:val="center"/>
        <w:rPr>
          <w:rFonts w:ascii="Arial" w:hAnsi="Arial" w:cs="Arial"/>
          <w:sz w:val="20"/>
          <w:szCs w:val="20"/>
          <w14:ligatures w14:val="none"/>
        </w:rPr>
      </w:pPr>
      <w:r>
        <w:rPr>
          <w:rStyle w:val="Strong"/>
          <w:rFonts w:ascii="Arial" w:hAnsi="Arial" w:cs="Arial"/>
          <w:sz w:val="20"/>
          <w:szCs w:val="20"/>
        </w:rPr>
        <w:t>REASONS FOR DECISION TO EXERCISE POWER OF INTERVENTION</w:t>
      </w:r>
    </w:p>
    <w:p w14:paraId="5636F003" w14:textId="77777777" w:rsidR="00E60C59" w:rsidRDefault="00271FF6">
      <w:pPr>
        <w:pStyle w:val="NormalWeb"/>
        <w:jc w:val="center"/>
        <w:rPr>
          <w:rFonts w:ascii="Arial" w:hAnsi="Arial" w:cs="Arial"/>
          <w:caps/>
          <w:sz w:val="20"/>
          <w:szCs w:val="20"/>
        </w:rPr>
      </w:pPr>
      <w:r>
        <w:rPr>
          <w:rStyle w:val="Strong"/>
          <w:rFonts w:ascii="Arial" w:hAnsi="Arial" w:cs="Arial"/>
          <w:caps/>
          <w:sz w:val="20"/>
          <w:szCs w:val="20"/>
        </w:rPr>
        <w:t>Planning and Environment Act 1987</w:t>
      </w:r>
    </w:p>
    <w:p w14:paraId="5636F004" w14:textId="77777777" w:rsidR="00E60C59" w:rsidRDefault="00271FF6">
      <w:pPr>
        <w:pStyle w:val="NormalWeb"/>
        <w:jc w:val="center"/>
        <w:rPr>
          <w:rFonts w:ascii="Arial" w:hAnsi="Arial" w:cs="Arial"/>
          <w:sz w:val="20"/>
          <w:szCs w:val="20"/>
        </w:rPr>
      </w:pPr>
      <w:r>
        <w:rPr>
          <w:rStyle w:val="Strong"/>
          <w:rFonts w:ascii="Arial" w:hAnsi="Arial" w:cs="Arial"/>
          <w:caps/>
          <w:sz w:val="20"/>
          <w:szCs w:val="20"/>
        </w:rPr>
        <w:t>Hobsons Bay and Maribyrnong</w:t>
      </w:r>
      <w:r>
        <w:rPr>
          <w:rStyle w:val="Strong"/>
          <w:rFonts w:ascii="Arial" w:hAnsi="Arial" w:cs="Arial"/>
          <w:sz w:val="20"/>
          <w:szCs w:val="20"/>
        </w:rPr>
        <w:t xml:space="preserve"> PLANNING SCHEME AMENDMENT GC276</w:t>
      </w:r>
    </w:p>
    <w:p w14:paraId="5636F005" w14:textId="77777777" w:rsidR="00E60C59" w:rsidRDefault="00271FF6">
      <w:pPr>
        <w:pStyle w:val="NormalWeb"/>
        <w:jc w:val="both"/>
        <w:rPr>
          <w:rFonts w:ascii="Arial" w:hAnsi="Arial" w:cs="Arial"/>
          <w:sz w:val="20"/>
          <w:szCs w:val="20"/>
        </w:rPr>
      </w:pPr>
      <w:r>
        <w:rPr>
          <w:rFonts w:ascii="Arial" w:hAnsi="Arial" w:cs="Arial"/>
          <w:sz w:val="20"/>
          <w:szCs w:val="20"/>
        </w:rPr>
        <w:t xml:space="preserve">The </w:t>
      </w:r>
      <w:r>
        <w:rPr>
          <w:rStyle w:val="Emphasis"/>
          <w:rFonts w:ascii="Arial" w:hAnsi="Arial" w:cs="Arial"/>
          <w:sz w:val="20"/>
          <w:szCs w:val="20"/>
        </w:rPr>
        <w:t>Planning and Environment Act 1987</w:t>
      </w:r>
      <w:r>
        <w:rPr>
          <w:rFonts w:ascii="Arial" w:hAnsi="Arial" w:cs="Arial"/>
          <w:sz w:val="20"/>
          <w:szCs w:val="20"/>
        </w:rPr>
        <w:t xml:space="preserve"> (the P&amp;E Act), the </w:t>
      </w:r>
      <w:r>
        <w:rPr>
          <w:rStyle w:val="Emphasis"/>
          <w:rFonts w:ascii="Arial" w:hAnsi="Arial" w:cs="Arial"/>
          <w:sz w:val="20"/>
          <w:szCs w:val="20"/>
        </w:rPr>
        <w:t>Heritage Act 2017</w:t>
      </w:r>
      <w:r>
        <w:rPr>
          <w:rFonts w:ascii="Arial" w:hAnsi="Arial" w:cs="Arial"/>
          <w:sz w:val="20"/>
          <w:szCs w:val="20"/>
        </w:rPr>
        <w:t xml:space="preserve"> and the </w:t>
      </w:r>
      <w:r>
        <w:rPr>
          <w:rStyle w:val="Emphasis"/>
          <w:rFonts w:ascii="Arial" w:hAnsi="Arial" w:cs="Arial"/>
          <w:sz w:val="20"/>
          <w:szCs w:val="20"/>
        </w:rPr>
        <w:t>Victorian Civil and Administrative Tribunal Act 1998</w:t>
      </w:r>
      <w:r>
        <w:rPr>
          <w:rFonts w:ascii="Arial" w:hAnsi="Arial" w:cs="Arial"/>
          <w:sz w:val="20"/>
          <w:szCs w:val="20"/>
        </w:rPr>
        <w:t xml:space="preserve"> provide for the intervention of the Minister for Planning in planning and heritage processes.</w:t>
      </w:r>
    </w:p>
    <w:p w14:paraId="5636F006" w14:textId="77777777" w:rsidR="00E60C59" w:rsidRDefault="00271FF6">
      <w:pPr>
        <w:pStyle w:val="NormalWeb"/>
        <w:jc w:val="both"/>
        <w:rPr>
          <w:rFonts w:ascii="Arial" w:hAnsi="Arial" w:cs="Arial"/>
          <w:sz w:val="20"/>
          <w:szCs w:val="20"/>
        </w:rPr>
      </w:pPr>
      <w:r>
        <w:rPr>
          <w:rFonts w:ascii="Arial" w:hAnsi="Arial" w:cs="Arial"/>
          <w:sz w:val="20"/>
          <w:szCs w:val="20"/>
        </w:rPr>
        <w:t>In exercising the Minister’s powers of intervention, including action taken under delegation from the Minister for Planning, the Minister has agreed to:</w:t>
      </w:r>
    </w:p>
    <w:p w14:paraId="5636F007" w14:textId="77777777" w:rsidR="00E60C59" w:rsidRDefault="00271FF6">
      <w:pPr>
        <w:pStyle w:val="NormalWeb"/>
        <w:numPr>
          <w:ilvl w:val="0"/>
          <w:numId w:val="1"/>
        </w:numPr>
        <w:ind w:left="360"/>
        <w:jc w:val="both"/>
        <w:rPr>
          <w:rFonts w:ascii="Arial" w:hAnsi="Arial" w:cs="Arial"/>
          <w:sz w:val="20"/>
          <w:szCs w:val="20"/>
        </w:rPr>
      </w:pPr>
      <w:r>
        <w:rPr>
          <w:rFonts w:ascii="Arial" w:hAnsi="Arial" w:cs="Arial"/>
          <w:sz w:val="20"/>
          <w:szCs w:val="20"/>
        </w:rPr>
        <w:t>make publicly available written reasons for each decision; and</w:t>
      </w:r>
    </w:p>
    <w:p w14:paraId="5636F008" w14:textId="77777777" w:rsidR="00E60C59" w:rsidRDefault="00271FF6">
      <w:pPr>
        <w:pStyle w:val="NormalWeb"/>
        <w:numPr>
          <w:ilvl w:val="0"/>
          <w:numId w:val="1"/>
        </w:numPr>
        <w:ind w:left="360"/>
        <w:jc w:val="both"/>
        <w:rPr>
          <w:rFonts w:ascii="Arial" w:hAnsi="Arial" w:cs="Arial"/>
          <w:sz w:val="20"/>
          <w:szCs w:val="20"/>
        </w:rPr>
      </w:pPr>
      <w:r>
        <w:rPr>
          <w:rFonts w:ascii="Arial" w:hAnsi="Arial" w:cs="Arial"/>
          <w:sz w:val="20"/>
          <w:szCs w:val="20"/>
        </w:rPr>
        <w:t>provide a report to Parliament at least every 12 months, detailing the nature of each intervention.</w:t>
      </w:r>
    </w:p>
    <w:p w14:paraId="1D85B29E" w14:textId="77777777" w:rsidR="008D1371" w:rsidRDefault="008D1371" w:rsidP="008D1371">
      <w:pPr>
        <w:pStyle w:val="NormalWeb"/>
        <w:spacing w:before="120" w:beforeAutospacing="0" w:after="240" w:afterAutospacing="0"/>
        <w:rPr>
          <w:rFonts w:ascii="Arial" w:hAnsi="Arial" w:cs="Arial"/>
          <w:sz w:val="20"/>
          <w:szCs w:val="20"/>
        </w:rPr>
      </w:pPr>
      <w:r>
        <w:rPr>
          <w:rStyle w:val="Strong"/>
          <w:rFonts w:ascii="Arial" w:hAnsi="Arial" w:cs="Arial"/>
          <w:sz w:val="20"/>
          <w:szCs w:val="20"/>
        </w:rPr>
        <w:t>REQUEST FOR INTERVENTION</w:t>
      </w:r>
    </w:p>
    <w:p w14:paraId="4CAF8770" w14:textId="2DA8CE4D" w:rsidR="00FC1C33" w:rsidRDefault="00FC1C33" w:rsidP="008E71EE">
      <w:pPr>
        <w:pStyle w:val="NormalWeb"/>
        <w:numPr>
          <w:ilvl w:val="0"/>
          <w:numId w:val="19"/>
        </w:numPr>
        <w:spacing w:before="120" w:beforeAutospacing="0" w:after="120" w:afterAutospacing="0"/>
        <w:ind w:left="351" w:hanging="357"/>
        <w:jc w:val="both"/>
        <w:rPr>
          <w:rFonts w:ascii="Arial" w:hAnsi="Arial" w:cs="Arial"/>
          <w:sz w:val="20"/>
          <w:szCs w:val="20"/>
        </w:rPr>
      </w:pPr>
      <w:r w:rsidRPr="00FC1C33">
        <w:rPr>
          <w:rFonts w:ascii="Arial" w:hAnsi="Arial" w:cs="Arial"/>
          <w:sz w:val="20"/>
          <w:szCs w:val="20"/>
        </w:rPr>
        <w:t>The Victorian Planning Authority (VPA), now part of the Department of Transport and Planning</w:t>
      </w:r>
      <w:r w:rsidR="00D527EF">
        <w:rPr>
          <w:rFonts w:ascii="Arial" w:hAnsi="Arial" w:cs="Arial"/>
          <w:sz w:val="20"/>
          <w:szCs w:val="20"/>
        </w:rPr>
        <w:t xml:space="preserve"> </w:t>
      </w:r>
      <w:r w:rsidRPr="00FC1C33">
        <w:rPr>
          <w:rFonts w:ascii="Arial" w:hAnsi="Arial" w:cs="Arial"/>
          <w:sz w:val="20"/>
          <w:szCs w:val="20"/>
        </w:rPr>
        <w:t xml:space="preserve">(DTP) </w:t>
      </w:r>
      <w:r w:rsidR="00FB2C8F">
        <w:rPr>
          <w:rFonts w:ascii="Arial" w:hAnsi="Arial" w:cs="Arial"/>
          <w:sz w:val="20"/>
          <w:szCs w:val="20"/>
        </w:rPr>
        <w:t xml:space="preserve">has </w:t>
      </w:r>
      <w:r w:rsidRPr="00FC1C33">
        <w:rPr>
          <w:rFonts w:ascii="Arial" w:hAnsi="Arial" w:cs="Arial"/>
          <w:sz w:val="20"/>
          <w:szCs w:val="20"/>
        </w:rPr>
        <w:t>requested that the Minister for Planning prepare, adopt and approve Amendment GC276 (the amendment) to the Hobsons Bay and Maribyrnong Planning Schemes, using powers under section 20(4) of the PE Act to exempt the amendment from the usual notice requirements.</w:t>
      </w:r>
    </w:p>
    <w:p w14:paraId="5D0B0628" w14:textId="6B67D7D5" w:rsidR="003F414D" w:rsidRPr="00DD5B30" w:rsidRDefault="00FD038A" w:rsidP="008E71EE">
      <w:pPr>
        <w:pStyle w:val="NormalWeb"/>
        <w:numPr>
          <w:ilvl w:val="0"/>
          <w:numId w:val="19"/>
        </w:numPr>
        <w:spacing w:before="120" w:beforeAutospacing="0" w:after="120" w:afterAutospacing="0"/>
        <w:ind w:left="351" w:hanging="357"/>
        <w:jc w:val="both"/>
        <w:rPr>
          <w:rFonts w:ascii="Arial" w:hAnsi="Arial" w:cs="Arial"/>
          <w:sz w:val="20"/>
          <w:szCs w:val="20"/>
        </w:rPr>
      </w:pPr>
      <w:r>
        <w:rPr>
          <w:rFonts w:ascii="Arial" w:hAnsi="Arial" w:cs="Arial"/>
          <w:sz w:val="20"/>
          <w:szCs w:val="20"/>
        </w:rPr>
        <w:t>T</w:t>
      </w:r>
      <w:r w:rsidR="000772CC">
        <w:rPr>
          <w:rFonts w:ascii="Arial" w:hAnsi="Arial" w:cs="Arial"/>
          <w:sz w:val="20"/>
          <w:szCs w:val="20"/>
        </w:rPr>
        <w:t xml:space="preserve">he amendment </w:t>
      </w:r>
      <w:r w:rsidR="008D1371">
        <w:rPr>
          <w:rFonts w:ascii="Arial" w:hAnsi="Arial" w:cs="Arial"/>
          <w:sz w:val="20"/>
          <w:szCs w:val="20"/>
        </w:rPr>
        <w:t xml:space="preserve">facilitates the rezoning of </w:t>
      </w:r>
      <w:r w:rsidR="00681216">
        <w:rPr>
          <w:rFonts w:ascii="Arial" w:hAnsi="Arial" w:cs="Arial"/>
          <w:sz w:val="20"/>
          <w:szCs w:val="20"/>
        </w:rPr>
        <w:t>1</w:t>
      </w:r>
      <w:r w:rsidR="00491DD1">
        <w:rPr>
          <w:rFonts w:ascii="Arial" w:hAnsi="Arial" w:cs="Arial"/>
          <w:sz w:val="20"/>
          <w:szCs w:val="20"/>
        </w:rPr>
        <w:t xml:space="preserve">69 ha of </w:t>
      </w:r>
      <w:r w:rsidR="008D1371">
        <w:rPr>
          <w:rFonts w:ascii="Arial" w:hAnsi="Arial" w:cs="Arial"/>
          <w:sz w:val="20"/>
          <w:szCs w:val="20"/>
        </w:rPr>
        <w:t>land f</w:t>
      </w:r>
      <w:r w:rsidR="008D1371" w:rsidRPr="00DD5B30">
        <w:rPr>
          <w:rFonts w:ascii="Arial" w:hAnsi="Arial" w:cs="Arial"/>
          <w:sz w:val="20"/>
          <w:szCs w:val="20"/>
        </w:rPr>
        <w:t xml:space="preserve">rom Industrial 1 Zone </w:t>
      </w:r>
      <w:r w:rsidR="00681216">
        <w:rPr>
          <w:rFonts w:ascii="Arial" w:hAnsi="Arial" w:cs="Arial"/>
          <w:sz w:val="20"/>
          <w:szCs w:val="20"/>
        </w:rPr>
        <w:t xml:space="preserve">(INZ1) </w:t>
      </w:r>
      <w:r w:rsidR="008D1371" w:rsidRPr="00DD5B30">
        <w:rPr>
          <w:rFonts w:ascii="Arial" w:hAnsi="Arial" w:cs="Arial"/>
          <w:sz w:val="20"/>
          <w:szCs w:val="20"/>
        </w:rPr>
        <w:t xml:space="preserve">to Industrial 3 Zone </w:t>
      </w:r>
      <w:r w:rsidR="00681216">
        <w:rPr>
          <w:rFonts w:ascii="Arial" w:hAnsi="Arial" w:cs="Arial"/>
          <w:sz w:val="20"/>
          <w:szCs w:val="20"/>
        </w:rPr>
        <w:t xml:space="preserve">(INZ3) </w:t>
      </w:r>
      <w:r w:rsidR="008D1371" w:rsidRPr="00DD5B30">
        <w:rPr>
          <w:rFonts w:ascii="Arial" w:hAnsi="Arial" w:cs="Arial"/>
          <w:sz w:val="20"/>
          <w:szCs w:val="20"/>
        </w:rPr>
        <w:t xml:space="preserve">within the Western State Significant Industrial Precinct </w:t>
      </w:r>
      <w:r w:rsidR="008D1371">
        <w:rPr>
          <w:rFonts w:ascii="Arial" w:hAnsi="Arial" w:cs="Arial"/>
          <w:sz w:val="20"/>
          <w:szCs w:val="20"/>
        </w:rPr>
        <w:t>to</w:t>
      </w:r>
      <w:r w:rsidR="003F414D" w:rsidRPr="00DD5B30">
        <w:rPr>
          <w:rFonts w:ascii="Arial" w:hAnsi="Arial" w:cs="Arial"/>
          <w:sz w:val="20"/>
          <w:szCs w:val="20"/>
        </w:rPr>
        <w:t xml:space="preserve"> facilitate the transition of land uses in the precinct to a lighter form of industry that are less reliant on heavy vehicles. This will also improve the amenity and safety </w:t>
      </w:r>
      <w:r w:rsidR="00FF2DC5">
        <w:rPr>
          <w:rFonts w:ascii="Arial" w:hAnsi="Arial" w:cs="Arial"/>
          <w:sz w:val="20"/>
          <w:szCs w:val="20"/>
        </w:rPr>
        <w:t xml:space="preserve">of the </w:t>
      </w:r>
      <w:r w:rsidR="00FF2DC5" w:rsidRPr="00DD5B30">
        <w:rPr>
          <w:rFonts w:ascii="Arial" w:hAnsi="Arial" w:cs="Arial"/>
          <w:sz w:val="20"/>
          <w:szCs w:val="20"/>
        </w:rPr>
        <w:t>Western State Significant Industrial Precinct</w:t>
      </w:r>
      <w:r w:rsidR="00361152">
        <w:rPr>
          <w:rFonts w:ascii="Arial" w:hAnsi="Arial" w:cs="Arial"/>
          <w:sz w:val="20"/>
          <w:szCs w:val="20"/>
        </w:rPr>
        <w:t xml:space="preserve"> and surrounding area as well as the</w:t>
      </w:r>
      <w:r w:rsidR="003F414D" w:rsidRPr="00DD5B30">
        <w:rPr>
          <w:rFonts w:ascii="Arial" w:hAnsi="Arial" w:cs="Arial"/>
          <w:sz w:val="20"/>
          <w:szCs w:val="20"/>
        </w:rPr>
        <w:t xml:space="preserve"> roads in the inner west as land uses gradually transition in conformity with</w:t>
      </w:r>
      <w:r w:rsidR="0087592B">
        <w:rPr>
          <w:rFonts w:ascii="Arial" w:hAnsi="Arial" w:cs="Arial"/>
          <w:sz w:val="20"/>
          <w:szCs w:val="20"/>
        </w:rPr>
        <w:t xml:space="preserve"> the </w:t>
      </w:r>
      <w:r w:rsidR="00D91310">
        <w:rPr>
          <w:rFonts w:ascii="Arial" w:hAnsi="Arial" w:cs="Arial"/>
          <w:sz w:val="20"/>
          <w:szCs w:val="20"/>
        </w:rPr>
        <w:t>Victorian</w:t>
      </w:r>
      <w:r w:rsidR="0087592B">
        <w:rPr>
          <w:rFonts w:ascii="Arial" w:hAnsi="Arial" w:cs="Arial"/>
          <w:sz w:val="20"/>
          <w:szCs w:val="20"/>
        </w:rPr>
        <w:t xml:space="preserve"> </w:t>
      </w:r>
      <w:r w:rsidR="00D91310">
        <w:rPr>
          <w:rFonts w:ascii="Arial" w:hAnsi="Arial" w:cs="Arial"/>
          <w:sz w:val="20"/>
          <w:szCs w:val="20"/>
        </w:rPr>
        <w:t>g</w:t>
      </w:r>
      <w:r w:rsidR="0087592B">
        <w:rPr>
          <w:rFonts w:ascii="Arial" w:hAnsi="Arial" w:cs="Arial"/>
          <w:sz w:val="20"/>
          <w:szCs w:val="20"/>
        </w:rPr>
        <w:t>overnment’s</w:t>
      </w:r>
      <w:r w:rsidR="003F414D" w:rsidRPr="00DD5B30">
        <w:rPr>
          <w:rFonts w:ascii="Arial" w:hAnsi="Arial" w:cs="Arial"/>
          <w:sz w:val="20"/>
          <w:szCs w:val="20"/>
        </w:rPr>
        <w:t xml:space="preserve"> </w:t>
      </w:r>
      <w:r w:rsidR="003F414D" w:rsidRPr="004C0C8E">
        <w:rPr>
          <w:rFonts w:ascii="Arial" w:hAnsi="Arial" w:cs="Arial"/>
          <w:i/>
          <w:sz w:val="20"/>
          <w:szCs w:val="20"/>
        </w:rPr>
        <w:t>A 10-year plan for industrial land</w:t>
      </w:r>
      <w:r w:rsidR="003F414D" w:rsidRPr="00DD5B30">
        <w:rPr>
          <w:rFonts w:ascii="Arial" w:hAnsi="Arial" w:cs="Arial"/>
          <w:sz w:val="20"/>
          <w:szCs w:val="20"/>
        </w:rPr>
        <w:t>.</w:t>
      </w:r>
    </w:p>
    <w:p w14:paraId="3BD7BD41" w14:textId="77777777" w:rsidR="008D1371" w:rsidRDefault="008D1371" w:rsidP="00986AC3">
      <w:pPr>
        <w:pStyle w:val="NormalWeb"/>
        <w:spacing w:before="240" w:beforeAutospacing="0" w:after="240" w:afterAutospacing="0"/>
        <w:rPr>
          <w:rFonts w:ascii="Arial" w:hAnsi="Arial" w:cs="Arial"/>
          <w:sz w:val="20"/>
          <w:szCs w:val="20"/>
        </w:rPr>
      </w:pPr>
      <w:r>
        <w:rPr>
          <w:rStyle w:val="Strong"/>
          <w:rFonts w:ascii="Arial" w:hAnsi="Arial" w:cs="Arial"/>
          <w:sz w:val="20"/>
          <w:szCs w:val="20"/>
        </w:rPr>
        <w:t>WHAT POWER OF INTERVENTION IS BEING USED?</w:t>
      </w:r>
    </w:p>
    <w:p w14:paraId="101B83F6" w14:textId="28F3B7E0" w:rsidR="00291B50" w:rsidRPr="00291B50" w:rsidRDefault="00291B50" w:rsidP="000F24BE">
      <w:pPr>
        <w:pStyle w:val="NormalWeb"/>
        <w:numPr>
          <w:ilvl w:val="0"/>
          <w:numId w:val="19"/>
        </w:numPr>
        <w:spacing w:before="0" w:beforeAutospacing="0" w:after="120" w:afterAutospacing="0"/>
        <w:ind w:left="357"/>
        <w:jc w:val="both"/>
        <w:rPr>
          <w:rFonts w:ascii="Arial" w:hAnsi="Arial" w:cs="Arial"/>
          <w:sz w:val="20"/>
          <w:szCs w:val="20"/>
        </w:rPr>
      </w:pPr>
      <w:r w:rsidRPr="00291B50">
        <w:rPr>
          <w:rFonts w:ascii="Arial" w:hAnsi="Arial" w:cs="Arial"/>
          <w:sz w:val="20"/>
          <w:szCs w:val="20"/>
        </w:rPr>
        <w:t>Under delegated authority from the Minister for Planning I have decided to exercise the power to exempt the Minister from all the requirements of sections 17, 18 and 19 of the P&amp;E Act and the Regulations in respect to Amendment GC276 to the Hobsons Bay and Maribyrnong Planning Schemes.</w:t>
      </w:r>
    </w:p>
    <w:p w14:paraId="3B891D79" w14:textId="77777777" w:rsidR="008D1371" w:rsidRDefault="008D1371" w:rsidP="000F24BE">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 xml:space="preserve">Section 20(4) of the Act enables the Minister for Planning to exempt an amendment which the Minister prepares from any of the requirements of sections 17, 18 and 19 of the Act or the Regulations. </w:t>
      </w:r>
    </w:p>
    <w:p w14:paraId="2B1873C6" w14:textId="77777777" w:rsidR="008D1371" w:rsidRDefault="008D1371" w:rsidP="000F24BE">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 xml:space="preserve">In seeking to exercise this power, section 20(4) of the Act requires that the Minister must consider that compliance with any of those requirements is not warranted or that the interests of Victoria or any part of Victoria make such an exemption appropriate. </w:t>
      </w:r>
    </w:p>
    <w:p w14:paraId="641E3FA8" w14:textId="77777777" w:rsidR="008D1371" w:rsidRPr="00986AC3" w:rsidRDefault="008D1371" w:rsidP="00986AC3">
      <w:pPr>
        <w:pStyle w:val="NormalWeb"/>
        <w:spacing w:before="240" w:beforeAutospacing="0" w:after="240" w:afterAutospacing="0"/>
        <w:rPr>
          <w:rStyle w:val="Strong"/>
        </w:rPr>
      </w:pPr>
      <w:r>
        <w:rPr>
          <w:rStyle w:val="Strong"/>
          <w:rFonts w:ascii="Arial" w:hAnsi="Arial" w:cs="Arial"/>
          <w:sz w:val="20"/>
          <w:szCs w:val="20"/>
        </w:rPr>
        <w:t>BACKGROUND</w:t>
      </w:r>
    </w:p>
    <w:p w14:paraId="777CE9DE" w14:textId="5543A53A" w:rsidR="008D1371" w:rsidRDefault="008D1371" w:rsidP="00A83158">
      <w:pPr>
        <w:pStyle w:val="NormalWeb"/>
        <w:numPr>
          <w:ilvl w:val="0"/>
          <w:numId w:val="19"/>
        </w:numPr>
        <w:spacing w:before="0" w:beforeAutospacing="0" w:after="120" w:afterAutospacing="0"/>
        <w:ind w:left="357" w:hanging="357"/>
        <w:jc w:val="both"/>
        <w:rPr>
          <w:rFonts w:ascii="Arial" w:hAnsi="Arial" w:cs="Arial"/>
          <w:sz w:val="20"/>
          <w:szCs w:val="20"/>
        </w:rPr>
      </w:pPr>
      <w:r>
        <w:rPr>
          <w:rFonts w:ascii="Arial" w:hAnsi="Arial" w:cs="Arial"/>
          <w:sz w:val="20"/>
          <w:szCs w:val="20"/>
        </w:rPr>
        <w:t xml:space="preserve">The amendment implements an action in the Victorian government’s </w:t>
      </w:r>
      <w:r>
        <w:rPr>
          <w:rFonts w:ascii="Arial" w:hAnsi="Arial" w:cs="Arial"/>
          <w:i/>
          <w:sz w:val="20"/>
          <w:szCs w:val="20"/>
        </w:rPr>
        <w:t>10-year plan for industrial land</w:t>
      </w:r>
      <w:r>
        <w:rPr>
          <w:rFonts w:ascii="Arial" w:hAnsi="Arial" w:cs="Arial"/>
          <w:sz w:val="20"/>
          <w:szCs w:val="20"/>
        </w:rPr>
        <w:t xml:space="preserve"> and the government’s commitment </w:t>
      </w:r>
      <w:bookmarkStart w:id="0" w:name="_Hlk204093404"/>
      <w:r>
        <w:rPr>
          <w:rFonts w:ascii="Arial" w:hAnsi="Arial" w:cs="Arial"/>
          <w:sz w:val="20"/>
          <w:szCs w:val="20"/>
        </w:rPr>
        <w:t xml:space="preserve">to rezone inner west industrial land in Brooklyn, Tottenham and West Footscray to support the </w:t>
      </w:r>
      <w:r w:rsidR="00913598">
        <w:rPr>
          <w:rFonts w:ascii="Arial" w:hAnsi="Arial" w:cs="Arial"/>
          <w:sz w:val="20"/>
          <w:szCs w:val="20"/>
        </w:rPr>
        <w:t>transition</w:t>
      </w:r>
      <w:r>
        <w:rPr>
          <w:rFonts w:ascii="Arial" w:hAnsi="Arial" w:cs="Arial"/>
          <w:sz w:val="20"/>
          <w:szCs w:val="20"/>
        </w:rPr>
        <w:t xml:space="preserve"> of container businesses as part of the West Gate Tunnel Project, alongside unlocking land better suited for freight business in the west, such as Altona North and Derrimut Fields </w:t>
      </w:r>
      <w:bookmarkEnd w:id="0"/>
      <w:r w:rsidR="00EB6843" w:rsidRPr="005C5F7C">
        <w:rPr>
          <w:rFonts w:ascii="Arial" w:hAnsi="Arial" w:cs="Arial"/>
          <w:sz w:val="20"/>
          <w:szCs w:val="20"/>
        </w:rPr>
        <w:t xml:space="preserve">and provide opportunities for uses </w:t>
      </w:r>
      <w:r w:rsidR="001E79C7">
        <w:rPr>
          <w:rFonts w:ascii="Arial" w:hAnsi="Arial" w:cs="Arial"/>
          <w:sz w:val="20"/>
          <w:szCs w:val="20"/>
        </w:rPr>
        <w:t xml:space="preserve">in part of the </w:t>
      </w:r>
      <w:r w:rsidR="001E79C7" w:rsidRPr="00DD5B30">
        <w:rPr>
          <w:rFonts w:ascii="Arial" w:hAnsi="Arial" w:cs="Arial"/>
          <w:sz w:val="20"/>
          <w:szCs w:val="20"/>
        </w:rPr>
        <w:t xml:space="preserve">Western State Significant Industrial Precinct </w:t>
      </w:r>
      <w:r w:rsidR="00EB6843" w:rsidRPr="005C5F7C">
        <w:rPr>
          <w:rFonts w:ascii="Arial" w:hAnsi="Arial" w:cs="Arial"/>
          <w:sz w:val="20"/>
          <w:szCs w:val="20"/>
        </w:rPr>
        <w:t>which have less impact on</w:t>
      </w:r>
      <w:r w:rsidR="001E79C7">
        <w:rPr>
          <w:rFonts w:ascii="Arial" w:hAnsi="Arial" w:cs="Arial"/>
          <w:sz w:val="20"/>
          <w:szCs w:val="20"/>
        </w:rPr>
        <w:t xml:space="preserve"> amenity and</w:t>
      </w:r>
      <w:r w:rsidR="00EB6843" w:rsidRPr="005C5F7C">
        <w:rPr>
          <w:rFonts w:ascii="Arial" w:hAnsi="Arial" w:cs="Arial"/>
          <w:sz w:val="20"/>
          <w:szCs w:val="20"/>
        </w:rPr>
        <w:t xml:space="preserve"> the environment</w:t>
      </w:r>
      <w:r w:rsidR="000F24BE">
        <w:rPr>
          <w:rFonts w:ascii="Arial" w:hAnsi="Arial" w:cs="Arial"/>
          <w:sz w:val="20"/>
          <w:szCs w:val="20"/>
        </w:rPr>
        <w:t>.</w:t>
      </w:r>
    </w:p>
    <w:p w14:paraId="37F2D01D" w14:textId="77777777" w:rsidR="008D1371" w:rsidRDefault="008D1371" w:rsidP="00A83158">
      <w:pPr>
        <w:pStyle w:val="NormalWeb"/>
        <w:numPr>
          <w:ilvl w:val="0"/>
          <w:numId w:val="19"/>
        </w:numPr>
        <w:spacing w:before="0" w:beforeAutospacing="0" w:after="120" w:afterAutospacing="0"/>
        <w:ind w:left="360"/>
        <w:jc w:val="both"/>
        <w:rPr>
          <w:rFonts w:ascii="Arial" w:hAnsi="Arial" w:cs="Arial"/>
          <w:sz w:val="20"/>
          <w:szCs w:val="20"/>
        </w:rPr>
      </w:pPr>
      <w:r>
        <w:rPr>
          <w:rFonts w:ascii="Arial" w:hAnsi="Arial" w:cs="Arial"/>
          <w:sz w:val="20"/>
          <w:szCs w:val="20"/>
        </w:rPr>
        <w:t xml:space="preserve">The West Gate Tunnel opening coincided with the introduction of no-truck zones that impact heavy vehicle logistics businesses operating in Brooklyn, Tottenham, West Footscray and Yarraville that require access to the Port of Melbourne. </w:t>
      </w:r>
    </w:p>
    <w:p w14:paraId="5F54CA89" w14:textId="77777777" w:rsidR="008D1371" w:rsidRDefault="008D1371" w:rsidP="00A83158">
      <w:pPr>
        <w:pStyle w:val="NormalWeb"/>
        <w:numPr>
          <w:ilvl w:val="0"/>
          <w:numId w:val="19"/>
        </w:numPr>
        <w:spacing w:before="0" w:beforeAutospacing="0" w:after="120" w:afterAutospacing="0"/>
        <w:ind w:left="360"/>
        <w:jc w:val="both"/>
        <w:rPr>
          <w:rFonts w:ascii="Arial" w:hAnsi="Arial" w:cs="Arial"/>
          <w:sz w:val="20"/>
          <w:szCs w:val="20"/>
        </w:rPr>
      </w:pPr>
      <w:r>
        <w:rPr>
          <w:rFonts w:ascii="Arial" w:hAnsi="Arial" w:cs="Arial"/>
          <w:sz w:val="20"/>
          <w:szCs w:val="20"/>
        </w:rPr>
        <w:t xml:space="preserve">Currently the IN1Z provides for the use and development of the area for manufacturing industry, the storage and distribution of goods and associated uses. These uses can be associated with higher heavy vehicle volumes. </w:t>
      </w:r>
    </w:p>
    <w:p w14:paraId="172A9DA2" w14:textId="3041120F" w:rsidR="008D1371" w:rsidRDefault="008D1371" w:rsidP="009B018F">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lastRenderedPageBreak/>
        <w:t xml:space="preserve">The IN3Z will encourage the establishment of lighter industries and associated uses where consideration of the nature and impacts of the industrial uses on sensitive areas is required. It will also allow limited retail opportunities to establish including convenience shops and small-scale supermarkets. </w:t>
      </w:r>
    </w:p>
    <w:p w14:paraId="41EAD22F" w14:textId="7699F473" w:rsidR="008D1371" w:rsidRDefault="008D1371" w:rsidP="009B018F">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The change in zoning from IN1Z to IN3Z will improve the safety and amenity of residents in the vicinity of the amendment area by changing land use permissions, for example, ‘shipping container storage’ is a permit required land use in the</w:t>
      </w:r>
      <w:r w:rsidR="000C4475">
        <w:rPr>
          <w:rFonts w:ascii="Arial" w:hAnsi="Arial" w:cs="Arial"/>
          <w:sz w:val="20"/>
          <w:szCs w:val="20"/>
        </w:rPr>
        <w:t xml:space="preserve"> new</w:t>
      </w:r>
      <w:r>
        <w:rPr>
          <w:rFonts w:ascii="Arial" w:hAnsi="Arial" w:cs="Arial"/>
          <w:sz w:val="20"/>
          <w:szCs w:val="20"/>
        </w:rPr>
        <w:t xml:space="preserve"> IN3Z whereas it is an as of right use in the IN</w:t>
      </w:r>
      <w:r w:rsidR="002738EF">
        <w:rPr>
          <w:rFonts w:ascii="Arial" w:hAnsi="Arial" w:cs="Arial"/>
          <w:sz w:val="20"/>
          <w:szCs w:val="20"/>
        </w:rPr>
        <w:t>1</w:t>
      </w:r>
      <w:r>
        <w:rPr>
          <w:rFonts w:ascii="Arial" w:hAnsi="Arial" w:cs="Arial"/>
          <w:sz w:val="20"/>
          <w:szCs w:val="20"/>
        </w:rPr>
        <w:t xml:space="preserve">Z. This gives responsible authorities the ability to consider interface matters, amenity impacts, vehicle movement and compatible uses when determining planning permit applications.  </w:t>
      </w:r>
    </w:p>
    <w:p w14:paraId="2F65F2CE" w14:textId="29D1040C" w:rsidR="008D1371" w:rsidRDefault="008D1371" w:rsidP="009B018F">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Uses established under the</w:t>
      </w:r>
      <w:r w:rsidR="007C21B5">
        <w:rPr>
          <w:rFonts w:ascii="Arial" w:hAnsi="Arial" w:cs="Arial"/>
          <w:sz w:val="20"/>
          <w:szCs w:val="20"/>
        </w:rPr>
        <w:t xml:space="preserve"> </w:t>
      </w:r>
      <w:r w:rsidR="000C4475">
        <w:rPr>
          <w:rFonts w:ascii="Arial" w:hAnsi="Arial" w:cs="Arial"/>
          <w:sz w:val="20"/>
          <w:szCs w:val="20"/>
        </w:rPr>
        <w:t>existing</w:t>
      </w:r>
      <w:r>
        <w:rPr>
          <w:rFonts w:ascii="Arial" w:hAnsi="Arial" w:cs="Arial"/>
          <w:sz w:val="20"/>
          <w:szCs w:val="20"/>
        </w:rPr>
        <w:t xml:space="preserve"> IN1Z will benefit from existing rights to enable the continued operation of existing businesses. The </w:t>
      </w:r>
      <w:r w:rsidR="000C4475">
        <w:rPr>
          <w:rFonts w:ascii="Arial" w:hAnsi="Arial" w:cs="Arial"/>
          <w:sz w:val="20"/>
          <w:szCs w:val="20"/>
        </w:rPr>
        <w:t xml:space="preserve">new </w:t>
      </w:r>
      <w:r>
        <w:rPr>
          <w:rFonts w:ascii="Arial" w:hAnsi="Arial" w:cs="Arial"/>
          <w:sz w:val="20"/>
          <w:szCs w:val="20"/>
        </w:rPr>
        <w:t xml:space="preserve">IN3Z will not prohibit existing business from expanding (where they can meet the requirements of the new zone) or limit the ability for new businesses to establish. Rezoning the land to IN3Z will provide an opportunity for the land to be </w:t>
      </w:r>
      <w:r w:rsidR="008D1DEB">
        <w:rPr>
          <w:rFonts w:ascii="Arial" w:hAnsi="Arial" w:cs="Arial"/>
          <w:sz w:val="20"/>
          <w:szCs w:val="20"/>
        </w:rPr>
        <w:t xml:space="preserve">transition </w:t>
      </w:r>
      <w:r>
        <w:rPr>
          <w:rFonts w:ascii="Arial" w:hAnsi="Arial" w:cs="Arial"/>
          <w:sz w:val="20"/>
          <w:szCs w:val="20"/>
        </w:rPr>
        <w:t xml:space="preserve">and </w:t>
      </w:r>
      <w:r w:rsidR="008D1DEB">
        <w:rPr>
          <w:rFonts w:ascii="Arial" w:hAnsi="Arial" w:cs="Arial"/>
          <w:sz w:val="20"/>
          <w:szCs w:val="20"/>
        </w:rPr>
        <w:t xml:space="preserve">be </w:t>
      </w:r>
      <w:r>
        <w:rPr>
          <w:rFonts w:ascii="Arial" w:hAnsi="Arial" w:cs="Arial"/>
          <w:sz w:val="20"/>
          <w:szCs w:val="20"/>
        </w:rPr>
        <w:t xml:space="preserve">used for other employment purposes over time, where owners and operators choose to do so. </w:t>
      </w:r>
    </w:p>
    <w:p w14:paraId="7E41AD35" w14:textId="77777777" w:rsidR="008D1371" w:rsidRPr="00986AC3" w:rsidRDefault="008D1371" w:rsidP="00986AC3">
      <w:pPr>
        <w:pStyle w:val="NormalWeb"/>
        <w:spacing w:before="240" w:beforeAutospacing="0" w:after="240" w:afterAutospacing="0"/>
        <w:rPr>
          <w:rStyle w:val="Strong"/>
        </w:rPr>
      </w:pPr>
      <w:r>
        <w:rPr>
          <w:rStyle w:val="Strong"/>
          <w:rFonts w:ascii="Arial" w:hAnsi="Arial" w:cs="Arial"/>
          <w:sz w:val="20"/>
          <w:szCs w:val="20"/>
        </w:rPr>
        <w:t>BENEFITS OF EXEMPTION</w:t>
      </w:r>
    </w:p>
    <w:p w14:paraId="161781E3" w14:textId="77777777" w:rsidR="00255E74" w:rsidRPr="00255E74" w:rsidRDefault="008D1371" w:rsidP="00B4393E">
      <w:pPr>
        <w:pStyle w:val="NormalWeb"/>
        <w:numPr>
          <w:ilvl w:val="0"/>
          <w:numId w:val="19"/>
        </w:numPr>
        <w:spacing w:before="120" w:beforeAutospacing="0" w:after="120" w:afterAutospacing="0"/>
        <w:ind w:left="357"/>
        <w:jc w:val="both"/>
        <w:rPr>
          <w:rFonts w:ascii="Arial" w:hAnsi="Arial" w:cs="Arial"/>
          <w:sz w:val="20"/>
          <w:szCs w:val="20"/>
        </w:rPr>
      </w:pPr>
      <w:r w:rsidRPr="00255E74">
        <w:rPr>
          <w:rFonts w:ascii="Arial" w:hAnsi="Arial" w:cs="Arial"/>
          <w:sz w:val="20"/>
          <w:szCs w:val="20"/>
        </w:rPr>
        <w:t xml:space="preserve">The </w:t>
      </w:r>
      <w:r w:rsidR="0057745A" w:rsidRPr="00255E74">
        <w:rPr>
          <w:rFonts w:ascii="Arial" w:hAnsi="Arial" w:cs="Arial"/>
          <w:sz w:val="20"/>
          <w:szCs w:val="20"/>
        </w:rPr>
        <w:t xml:space="preserve">main </w:t>
      </w:r>
      <w:r w:rsidRPr="00255E74">
        <w:rPr>
          <w:rFonts w:ascii="Arial" w:hAnsi="Arial" w:cs="Arial"/>
          <w:sz w:val="20"/>
          <w:szCs w:val="20"/>
        </w:rPr>
        <w:t>benefit of the exemption is that it will enable a prompt decision to be made on the adoption and approval of Amendment GC276. This</w:t>
      </w:r>
      <w:r w:rsidR="006C3500" w:rsidRPr="00255E74">
        <w:rPr>
          <w:rFonts w:ascii="Arial" w:hAnsi="Arial" w:cs="Arial"/>
          <w:sz w:val="20"/>
          <w:szCs w:val="20"/>
        </w:rPr>
        <w:t xml:space="preserve"> will facilitate the timely delivery of </w:t>
      </w:r>
      <w:r w:rsidR="008B5DBB" w:rsidRPr="00255E74">
        <w:rPr>
          <w:rFonts w:ascii="Arial" w:hAnsi="Arial" w:cs="Arial"/>
          <w:sz w:val="20"/>
          <w:szCs w:val="20"/>
        </w:rPr>
        <w:t xml:space="preserve">an action in the Victorian government’s </w:t>
      </w:r>
      <w:r w:rsidR="008B5DBB" w:rsidRPr="00255E74">
        <w:rPr>
          <w:rFonts w:ascii="Arial" w:hAnsi="Arial" w:cs="Arial"/>
          <w:i/>
          <w:sz w:val="20"/>
          <w:szCs w:val="20"/>
        </w:rPr>
        <w:t>10-year plan for industrial land</w:t>
      </w:r>
      <w:r w:rsidR="006C3500" w:rsidRPr="00255E74">
        <w:rPr>
          <w:rFonts w:ascii="Arial" w:hAnsi="Arial" w:cs="Arial"/>
          <w:sz w:val="20"/>
          <w:szCs w:val="20"/>
        </w:rPr>
        <w:t xml:space="preserve"> project with significant social and economic benefits.</w:t>
      </w:r>
    </w:p>
    <w:p w14:paraId="60F67B6C" w14:textId="470E35FB" w:rsidR="00E9201D" w:rsidRDefault="00B4393E" w:rsidP="003A09A3">
      <w:pPr>
        <w:pStyle w:val="NormalWeb"/>
        <w:numPr>
          <w:ilvl w:val="0"/>
          <w:numId w:val="19"/>
        </w:numPr>
        <w:spacing w:before="120" w:beforeAutospacing="0" w:after="120" w:afterAutospacing="0"/>
        <w:ind w:left="357"/>
        <w:jc w:val="both"/>
        <w:rPr>
          <w:rFonts w:ascii="Arial" w:hAnsi="Arial" w:cs="Arial"/>
          <w:sz w:val="20"/>
          <w:szCs w:val="20"/>
        </w:rPr>
      </w:pPr>
      <w:r w:rsidRPr="00255E74">
        <w:rPr>
          <w:rFonts w:ascii="Arial" w:hAnsi="Arial" w:cs="Arial"/>
          <w:sz w:val="20"/>
          <w:szCs w:val="20"/>
        </w:rPr>
        <w:t>A prompt decision on the amendment will provide certainty and ensure its benefits are delivered without unnecessary delay to support the gradual transition of the land within part of the Western State Significant Industrial Precinct within Brooklyn, Tottenham, West Footscray and Yarraville for an increased range of industrial uses which are less reliant on heavy vehicle movements</w:t>
      </w:r>
      <w:r w:rsidR="00E9201D">
        <w:rPr>
          <w:rFonts w:ascii="Arial" w:hAnsi="Arial" w:cs="Arial"/>
          <w:sz w:val="20"/>
          <w:szCs w:val="20"/>
        </w:rPr>
        <w:t xml:space="preserve">. </w:t>
      </w:r>
      <w:r w:rsidR="00E9201D" w:rsidRPr="00E9201D">
        <w:rPr>
          <w:rFonts w:ascii="Arial" w:hAnsi="Arial" w:cs="Arial"/>
          <w:sz w:val="20"/>
          <w:szCs w:val="20"/>
        </w:rPr>
        <w:t xml:space="preserve">The transition will be assisted by the recent opening of the West Gate Tunnel which provides an alternative to the West Gate Bridge and provides for stronger transport connections to Altona and Derrimut.  </w:t>
      </w:r>
    </w:p>
    <w:p w14:paraId="75BA0573" w14:textId="4CB9AE48" w:rsidR="00B4393E" w:rsidRPr="003A09A3" w:rsidRDefault="00E9201D" w:rsidP="003A09A3">
      <w:pPr>
        <w:pStyle w:val="NormalWeb"/>
        <w:numPr>
          <w:ilvl w:val="0"/>
          <w:numId w:val="19"/>
        </w:numPr>
        <w:spacing w:before="120" w:beforeAutospacing="0" w:after="120" w:afterAutospacing="0"/>
        <w:ind w:left="357"/>
        <w:jc w:val="both"/>
        <w:rPr>
          <w:rFonts w:ascii="Arial" w:hAnsi="Arial" w:cs="Arial"/>
          <w:sz w:val="20"/>
          <w:szCs w:val="20"/>
        </w:rPr>
      </w:pPr>
      <w:r>
        <w:rPr>
          <w:rFonts w:ascii="Arial" w:hAnsi="Arial" w:cs="Arial"/>
          <w:sz w:val="20"/>
          <w:szCs w:val="20"/>
        </w:rPr>
        <w:t>This will</w:t>
      </w:r>
      <w:r w:rsidR="00161DC8">
        <w:rPr>
          <w:rFonts w:ascii="Arial" w:hAnsi="Arial" w:cs="Arial"/>
          <w:sz w:val="20"/>
          <w:szCs w:val="20"/>
        </w:rPr>
        <w:t xml:space="preserve"> in turn</w:t>
      </w:r>
      <w:r w:rsidR="00B4393E" w:rsidRPr="00255E74">
        <w:rPr>
          <w:rFonts w:ascii="Arial" w:hAnsi="Arial" w:cs="Arial"/>
          <w:sz w:val="20"/>
          <w:szCs w:val="20"/>
        </w:rPr>
        <w:t xml:space="preserve"> </w:t>
      </w:r>
      <w:r w:rsidR="007B1F41" w:rsidRPr="00DD5B30">
        <w:rPr>
          <w:rFonts w:ascii="Arial" w:hAnsi="Arial" w:cs="Arial"/>
          <w:sz w:val="20"/>
          <w:szCs w:val="20"/>
        </w:rPr>
        <w:t xml:space="preserve">improve the amenity and safety </w:t>
      </w:r>
      <w:r w:rsidR="007B1F41">
        <w:rPr>
          <w:rFonts w:ascii="Arial" w:hAnsi="Arial" w:cs="Arial"/>
          <w:sz w:val="20"/>
          <w:szCs w:val="20"/>
        </w:rPr>
        <w:t xml:space="preserve">of the </w:t>
      </w:r>
      <w:r w:rsidR="007B1F41" w:rsidRPr="00DD5B30">
        <w:rPr>
          <w:rFonts w:ascii="Arial" w:hAnsi="Arial" w:cs="Arial"/>
          <w:sz w:val="20"/>
          <w:szCs w:val="20"/>
        </w:rPr>
        <w:t>Western State Significant Industrial Precinct</w:t>
      </w:r>
      <w:r w:rsidR="007B1F41">
        <w:rPr>
          <w:rFonts w:ascii="Arial" w:hAnsi="Arial" w:cs="Arial"/>
          <w:sz w:val="20"/>
          <w:szCs w:val="20"/>
        </w:rPr>
        <w:t xml:space="preserve"> and surrounding area </w:t>
      </w:r>
      <w:r w:rsidR="00161DC8">
        <w:rPr>
          <w:rFonts w:ascii="Arial" w:hAnsi="Arial" w:cs="Arial"/>
          <w:sz w:val="20"/>
          <w:szCs w:val="20"/>
        </w:rPr>
        <w:t>and</w:t>
      </w:r>
      <w:r w:rsidR="007B1F41">
        <w:rPr>
          <w:rFonts w:ascii="Arial" w:hAnsi="Arial" w:cs="Arial"/>
          <w:sz w:val="20"/>
          <w:szCs w:val="20"/>
        </w:rPr>
        <w:t xml:space="preserve"> the</w:t>
      </w:r>
      <w:r w:rsidR="007B1F41" w:rsidRPr="00DD5B30">
        <w:rPr>
          <w:rFonts w:ascii="Arial" w:hAnsi="Arial" w:cs="Arial"/>
          <w:sz w:val="20"/>
          <w:szCs w:val="20"/>
        </w:rPr>
        <w:t xml:space="preserve"> roads in the inner west as land uses gradually transition</w:t>
      </w:r>
      <w:r w:rsidR="00FA71BC">
        <w:rPr>
          <w:rFonts w:ascii="Arial" w:hAnsi="Arial" w:cs="Arial"/>
          <w:sz w:val="20"/>
          <w:szCs w:val="20"/>
        </w:rPr>
        <w:t>. It will also</w:t>
      </w:r>
      <w:r w:rsidR="003A09A3" w:rsidRPr="00255E74">
        <w:rPr>
          <w:rFonts w:ascii="Arial" w:hAnsi="Arial" w:cs="Arial"/>
          <w:sz w:val="20"/>
          <w:szCs w:val="20"/>
        </w:rPr>
        <w:t xml:space="preserve"> support the creation of jobs and new businesses in this part of Victoria</w:t>
      </w:r>
      <w:r w:rsidR="003A09A3">
        <w:rPr>
          <w:rFonts w:ascii="Arial" w:hAnsi="Arial" w:cs="Arial"/>
          <w:sz w:val="20"/>
          <w:szCs w:val="20"/>
        </w:rPr>
        <w:t xml:space="preserve"> </w:t>
      </w:r>
      <w:r w:rsidR="00FA71BC">
        <w:rPr>
          <w:rFonts w:ascii="Arial" w:hAnsi="Arial" w:cs="Arial"/>
          <w:sz w:val="20"/>
          <w:szCs w:val="20"/>
        </w:rPr>
        <w:t>consistent</w:t>
      </w:r>
      <w:r w:rsidR="007B1F41" w:rsidRPr="003A09A3">
        <w:rPr>
          <w:rFonts w:ascii="Arial" w:hAnsi="Arial" w:cs="Arial"/>
          <w:sz w:val="20"/>
          <w:szCs w:val="20"/>
        </w:rPr>
        <w:t xml:space="preserve"> with the Victorian government’s </w:t>
      </w:r>
      <w:r w:rsidR="007B1F41" w:rsidRPr="003A09A3">
        <w:rPr>
          <w:rFonts w:ascii="Arial" w:hAnsi="Arial" w:cs="Arial"/>
          <w:i/>
          <w:sz w:val="20"/>
          <w:szCs w:val="20"/>
        </w:rPr>
        <w:t>A 10-year plan for industrial land</w:t>
      </w:r>
      <w:r w:rsidR="007B1F41" w:rsidRPr="003A09A3">
        <w:rPr>
          <w:rFonts w:ascii="Arial" w:hAnsi="Arial" w:cs="Arial"/>
          <w:sz w:val="20"/>
          <w:szCs w:val="20"/>
        </w:rPr>
        <w:t>.</w:t>
      </w:r>
      <w:r w:rsidR="00B4393E" w:rsidRPr="003A09A3">
        <w:rPr>
          <w:rFonts w:ascii="Arial" w:hAnsi="Arial" w:cs="Arial"/>
          <w:sz w:val="20"/>
          <w:szCs w:val="20"/>
        </w:rPr>
        <w:t xml:space="preserve"> </w:t>
      </w:r>
    </w:p>
    <w:p w14:paraId="3FD2305A" w14:textId="77777777" w:rsidR="008D1371" w:rsidRPr="00986AC3" w:rsidRDefault="008D1371" w:rsidP="00986AC3">
      <w:pPr>
        <w:pStyle w:val="NormalWeb"/>
        <w:spacing w:before="240" w:beforeAutospacing="0" w:after="240" w:afterAutospacing="0"/>
        <w:rPr>
          <w:rStyle w:val="Strong"/>
          <w:rFonts w:ascii="Arial" w:hAnsi="Arial" w:cs="Arial"/>
          <w:sz w:val="20"/>
          <w:szCs w:val="20"/>
        </w:rPr>
      </w:pPr>
      <w:r>
        <w:rPr>
          <w:rStyle w:val="Strong"/>
          <w:rFonts w:ascii="Arial" w:hAnsi="Arial" w:cs="Arial"/>
          <w:sz w:val="20"/>
          <w:szCs w:val="20"/>
        </w:rPr>
        <w:t>EFFECTS OF EXEMPTION ON THIRD PARTIES</w:t>
      </w:r>
    </w:p>
    <w:p w14:paraId="7D95D18C" w14:textId="77777777" w:rsidR="008D1371" w:rsidRPr="00BD2538" w:rsidRDefault="008D1371" w:rsidP="00BD2538">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The effect of the exemption is that third parties will not receive formal statutory notice of the amendment and will not have the opportunity to make a submission or be heard by an independent panel in relation to the amendment.</w:t>
      </w:r>
    </w:p>
    <w:p w14:paraId="23A66172" w14:textId="5E23E714" w:rsidR="008D1371" w:rsidRDefault="00523252" w:rsidP="00BD2538">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 xml:space="preserve">The views of affected parties, </w:t>
      </w:r>
      <w:r w:rsidR="00496262">
        <w:rPr>
          <w:rFonts w:ascii="Arial" w:hAnsi="Arial" w:cs="Arial"/>
          <w:sz w:val="20"/>
          <w:szCs w:val="20"/>
        </w:rPr>
        <w:t>including</w:t>
      </w:r>
      <w:r w:rsidR="000A1632">
        <w:rPr>
          <w:rFonts w:ascii="Arial" w:hAnsi="Arial" w:cs="Arial"/>
          <w:sz w:val="20"/>
          <w:szCs w:val="20"/>
        </w:rPr>
        <w:t xml:space="preserve"> </w:t>
      </w:r>
      <w:r w:rsidR="0073025F">
        <w:rPr>
          <w:rFonts w:ascii="Arial" w:hAnsi="Arial" w:cs="Arial"/>
          <w:sz w:val="20"/>
          <w:szCs w:val="20"/>
        </w:rPr>
        <w:t xml:space="preserve">Hobsons Bay City Council and </w:t>
      </w:r>
      <w:r w:rsidR="00B37079">
        <w:rPr>
          <w:rFonts w:ascii="Arial" w:hAnsi="Arial" w:cs="Arial"/>
          <w:sz w:val="20"/>
          <w:szCs w:val="20"/>
        </w:rPr>
        <w:t>Maribyrnong</w:t>
      </w:r>
      <w:r w:rsidR="0073025F">
        <w:rPr>
          <w:rFonts w:ascii="Arial" w:hAnsi="Arial" w:cs="Arial"/>
          <w:sz w:val="20"/>
          <w:szCs w:val="20"/>
        </w:rPr>
        <w:t xml:space="preserve"> City Council</w:t>
      </w:r>
      <w:r w:rsidR="00B37079">
        <w:rPr>
          <w:rFonts w:ascii="Arial" w:hAnsi="Arial" w:cs="Arial"/>
          <w:sz w:val="20"/>
          <w:szCs w:val="20"/>
        </w:rPr>
        <w:t>, owners and occupier</w:t>
      </w:r>
      <w:r w:rsidR="00286081">
        <w:rPr>
          <w:rFonts w:ascii="Arial" w:hAnsi="Arial" w:cs="Arial"/>
          <w:sz w:val="20"/>
          <w:szCs w:val="20"/>
        </w:rPr>
        <w:t>s of</w:t>
      </w:r>
      <w:r w:rsidR="00B37079">
        <w:rPr>
          <w:rFonts w:ascii="Arial" w:hAnsi="Arial" w:cs="Arial"/>
          <w:sz w:val="20"/>
          <w:szCs w:val="20"/>
        </w:rPr>
        <w:t xml:space="preserve"> the</w:t>
      </w:r>
      <w:r w:rsidR="00286081">
        <w:rPr>
          <w:rFonts w:ascii="Arial" w:hAnsi="Arial" w:cs="Arial"/>
          <w:sz w:val="20"/>
          <w:szCs w:val="20"/>
        </w:rPr>
        <w:t xml:space="preserve"> affected land</w:t>
      </w:r>
      <w:r w:rsidR="00CB1671">
        <w:rPr>
          <w:rFonts w:ascii="Arial" w:hAnsi="Arial" w:cs="Arial"/>
          <w:sz w:val="20"/>
          <w:szCs w:val="20"/>
        </w:rPr>
        <w:t>, traditional owners</w:t>
      </w:r>
      <w:r w:rsidR="00AA78D7">
        <w:rPr>
          <w:rFonts w:ascii="Arial" w:hAnsi="Arial" w:cs="Arial"/>
          <w:sz w:val="20"/>
          <w:szCs w:val="20"/>
        </w:rPr>
        <w:t xml:space="preserve"> and</w:t>
      </w:r>
      <w:r w:rsidR="00496262">
        <w:rPr>
          <w:rFonts w:ascii="Arial" w:hAnsi="Arial" w:cs="Arial"/>
          <w:sz w:val="20"/>
          <w:szCs w:val="20"/>
        </w:rPr>
        <w:t xml:space="preserve"> WorkSafe Victoria</w:t>
      </w:r>
      <w:r>
        <w:rPr>
          <w:rFonts w:ascii="Arial" w:hAnsi="Arial" w:cs="Arial"/>
          <w:sz w:val="20"/>
          <w:szCs w:val="20"/>
        </w:rPr>
        <w:t>,</w:t>
      </w:r>
      <w:r w:rsidR="00496262">
        <w:rPr>
          <w:rFonts w:ascii="Arial" w:hAnsi="Arial" w:cs="Arial"/>
          <w:sz w:val="20"/>
          <w:szCs w:val="20"/>
        </w:rPr>
        <w:t xml:space="preserve"> </w:t>
      </w:r>
      <w:r w:rsidR="00754473">
        <w:rPr>
          <w:rFonts w:ascii="Arial" w:hAnsi="Arial" w:cs="Arial"/>
          <w:sz w:val="20"/>
          <w:szCs w:val="20"/>
        </w:rPr>
        <w:t xml:space="preserve">are known </w:t>
      </w:r>
      <w:r w:rsidR="008D1371">
        <w:rPr>
          <w:rFonts w:ascii="Arial" w:hAnsi="Arial" w:cs="Arial"/>
          <w:sz w:val="20"/>
          <w:szCs w:val="20"/>
        </w:rPr>
        <w:t>and their views were considered and addressed, where appropriate.</w:t>
      </w:r>
      <w:r w:rsidR="00FD1580">
        <w:rPr>
          <w:rFonts w:ascii="Arial" w:hAnsi="Arial" w:cs="Arial"/>
          <w:sz w:val="20"/>
          <w:szCs w:val="20"/>
        </w:rPr>
        <w:t xml:space="preserve"> The views of the wider community have not been sought and are not known.</w:t>
      </w:r>
    </w:p>
    <w:p w14:paraId="2D2D6F87" w14:textId="77777777" w:rsidR="009222A6" w:rsidRPr="009C2589" w:rsidRDefault="009222A6" w:rsidP="009222A6">
      <w:pPr>
        <w:pStyle w:val="NormalWeb"/>
        <w:numPr>
          <w:ilvl w:val="0"/>
          <w:numId w:val="19"/>
        </w:numPr>
        <w:spacing w:before="0" w:beforeAutospacing="0" w:after="120" w:afterAutospacing="0"/>
        <w:ind w:left="357"/>
        <w:jc w:val="both"/>
        <w:rPr>
          <w:rFonts w:ascii="Arial" w:hAnsi="Arial" w:cs="Arial"/>
          <w:sz w:val="20"/>
          <w:szCs w:val="20"/>
        </w:rPr>
      </w:pPr>
      <w:r w:rsidRPr="009C2589">
        <w:rPr>
          <w:rFonts w:ascii="Arial" w:hAnsi="Arial" w:cs="Arial"/>
          <w:sz w:val="20"/>
          <w:szCs w:val="20"/>
        </w:rPr>
        <w:t xml:space="preserve">The consultation process was generally consistent with the formal notice requirements that would have been required under sections 17, 18 and 19 of the PE Act. The exemption under section 20(4) of the PE Act avoids unnecessary duplication of the extensive consultation process already undertaken. </w:t>
      </w:r>
    </w:p>
    <w:p w14:paraId="40F51207" w14:textId="206D3963" w:rsidR="008D1371" w:rsidRPr="00754473" w:rsidRDefault="008D1371" w:rsidP="00754473">
      <w:pPr>
        <w:pStyle w:val="NormalWeb"/>
        <w:spacing w:before="240" w:beforeAutospacing="0" w:after="240" w:afterAutospacing="0"/>
        <w:rPr>
          <w:rStyle w:val="Strong"/>
        </w:rPr>
      </w:pPr>
      <w:r w:rsidRPr="00754473">
        <w:rPr>
          <w:rStyle w:val="Strong"/>
          <w:rFonts w:ascii="Arial" w:hAnsi="Arial" w:cs="Arial"/>
          <w:bCs w:val="0"/>
          <w:sz w:val="20"/>
          <w:szCs w:val="20"/>
        </w:rPr>
        <w:t>ASSESSMENT AS TO WHETHER THE BENEFITS OF</w:t>
      </w:r>
      <w:r w:rsidRPr="00754473">
        <w:rPr>
          <w:rStyle w:val="Strong"/>
          <w:rFonts w:ascii="Arial" w:hAnsi="Arial" w:cs="Arial"/>
          <w:sz w:val="20"/>
          <w:szCs w:val="20"/>
        </w:rPr>
        <w:t xml:space="preserve"> EXEMPTIONS OUTWEIGH EFFECTS ON THIRD PARTIES</w:t>
      </w:r>
    </w:p>
    <w:p w14:paraId="14C1788D" w14:textId="49B442B2" w:rsidR="008D1371" w:rsidRDefault="008D1371" w:rsidP="00BD2538">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 xml:space="preserve">Third parties who may be </w:t>
      </w:r>
      <w:r w:rsidR="00266127">
        <w:rPr>
          <w:rFonts w:ascii="Arial" w:hAnsi="Arial" w:cs="Arial"/>
          <w:sz w:val="20"/>
          <w:szCs w:val="20"/>
        </w:rPr>
        <w:t xml:space="preserve">directly </w:t>
      </w:r>
      <w:r>
        <w:rPr>
          <w:rFonts w:ascii="Arial" w:hAnsi="Arial" w:cs="Arial"/>
          <w:sz w:val="20"/>
          <w:szCs w:val="20"/>
        </w:rPr>
        <w:t>affected by the exemption were provided with the opportunity to provide feedback in relation to the proposed planning changes.</w:t>
      </w:r>
    </w:p>
    <w:p w14:paraId="28C739E7" w14:textId="434A6454" w:rsidR="008D1371" w:rsidRDefault="008D1371" w:rsidP="00BD2538">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 xml:space="preserve">The views of stakeholders are known and have been taken into consideration through consultation that was undertaken in the preparation of the amendment. </w:t>
      </w:r>
    </w:p>
    <w:p w14:paraId="26342FEE" w14:textId="77777777" w:rsidR="008D1371" w:rsidRDefault="008D1371" w:rsidP="00BD2538">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lastRenderedPageBreak/>
        <w:t>Relevant agencies were provided an opportunity to provide input on the draft amendment material between December 2025 and February 2026. Public consultation was undertaken from 16 February 2026 through to 22 March 2026.</w:t>
      </w:r>
    </w:p>
    <w:p w14:paraId="40C672A7" w14:textId="77777777" w:rsidR="008D1371" w:rsidRDefault="008D1371" w:rsidP="00BD2538">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 xml:space="preserve">Hobsons Bay City Council and Maribyrnong City Council’s views on the project are known and were considered during the preparation of the amendment. </w:t>
      </w:r>
    </w:p>
    <w:p w14:paraId="6D43F7BB" w14:textId="031BC58C" w:rsidR="00110E06" w:rsidRDefault="005764E6" w:rsidP="00BD2538">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Work</w:t>
      </w:r>
      <w:r w:rsidR="004E47A1">
        <w:rPr>
          <w:rFonts w:ascii="Arial" w:hAnsi="Arial" w:cs="Arial"/>
          <w:sz w:val="20"/>
          <w:szCs w:val="20"/>
        </w:rPr>
        <w:t>S</w:t>
      </w:r>
      <w:r>
        <w:rPr>
          <w:rFonts w:ascii="Arial" w:hAnsi="Arial" w:cs="Arial"/>
          <w:sz w:val="20"/>
          <w:szCs w:val="20"/>
        </w:rPr>
        <w:t xml:space="preserve">afe Victoria was consulted on the proposed amendment and </w:t>
      </w:r>
      <w:r w:rsidR="0055700F">
        <w:rPr>
          <w:rFonts w:ascii="Arial" w:hAnsi="Arial" w:cs="Arial"/>
          <w:sz w:val="20"/>
          <w:szCs w:val="20"/>
        </w:rPr>
        <w:t xml:space="preserve">a large area of land has been retained in the INZ1 to </w:t>
      </w:r>
      <w:r w:rsidR="004E47A1">
        <w:rPr>
          <w:rFonts w:ascii="Arial" w:hAnsi="Arial" w:cs="Arial"/>
          <w:sz w:val="20"/>
          <w:szCs w:val="20"/>
        </w:rPr>
        <w:t>address the</w:t>
      </w:r>
      <w:r w:rsidR="005A62CD">
        <w:rPr>
          <w:rFonts w:ascii="Arial" w:hAnsi="Arial" w:cs="Arial"/>
          <w:sz w:val="20"/>
          <w:szCs w:val="20"/>
        </w:rPr>
        <w:t xml:space="preserve"> need for a 500 m buffer to the</w:t>
      </w:r>
      <w:r w:rsidR="004E47A1">
        <w:rPr>
          <w:rFonts w:ascii="Arial" w:hAnsi="Arial" w:cs="Arial"/>
          <w:sz w:val="20"/>
          <w:szCs w:val="20"/>
        </w:rPr>
        <w:t xml:space="preserve"> Ma</w:t>
      </w:r>
      <w:r w:rsidR="0041013D">
        <w:rPr>
          <w:rFonts w:ascii="Arial" w:hAnsi="Arial" w:cs="Arial"/>
          <w:sz w:val="20"/>
          <w:szCs w:val="20"/>
        </w:rPr>
        <w:t xml:space="preserve">jor Hazard Facility </w:t>
      </w:r>
      <w:r w:rsidR="00E02214" w:rsidRPr="00E02214">
        <w:rPr>
          <w:rFonts w:ascii="Arial" w:hAnsi="Arial" w:cs="Arial"/>
          <w:sz w:val="20"/>
          <w:szCs w:val="20"/>
        </w:rPr>
        <w:t>of FBT Transwest.</w:t>
      </w:r>
    </w:p>
    <w:p w14:paraId="2A477F28" w14:textId="0CEE7A76" w:rsidR="00427697" w:rsidRPr="003B6B99" w:rsidRDefault="00427697" w:rsidP="00427697">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The amendment i</w:t>
      </w:r>
      <w:r w:rsidRPr="003B6B99">
        <w:rPr>
          <w:rFonts w:ascii="Arial" w:hAnsi="Arial" w:cs="Arial"/>
          <w:sz w:val="20"/>
          <w:szCs w:val="20"/>
        </w:rPr>
        <w:t xml:space="preserve">s consistent with </w:t>
      </w:r>
      <w:r>
        <w:rPr>
          <w:rFonts w:ascii="Arial" w:hAnsi="Arial" w:cs="Arial"/>
          <w:sz w:val="20"/>
          <w:szCs w:val="20"/>
        </w:rPr>
        <w:t xml:space="preserve">relevant </w:t>
      </w:r>
      <w:r w:rsidRPr="003B6B99">
        <w:rPr>
          <w:rFonts w:ascii="Arial" w:hAnsi="Arial" w:cs="Arial"/>
          <w:sz w:val="20"/>
          <w:szCs w:val="20"/>
        </w:rPr>
        <w:t>State and local policy.</w:t>
      </w:r>
    </w:p>
    <w:p w14:paraId="66776E22" w14:textId="2209A8EE" w:rsidR="00280A4A" w:rsidRDefault="003B6B99" w:rsidP="00BD2538">
      <w:pPr>
        <w:pStyle w:val="NormalWeb"/>
        <w:numPr>
          <w:ilvl w:val="0"/>
          <w:numId w:val="19"/>
        </w:numPr>
        <w:spacing w:before="0" w:beforeAutospacing="0" w:after="120" w:afterAutospacing="0"/>
        <w:ind w:left="357"/>
        <w:jc w:val="both"/>
        <w:rPr>
          <w:rFonts w:ascii="Arial" w:hAnsi="Arial" w:cs="Arial"/>
          <w:sz w:val="20"/>
          <w:szCs w:val="20"/>
        </w:rPr>
      </w:pPr>
      <w:r w:rsidRPr="003B6B99">
        <w:rPr>
          <w:rFonts w:ascii="Arial" w:hAnsi="Arial" w:cs="Arial"/>
          <w:sz w:val="20"/>
          <w:szCs w:val="20"/>
        </w:rPr>
        <w:t xml:space="preserve">A prompt decision will provide certainty and ensure </w:t>
      </w:r>
      <w:r w:rsidR="00280A4A">
        <w:rPr>
          <w:rFonts w:ascii="Arial" w:hAnsi="Arial" w:cs="Arial"/>
          <w:sz w:val="20"/>
          <w:szCs w:val="20"/>
        </w:rPr>
        <w:t xml:space="preserve">the </w:t>
      </w:r>
      <w:r w:rsidRPr="003B6B99">
        <w:rPr>
          <w:rFonts w:ascii="Arial" w:hAnsi="Arial" w:cs="Arial"/>
          <w:sz w:val="20"/>
          <w:szCs w:val="20"/>
        </w:rPr>
        <w:t>benefits of the amendment are delivered without unnecessary delay</w:t>
      </w:r>
      <w:r w:rsidR="00280A4A">
        <w:rPr>
          <w:rFonts w:ascii="Arial" w:hAnsi="Arial" w:cs="Arial"/>
          <w:sz w:val="20"/>
          <w:szCs w:val="20"/>
        </w:rPr>
        <w:t>. This will</w:t>
      </w:r>
      <w:r w:rsidRPr="003B6B99">
        <w:rPr>
          <w:rFonts w:ascii="Arial" w:hAnsi="Arial" w:cs="Arial"/>
          <w:sz w:val="20"/>
          <w:szCs w:val="20"/>
        </w:rPr>
        <w:t xml:space="preserve"> support the gradual transition of the land for uses which are less reliant on heavy vehicle movements</w:t>
      </w:r>
      <w:r w:rsidR="00280A4A">
        <w:rPr>
          <w:rFonts w:ascii="Arial" w:hAnsi="Arial" w:cs="Arial"/>
          <w:sz w:val="20"/>
          <w:szCs w:val="20"/>
        </w:rPr>
        <w:t xml:space="preserve">, </w:t>
      </w:r>
      <w:r>
        <w:rPr>
          <w:rFonts w:ascii="Arial" w:hAnsi="Arial" w:cs="Arial"/>
          <w:sz w:val="20"/>
          <w:szCs w:val="20"/>
        </w:rPr>
        <w:t>implement</w:t>
      </w:r>
      <w:r w:rsidR="00280A4A">
        <w:rPr>
          <w:rFonts w:ascii="Arial" w:hAnsi="Arial" w:cs="Arial"/>
          <w:sz w:val="20"/>
          <w:szCs w:val="20"/>
        </w:rPr>
        <w:t>ing</w:t>
      </w:r>
      <w:r>
        <w:rPr>
          <w:rFonts w:ascii="Arial" w:hAnsi="Arial" w:cs="Arial"/>
          <w:sz w:val="20"/>
          <w:szCs w:val="20"/>
        </w:rPr>
        <w:t xml:space="preserve"> the </w:t>
      </w:r>
      <w:r w:rsidR="00343B17" w:rsidRPr="003B6B99">
        <w:rPr>
          <w:rFonts w:ascii="Arial" w:hAnsi="Arial" w:cs="Arial"/>
          <w:sz w:val="20"/>
          <w:szCs w:val="20"/>
        </w:rPr>
        <w:t xml:space="preserve">Victorian government’s </w:t>
      </w:r>
      <w:r w:rsidR="00343B17" w:rsidRPr="003B6B99">
        <w:rPr>
          <w:rFonts w:ascii="Arial" w:hAnsi="Arial" w:cs="Arial"/>
          <w:i/>
          <w:sz w:val="20"/>
          <w:szCs w:val="20"/>
        </w:rPr>
        <w:t>A 10-year plan for industrial land</w:t>
      </w:r>
      <w:r w:rsidR="00C46788">
        <w:rPr>
          <w:rFonts w:ascii="Arial" w:hAnsi="Arial" w:cs="Arial"/>
          <w:sz w:val="20"/>
          <w:szCs w:val="20"/>
        </w:rPr>
        <w:t>.</w:t>
      </w:r>
      <w:r w:rsidR="00A46122" w:rsidRPr="003B6B99">
        <w:rPr>
          <w:rFonts w:ascii="Arial" w:hAnsi="Arial" w:cs="Arial"/>
          <w:sz w:val="20"/>
          <w:szCs w:val="20"/>
        </w:rPr>
        <w:t xml:space="preserve"> </w:t>
      </w:r>
      <w:r w:rsidR="00C46788">
        <w:rPr>
          <w:rFonts w:ascii="Arial" w:hAnsi="Arial" w:cs="Arial"/>
          <w:sz w:val="20"/>
          <w:szCs w:val="20"/>
        </w:rPr>
        <w:t xml:space="preserve">This will in turn </w:t>
      </w:r>
      <w:r w:rsidR="00A46122" w:rsidRPr="003B6B99">
        <w:rPr>
          <w:rFonts w:ascii="Arial" w:hAnsi="Arial" w:cs="Arial"/>
          <w:sz w:val="20"/>
          <w:szCs w:val="20"/>
        </w:rPr>
        <w:t>improv</w:t>
      </w:r>
      <w:r w:rsidR="00C46788">
        <w:rPr>
          <w:rFonts w:ascii="Arial" w:hAnsi="Arial" w:cs="Arial"/>
          <w:sz w:val="20"/>
          <w:szCs w:val="20"/>
        </w:rPr>
        <w:t>e</w:t>
      </w:r>
      <w:r w:rsidR="00A46122" w:rsidRPr="003B6B99">
        <w:rPr>
          <w:rFonts w:ascii="Arial" w:hAnsi="Arial" w:cs="Arial"/>
          <w:sz w:val="20"/>
          <w:szCs w:val="20"/>
        </w:rPr>
        <w:t xml:space="preserve"> the amenity and safety of the Western State Significant Industrial Precinct and surrounding area</w:t>
      </w:r>
      <w:r w:rsidR="00427697">
        <w:rPr>
          <w:rFonts w:ascii="Arial" w:hAnsi="Arial" w:cs="Arial"/>
          <w:sz w:val="20"/>
          <w:szCs w:val="20"/>
        </w:rPr>
        <w:t xml:space="preserve"> and</w:t>
      </w:r>
      <w:r w:rsidR="00A46122" w:rsidRPr="003B6B99">
        <w:rPr>
          <w:rFonts w:ascii="Arial" w:hAnsi="Arial" w:cs="Arial"/>
          <w:sz w:val="20"/>
          <w:szCs w:val="20"/>
        </w:rPr>
        <w:t xml:space="preserve"> support the creation of jobs and new businesses in this part of Victoria. </w:t>
      </w:r>
    </w:p>
    <w:p w14:paraId="76B44EB3" w14:textId="58AF67CF" w:rsidR="008D1371" w:rsidRDefault="008D1371" w:rsidP="0022552F">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 xml:space="preserve">As a result of the above, the views of </w:t>
      </w:r>
      <w:r w:rsidR="0022552F">
        <w:rPr>
          <w:rFonts w:ascii="Arial" w:hAnsi="Arial" w:cs="Arial"/>
          <w:sz w:val="20"/>
          <w:szCs w:val="20"/>
        </w:rPr>
        <w:t>directly affected</w:t>
      </w:r>
      <w:r>
        <w:rPr>
          <w:rFonts w:ascii="Arial" w:hAnsi="Arial" w:cs="Arial"/>
          <w:sz w:val="20"/>
          <w:szCs w:val="20"/>
        </w:rPr>
        <w:t xml:space="preserve"> relevant parties are known, and an additional public exhibition process is </w:t>
      </w:r>
      <w:r w:rsidR="0022552F">
        <w:rPr>
          <w:rFonts w:ascii="Arial" w:hAnsi="Arial" w:cs="Arial"/>
          <w:sz w:val="20"/>
          <w:szCs w:val="20"/>
        </w:rPr>
        <w:t>un</w:t>
      </w:r>
      <w:r>
        <w:rPr>
          <w:rFonts w:ascii="Arial" w:hAnsi="Arial" w:cs="Arial"/>
          <w:sz w:val="20"/>
          <w:szCs w:val="20"/>
        </w:rPr>
        <w:t>likely to identify any new issues or result in changes to the amendment.</w:t>
      </w:r>
    </w:p>
    <w:p w14:paraId="17D27D08" w14:textId="77777777" w:rsidR="00B97254" w:rsidRDefault="00B97254" w:rsidP="0022552F">
      <w:pPr>
        <w:pStyle w:val="NormalWeb"/>
        <w:numPr>
          <w:ilvl w:val="0"/>
          <w:numId w:val="19"/>
        </w:numPr>
        <w:spacing w:before="0" w:beforeAutospacing="0" w:after="120" w:afterAutospacing="0"/>
        <w:ind w:left="357"/>
        <w:jc w:val="both"/>
        <w:rPr>
          <w:rFonts w:ascii="Arial" w:hAnsi="Arial" w:cs="Arial"/>
          <w:sz w:val="20"/>
          <w:szCs w:val="20"/>
        </w:rPr>
      </w:pPr>
      <w:r>
        <w:rPr>
          <w:rFonts w:ascii="Arial" w:hAnsi="Arial" w:cs="Arial"/>
          <w:sz w:val="20"/>
          <w:szCs w:val="20"/>
        </w:rPr>
        <w:t>Accordingly, I, acting under delegation from the Minister, consider that the benefits of exemption from sections 17, 18 and 19 of the P&amp;E Act outweigh any effects of the exemption on third parties.</w:t>
      </w:r>
    </w:p>
    <w:p w14:paraId="66390E11" w14:textId="77777777" w:rsidR="00995AB0" w:rsidRDefault="00995AB0" w:rsidP="00995AB0">
      <w:pPr>
        <w:pStyle w:val="NormalWeb"/>
        <w:jc w:val="both"/>
        <w:rPr>
          <w:rFonts w:ascii="Arial" w:hAnsi="Arial" w:cs="Arial"/>
          <w:sz w:val="20"/>
          <w:szCs w:val="20"/>
        </w:rPr>
      </w:pPr>
      <w:r>
        <w:rPr>
          <w:rStyle w:val="Strong"/>
          <w:rFonts w:ascii="Arial" w:hAnsi="Arial" w:cs="Arial"/>
          <w:sz w:val="20"/>
          <w:szCs w:val="20"/>
        </w:rPr>
        <w:t>DECISION</w:t>
      </w:r>
    </w:p>
    <w:p w14:paraId="35DD8349" w14:textId="6A5FEB96" w:rsidR="00995AB0" w:rsidRPr="00D5190D" w:rsidRDefault="00995AB0" w:rsidP="00995AB0">
      <w:pPr>
        <w:pStyle w:val="NormalWeb"/>
        <w:numPr>
          <w:ilvl w:val="0"/>
          <w:numId w:val="23"/>
        </w:numPr>
        <w:ind w:left="360"/>
        <w:jc w:val="both"/>
        <w:rPr>
          <w:rFonts w:ascii="Arial" w:hAnsi="Arial" w:cs="Arial"/>
          <w:sz w:val="20"/>
          <w:szCs w:val="20"/>
        </w:rPr>
      </w:pPr>
      <w:r>
        <w:rPr>
          <w:rFonts w:ascii="Arial" w:hAnsi="Arial" w:cs="Arial"/>
          <w:sz w:val="20"/>
          <w:szCs w:val="20"/>
        </w:rPr>
        <w:t xml:space="preserve">Under delegated authority from the Minister for Planning, I have decided to exercise the power to </w:t>
      </w:r>
      <w:r w:rsidRPr="00D5190D">
        <w:rPr>
          <w:rFonts w:ascii="Arial" w:hAnsi="Arial" w:cs="Arial"/>
          <w:sz w:val="20"/>
          <w:szCs w:val="20"/>
        </w:rPr>
        <w:t>exempt the Minister from all the requirements of sections 17, 18 and 19 of the P&amp;E Act and the Regulations in respect of Amendment GC276 to the Hobsons Bay and Maribyrnong Planning Scheme</w:t>
      </w:r>
      <w:r w:rsidR="00D5190D" w:rsidRPr="00D5190D">
        <w:rPr>
          <w:rFonts w:ascii="Arial" w:hAnsi="Arial" w:cs="Arial"/>
          <w:sz w:val="20"/>
          <w:szCs w:val="20"/>
        </w:rPr>
        <w:t>s</w:t>
      </w:r>
      <w:r w:rsidRPr="00D5190D">
        <w:rPr>
          <w:rFonts w:ascii="Arial" w:hAnsi="Arial" w:cs="Arial"/>
          <w:sz w:val="20"/>
          <w:szCs w:val="20"/>
        </w:rPr>
        <w:t>.</w:t>
      </w:r>
    </w:p>
    <w:p w14:paraId="0E024A95" w14:textId="77777777" w:rsidR="00995AB0" w:rsidRDefault="00995AB0" w:rsidP="00995AB0">
      <w:pPr>
        <w:pStyle w:val="NormalWeb"/>
        <w:jc w:val="both"/>
        <w:rPr>
          <w:rFonts w:ascii="Arial" w:hAnsi="Arial" w:cs="Arial"/>
          <w:sz w:val="20"/>
          <w:szCs w:val="20"/>
        </w:rPr>
      </w:pPr>
      <w:r>
        <w:rPr>
          <w:rStyle w:val="Strong"/>
          <w:rFonts w:ascii="Arial" w:hAnsi="Arial" w:cs="Arial"/>
          <w:sz w:val="20"/>
          <w:szCs w:val="20"/>
        </w:rPr>
        <w:t>REASONS FOR INTERVENTION</w:t>
      </w:r>
    </w:p>
    <w:p w14:paraId="08F3FF6A" w14:textId="77777777" w:rsidR="00995AB0" w:rsidRDefault="00995AB0" w:rsidP="00995AB0">
      <w:pPr>
        <w:pStyle w:val="NormalWeb"/>
        <w:numPr>
          <w:ilvl w:val="0"/>
          <w:numId w:val="24"/>
        </w:numPr>
        <w:ind w:left="360"/>
        <w:jc w:val="both"/>
        <w:rPr>
          <w:rFonts w:ascii="Arial" w:hAnsi="Arial" w:cs="Arial"/>
          <w:sz w:val="20"/>
          <w:szCs w:val="20"/>
        </w:rPr>
      </w:pPr>
      <w:r>
        <w:rPr>
          <w:rFonts w:ascii="Arial" w:hAnsi="Arial" w:cs="Arial"/>
          <w:sz w:val="20"/>
          <w:szCs w:val="20"/>
        </w:rPr>
        <w:t>I provide the following reasons for my decision under delegated authority to exercise the power under section 20(4) of the P&amp;E Act.</w:t>
      </w:r>
    </w:p>
    <w:p w14:paraId="139A2B5A" w14:textId="77777777" w:rsidR="00995AB0" w:rsidRDefault="00995AB0" w:rsidP="00995AB0">
      <w:pPr>
        <w:pStyle w:val="NormalWeb"/>
        <w:numPr>
          <w:ilvl w:val="0"/>
          <w:numId w:val="25"/>
        </w:numPr>
        <w:ind w:left="360"/>
        <w:jc w:val="both"/>
        <w:rPr>
          <w:rFonts w:ascii="Arial" w:hAnsi="Arial" w:cs="Arial"/>
          <w:sz w:val="20"/>
          <w:szCs w:val="20"/>
        </w:rPr>
      </w:pPr>
      <w:r>
        <w:rPr>
          <w:rFonts w:ascii="Arial" w:hAnsi="Arial" w:cs="Arial"/>
          <w:sz w:val="20"/>
          <w:szCs w:val="20"/>
        </w:rPr>
        <w:t>I, acting under delegation from the Minister, am satisfied that:</w:t>
      </w:r>
    </w:p>
    <w:p w14:paraId="20B0E629" w14:textId="77777777" w:rsidR="00BF17F3" w:rsidRDefault="00995AB0" w:rsidP="00BF17F3">
      <w:pPr>
        <w:pStyle w:val="NormalWeb"/>
        <w:ind w:left="420"/>
        <w:jc w:val="both"/>
        <w:rPr>
          <w:rFonts w:ascii="Arial" w:hAnsi="Arial" w:cs="Arial"/>
          <w:sz w:val="20"/>
          <w:szCs w:val="20"/>
        </w:rPr>
      </w:pPr>
      <w:r>
        <w:rPr>
          <w:rFonts w:ascii="Arial" w:hAnsi="Arial" w:cs="Arial"/>
          <w:sz w:val="20"/>
          <w:szCs w:val="20"/>
        </w:rPr>
        <w:t>The interests of Victoria or any part of Victoria make such an exemption appropriate because:</w:t>
      </w:r>
    </w:p>
    <w:p w14:paraId="5602D00B" w14:textId="77777777" w:rsidR="00996F79" w:rsidRDefault="00996F79" w:rsidP="00996F79">
      <w:pPr>
        <w:numPr>
          <w:ilvl w:val="0"/>
          <w:numId w:val="26"/>
        </w:numPr>
        <w:spacing w:after="120" w:line="240" w:lineRule="auto"/>
        <w:ind w:left="993" w:hanging="567"/>
        <w:jc w:val="both"/>
        <w:rPr>
          <w:rFonts w:ascii="Arial" w:eastAsia="Times New Roman" w:hAnsi="Arial" w:cs="Arial"/>
          <w:sz w:val="20"/>
          <w:szCs w:val="20"/>
        </w:rPr>
      </w:pPr>
      <w:r w:rsidRPr="003B6B99">
        <w:rPr>
          <w:rFonts w:ascii="Arial" w:hAnsi="Arial" w:cs="Arial"/>
          <w:sz w:val="20"/>
          <w:szCs w:val="20"/>
        </w:rPr>
        <w:t xml:space="preserve">A prompt decision will provide certainty and ensure </w:t>
      </w:r>
      <w:r>
        <w:rPr>
          <w:rFonts w:ascii="Arial" w:hAnsi="Arial" w:cs="Arial"/>
          <w:sz w:val="20"/>
          <w:szCs w:val="20"/>
        </w:rPr>
        <w:t xml:space="preserve">the </w:t>
      </w:r>
      <w:r w:rsidRPr="003B6B99">
        <w:rPr>
          <w:rFonts w:ascii="Arial" w:hAnsi="Arial" w:cs="Arial"/>
          <w:sz w:val="20"/>
          <w:szCs w:val="20"/>
        </w:rPr>
        <w:t>benefits of the amendment are delivered without unnecessary delay</w:t>
      </w:r>
      <w:r w:rsidRPr="009B3E40">
        <w:rPr>
          <w:rFonts w:ascii="Arial" w:eastAsia="Times New Roman" w:hAnsi="Arial" w:cs="Arial"/>
          <w:sz w:val="20"/>
          <w:szCs w:val="20"/>
        </w:rPr>
        <w:t xml:space="preserve"> </w:t>
      </w:r>
    </w:p>
    <w:p w14:paraId="4C5A1E50" w14:textId="640FB25D" w:rsidR="00DC76E8" w:rsidRPr="00BF17F3" w:rsidRDefault="00DC76E8" w:rsidP="008C5B0F">
      <w:pPr>
        <w:numPr>
          <w:ilvl w:val="0"/>
          <w:numId w:val="26"/>
        </w:numPr>
        <w:spacing w:after="120" w:line="240" w:lineRule="auto"/>
        <w:ind w:left="993" w:hanging="567"/>
        <w:jc w:val="both"/>
        <w:rPr>
          <w:rFonts w:ascii="Arial" w:eastAsia="Times New Roman" w:hAnsi="Arial" w:cs="Arial"/>
          <w:sz w:val="20"/>
          <w:szCs w:val="20"/>
        </w:rPr>
      </w:pPr>
      <w:r w:rsidRPr="00BF17F3">
        <w:rPr>
          <w:rFonts w:ascii="Arial" w:eastAsia="Times New Roman" w:hAnsi="Arial" w:cs="Arial"/>
          <w:sz w:val="20"/>
          <w:szCs w:val="20"/>
        </w:rPr>
        <w:t xml:space="preserve">The amendment implements, in part, the </w:t>
      </w:r>
      <w:r w:rsidR="00030237">
        <w:rPr>
          <w:rFonts w:ascii="Arial" w:eastAsia="Times New Roman" w:hAnsi="Arial" w:cs="Arial"/>
          <w:sz w:val="20"/>
          <w:szCs w:val="20"/>
        </w:rPr>
        <w:t xml:space="preserve">Victorian government’s </w:t>
      </w:r>
      <w:r w:rsidRPr="00D5190D">
        <w:rPr>
          <w:rFonts w:ascii="Arial" w:eastAsia="Times New Roman" w:hAnsi="Arial" w:cs="Arial"/>
          <w:i/>
          <w:sz w:val="20"/>
          <w:szCs w:val="20"/>
        </w:rPr>
        <w:t>A 10-year plan for industrial land.</w:t>
      </w:r>
      <w:r w:rsidRPr="00BF17F3">
        <w:rPr>
          <w:rFonts w:ascii="Arial" w:eastAsia="Times New Roman" w:hAnsi="Arial" w:cs="Arial"/>
          <w:sz w:val="20"/>
          <w:szCs w:val="20"/>
        </w:rPr>
        <w:t xml:space="preserve"> The strategy includes actions for enabling development on existing industrial land including to “</w:t>
      </w:r>
      <w:r w:rsidRPr="00030237">
        <w:rPr>
          <w:rFonts w:ascii="Arial" w:eastAsia="Times New Roman" w:hAnsi="Arial" w:cs="Arial"/>
          <w:i/>
          <w:sz w:val="20"/>
          <w:szCs w:val="20"/>
        </w:rPr>
        <w:t>rezone inner west industrial land in Brooklyn, Tottenham and West Footscray to an alternative employment zone to support the relocation of container businesses part of the West Gate Tunnel Project, alongside unlocking land better suited for freight business in the west, such as Altona North and Derrimut Fields</w:t>
      </w:r>
      <w:r w:rsidRPr="00BF17F3">
        <w:rPr>
          <w:rFonts w:ascii="Arial" w:eastAsia="Times New Roman" w:hAnsi="Arial" w:cs="Arial"/>
          <w:sz w:val="20"/>
          <w:szCs w:val="20"/>
        </w:rPr>
        <w:t>.”</w:t>
      </w:r>
    </w:p>
    <w:p w14:paraId="7F03658B" w14:textId="162CEB3E" w:rsidR="00DC76E8" w:rsidRPr="009B3E40" w:rsidRDefault="00DC76E8" w:rsidP="008C5B0F">
      <w:pPr>
        <w:numPr>
          <w:ilvl w:val="0"/>
          <w:numId w:val="26"/>
        </w:numPr>
        <w:spacing w:after="120" w:line="240" w:lineRule="auto"/>
        <w:ind w:left="993" w:hanging="567"/>
        <w:jc w:val="both"/>
        <w:rPr>
          <w:rFonts w:ascii="Arial" w:eastAsia="Times New Roman" w:hAnsi="Arial" w:cs="Arial"/>
          <w:sz w:val="20"/>
          <w:szCs w:val="20"/>
        </w:rPr>
      </w:pPr>
      <w:r w:rsidRPr="009B3E40">
        <w:rPr>
          <w:rFonts w:ascii="Arial" w:eastAsia="Times New Roman" w:hAnsi="Arial" w:cs="Arial"/>
          <w:sz w:val="20"/>
          <w:szCs w:val="20"/>
        </w:rPr>
        <w:t xml:space="preserve">The </w:t>
      </w:r>
      <w:r w:rsidR="001B06A7">
        <w:rPr>
          <w:rFonts w:ascii="Arial" w:eastAsia="Times New Roman" w:hAnsi="Arial" w:cs="Arial"/>
          <w:sz w:val="20"/>
          <w:szCs w:val="20"/>
        </w:rPr>
        <w:t>amendment</w:t>
      </w:r>
      <w:r w:rsidRPr="009B3E40">
        <w:rPr>
          <w:rFonts w:ascii="Arial" w:eastAsia="Times New Roman" w:hAnsi="Arial" w:cs="Arial"/>
          <w:sz w:val="20"/>
          <w:szCs w:val="20"/>
        </w:rPr>
        <w:t xml:space="preserve"> will facilitate the transition of land uses in the precinct to a lighter form of industry </w:t>
      </w:r>
      <w:r w:rsidR="006318D2" w:rsidRPr="00255E74">
        <w:rPr>
          <w:rFonts w:ascii="Arial" w:hAnsi="Arial" w:cs="Arial"/>
          <w:sz w:val="20"/>
          <w:szCs w:val="20"/>
        </w:rPr>
        <w:t xml:space="preserve">which are less reliant on heavy vehicle movements, </w:t>
      </w:r>
      <w:r w:rsidR="006318D2" w:rsidRPr="00DD5B30">
        <w:rPr>
          <w:rFonts w:ascii="Arial" w:hAnsi="Arial" w:cs="Arial"/>
          <w:sz w:val="20"/>
          <w:szCs w:val="20"/>
        </w:rPr>
        <w:t xml:space="preserve">improve the amenity and safety </w:t>
      </w:r>
      <w:r w:rsidR="006318D2">
        <w:rPr>
          <w:rFonts w:ascii="Arial" w:hAnsi="Arial" w:cs="Arial"/>
          <w:sz w:val="20"/>
          <w:szCs w:val="20"/>
        </w:rPr>
        <w:t xml:space="preserve">of the </w:t>
      </w:r>
      <w:r w:rsidR="006318D2" w:rsidRPr="00DD5B30">
        <w:rPr>
          <w:rFonts w:ascii="Arial" w:hAnsi="Arial" w:cs="Arial"/>
          <w:sz w:val="20"/>
          <w:szCs w:val="20"/>
        </w:rPr>
        <w:t>Western State Significant Industrial Precinct</w:t>
      </w:r>
      <w:r w:rsidR="006318D2">
        <w:rPr>
          <w:rFonts w:ascii="Arial" w:hAnsi="Arial" w:cs="Arial"/>
          <w:sz w:val="20"/>
          <w:szCs w:val="20"/>
        </w:rPr>
        <w:t xml:space="preserve"> and surrounding area</w:t>
      </w:r>
      <w:r w:rsidR="00310B42">
        <w:rPr>
          <w:rFonts w:ascii="Arial" w:hAnsi="Arial" w:cs="Arial"/>
          <w:sz w:val="20"/>
          <w:szCs w:val="20"/>
        </w:rPr>
        <w:t>,</w:t>
      </w:r>
      <w:r w:rsidR="006318D2" w:rsidRPr="00255E74">
        <w:rPr>
          <w:rFonts w:ascii="Arial" w:hAnsi="Arial" w:cs="Arial"/>
          <w:sz w:val="20"/>
          <w:szCs w:val="20"/>
        </w:rPr>
        <w:t xml:space="preserve"> support the creation of jobs and new businesses in this part of Victoria</w:t>
      </w:r>
      <w:r w:rsidR="00310B42">
        <w:rPr>
          <w:rFonts w:ascii="Arial" w:hAnsi="Arial" w:cs="Arial"/>
          <w:sz w:val="20"/>
          <w:szCs w:val="20"/>
        </w:rPr>
        <w:t xml:space="preserve"> </w:t>
      </w:r>
      <w:r w:rsidRPr="009B3E40">
        <w:rPr>
          <w:rFonts w:ascii="Arial" w:eastAsia="Times New Roman" w:hAnsi="Arial" w:cs="Arial"/>
          <w:sz w:val="20"/>
          <w:szCs w:val="20"/>
        </w:rPr>
        <w:t xml:space="preserve">as land uses gradually transition in conformity with </w:t>
      </w:r>
      <w:r w:rsidRPr="009B3E40">
        <w:rPr>
          <w:rFonts w:ascii="Arial" w:eastAsia="Times New Roman" w:hAnsi="Arial" w:cs="Arial"/>
          <w:i/>
          <w:sz w:val="20"/>
          <w:szCs w:val="20"/>
        </w:rPr>
        <w:t>A 10-year plan for industrial land</w:t>
      </w:r>
      <w:r w:rsidRPr="009B3E40">
        <w:rPr>
          <w:rFonts w:ascii="Arial" w:eastAsia="Times New Roman" w:hAnsi="Arial" w:cs="Arial"/>
          <w:sz w:val="20"/>
          <w:szCs w:val="20"/>
        </w:rPr>
        <w:t>.</w:t>
      </w:r>
      <w:r w:rsidR="009B3E40">
        <w:rPr>
          <w:rFonts w:ascii="Arial" w:eastAsia="Times New Roman" w:hAnsi="Arial" w:cs="Arial"/>
          <w:sz w:val="20"/>
          <w:szCs w:val="20"/>
        </w:rPr>
        <w:t xml:space="preserve"> </w:t>
      </w:r>
      <w:r w:rsidRPr="009B3E40">
        <w:rPr>
          <w:rFonts w:ascii="Arial" w:eastAsia="Times New Roman" w:hAnsi="Arial" w:cs="Arial"/>
          <w:sz w:val="20"/>
          <w:szCs w:val="20"/>
        </w:rPr>
        <w:t xml:space="preserve">The transition will be assisted by the recent opening of the West Gate Tunnel which provides an alternative to the West Gate Bridge and provides for stronger transport connections to Altona and Derrimut.  </w:t>
      </w:r>
    </w:p>
    <w:p w14:paraId="5636F029" w14:textId="2E829A2E" w:rsidR="00E60C59" w:rsidRDefault="00271FF6">
      <w:pPr>
        <w:pStyle w:val="NormalWeb"/>
        <w:rPr>
          <w:rFonts w:ascii="Arial" w:hAnsi="Arial" w:cs="Arial"/>
          <w:sz w:val="20"/>
          <w:szCs w:val="20"/>
        </w:rPr>
      </w:pPr>
      <w:r>
        <w:rPr>
          <w:rFonts w:ascii="Arial" w:hAnsi="Arial" w:cs="Arial"/>
          <w:sz w:val="20"/>
          <w:szCs w:val="20"/>
        </w:rPr>
        <w:lastRenderedPageBreak/>
        <w:br/>
      </w:r>
      <w:r w:rsidR="00CE5BF9" w:rsidRPr="00CE5BF9">
        <w:rPr>
          <w:rFonts w:ascii="Arial" w:hAnsi="Arial" w:cs="Arial"/>
          <w:b/>
          <w:sz w:val="20"/>
          <w:szCs w:val="20"/>
        </w:rPr>
        <w:t>SIGNED BY THE DELEGATE</w:t>
      </w:r>
      <w:r>
        <w:rPr>
          <w:rFonts w:ascii="Arial" w:hAnsi="Arial" w:cs="Arial"/>
          <w:sz w:val="20"/>
          <w:szCs w:val="20"/>
        </w:rPr>
        <w:br/>
      </w:r>
      <w:r>
        <w:rPr>
          <w:rFonts w:ascii="Arial" w:hAnsi="Arial" w:cs="Arial"/>
          <w:sz w:val="20"/>
          <w:szCs w:val="20"/>
        </w:rPr>
        <w:br/>
      </w:r>
      <w:r>
        <w:rPr>
          <w:rFonts w:ascii="Arial" w:hAnsi="Arial" w:cs="Arial"/>
          <w:sz w:val="20"/>
          <w:szCs w:val="20"/>
        </w:rPr>
        <w:br/>
      </w:r>
      <w:r>
        <w:rPr>
          <w:rStyle w:val="Strong"/>
          <w:rFonts w:ascii="Arial" w:hAnsi="Arial" w:cs="Arial"/>
          <w:sz w:val="20"/>
          <w:szCs w:val="20"/>
        </w:rPr>
        <w:t>Angela Hughes</w:t>
      </w:r>
      <w:r>
        <w:rPr>
          <w:rFonts w:ascii="Arial" w:hAnsi="Arial" w:cs="Arial"/>
          <w:sz w:val="20"/>
          <w:szCs w:val="20"/>
        </w:rPr>
        <w:br/>
      </w:r>
      <w:r>
        <w:rPr>
          <w:rStyle w:val="Strong"/>
          <w:rFonts w:ascii="Arial" w:hAnsi="Arial" w:cs="Arial"/>
          <w:sz w:val="20"/>
          <w:szCs w:val="20"/>
        </w:rPr>
        <w:t>Director, Metropolitan Planning Services</w:t>
      </w:r>
      <w:r>
        <w:rPr>
          <w:rFonts w:ascii="Arial" w:hAnsi="Arial" w:cs="Arial"/>
          <w:sz w:val="20"/>
          <w:szCs w:val="20"/>
        </w:rPr>
        <w:br/>
      </w:r>
      <w:r>
        <w:rPr>
          <w:rStyle w:val="Strong"/>
          <w:rFonts w:ascii="Arial" w:hAnsi="Arial" w:cs="Arial"/>
          <w:sz w:val="20"/>
          <w:szCs w:val="20"/>
        </w:rPr>
        <w:t>Department of Transport and Planning</w:t>
      </w:r>
    </w:p>
    <w:p w14:paraId="5636F02A" w14:textId="6FCA8560" w:rsidR="00DA2529" w:rsidRDefault="00271FF6">
      <w:pPr>
        <w:pStyle w:val="NormalWeb"/>
        <w:jc w:val="both"/>
        <w:rPr>
          <w:rFonts w:ascii="Arial" w:hAnsi="Arial" w:cs="Arial"/>
          <w:sz w:val="20"/>
          <w:szCs w:val="20"/>
        </w:rPr>
      </w:pPr>
      <w:r>
        <w:rPr>
          <w:rStyle w:val="Strong"/>
          <w:rFonts w:ascii="Arial" w:hAnsi="Arial" w:cs="Arial"/>
          <w:sz w:val="20"/>
          <w:szCs w:val="20"/>
        </w:rPr>
        <w:t>Date:</w:t>
      </w:r>
      <w:r w:rsidR="00CE5BF9">
        <w:rPr>
          <w:rStyle w:val="Strong"/>
          <w:rFonts w:ascii="Arial" w:hAnsi="Arial" w:cs="Arial"/>
          <w:sz w:val="20"/>
          <w:szCs w:val="20"/>
        </w:rPr>
        <w:t xml:space="preserve"> 20 August 2026</w:t>
      </w:r>
    </w:p>
    <w:sectPr w:rsidR="00DA2529">
      <w:headerReference w:type="default" r:id="rId12"/>
      <w:footerReference w:type="default" r:id="rId13"/>
      <w:pgSz w:w="11907" w:h="16840"/>
      <w:pgMar w:top="1440" w:right="1418" w:bottom="1440" w:left="1418" w:header="567"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007E" w14:textId="77777777" w:rsidR="005703A1" w:rsidRDefault="005703A1">
      <w:pPr>
        <w:spacing w:after="0" w:line="240" w:lineRule="auto"/>
      </w:pPr>
      <w:r>
        <w:separator/>
      </w:r>
    </w:p>
  </w:endnote>
  <w:endnote w:type="continuationSeparator" w:id="0">
    <w:p w14:paraId="7E887D88" w14:textId="77777777" w:rsidR="005703A1" w:rsidRDefault="00570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1" w:type="dxa"/>
      <w:tblInd w:w="10" w:type="dxa"/>
      <w:tblLayout w:type="fixed"/>
      <w:tblCellMar>
        <w:left w:w="10" w:type="dxa"/>
        <w:right w:w="10" w:type="dxa"/>
      </w:tblCellMar>
      <w:tblLook w:val="04A0" w:firstRow="1" w:lastRow="0" w:firstColumn="1" w:lastColumn="0" w:noHBand="0" w:noVBand="1"/>
    </w:tblPr>
    <w:tblGrid>
      <w:gridCol w:w="3023"/>
      <w:gridCol w:w="3024"/>
      <w:gridCol w:w="3024"/>
    </w:tblGrid>
    <w:tr w:rsidR="00B30D04" w14:paraId="5636F006" w14:textId="77777777">
      <w:tc>
        <w:tcPr>
          <w:tcW w:w="1650" w:type="pct"/>
          <w:vAlign w:val="center"/>
        </w:tcPr>
        <w:p w14:paraId="5636F003" w14:textId="77777777" w:rsidR="00B30D04" w:rsidRDefault="00B30D04">
          <w:pPr>
            <w:spacing w:after="0"/>
          </w:pPr>
        </w:p>
      </w:tc>
      <w:tc>
        <w:tcPr>
          <w:tcW w:w="1650" w:type="pct"/>
          <w:vAlign w:val="center"/>
        </w:tcPr>
        <w:p w14:paraId="5636F004" w14:textId="77777777" w:rsidR="00B30D04" w:rsidRDefault="00B30D04">
          <w:pPr>
            <w:spacing w:after="0"/>
            <w:jc w:val="center"/>
          </w:pPr>
        </w:p>
      </w:tc>
      <w:tc>
        <w:tcPr>
          <w:tcW w:w="1650" w:type="pct"/>
          <w:vAlign w:val="center"/>
        </w:tcPr>
        <w:p w14:paraId="5636F005" w14:textId="12BFC243" w:rsidR="00B30D04" w:rsidRDefault="00271FF6">
          <w:pPr>
            <w:spacing w:after="0"/>
            <w:jc w:val="right"/>
          </w:pPr>
          <w:r>
            <w:rPr>
              <w:rFonts w:ascii="Arial"/>
              <w:sz w:val="14"/>
              <w:szCs w:val="14"/>
            </w:rPr>
            <w:t>Page</w:t>
          </w:r>
          <w:r>
            <w:rPr>
              <w:rFonts w:ascii="Arial"/>
              <w:sz w:val="14"/>
              <w:szCs w:val="14"/>
            </w:rPr>
            <w:t> </w:t>
          </w:r>
          <w:r>
            <w:rPr>
              <w:rFonts w:ascii="Arial"/>
              <w:sz w:val="14"/>
              <w:szCs w:val="14"/>
            </w:rPr>
            <w:fldChar w:fldCharType="begin"/>
          </w:r>
          <w:r>
            <w:rPr>
              <w:rFonts w:ascii="Arial"/>
              <w:sz w:val="14"/>
              <w:szCs w:val="14"/>
            </w:rPr>
            <w:instrText>PAGE</w:instrText>
          </w:r>
          <w:r>
            <w:rPr>
              <w:rFonts w:ascii="Arial"/>
              <w:sz w:val="14"/>
              <w:szCs w:val="14"/>
            </w:rPr>
            <w:fldChar w:fldCharType="separate"/>
          </w:r>
          <w:r w:rsidR="008D1371">
            <w:rPr>
              <w:rFonts w:ascii="Arial"/>
              <w:noProof/>
              <w:sz w:val="14"/>
              <w:szCs w:val="14"/>
            </w:rPr>
            <w:t>1</w:t>
          </w:r>
          <w:r>
            <w:rPr>
              <w:rFonts w:ascii="Arial"/>
              <w:sz w:val="14"/>
              <w:szCs w:val="14"/>
            </w:rPr>
            <w:fldChar w:fldCharType="end"/>
          </w:r>
          <w:r>
            <w:rPr>
              <w:rFonts w:ascii="Arial"/>
              <w:sz w:val="14"/>
              <w:szCs w:val="14"/>
            </w:rPr>
            <w:t> </w:t>
          </w:r>
          <w:r>
            <w:rPr>
              <w:rFonts w:ascii="Arial"/>
              <w:sz w:val="14"/>
              <w:szCs w:val="14"/>
            </w:rPr>
            <w:t>of</w:t>
          </w:r>
          <w:r>
            <w:rPr>
              <w:rFonts w:ascii="Arial"/>
              <w:sz w:val="14"/>
              <w:szCs w:val="14"/>
            </w:rPr>
            <w:t> </w:t>
          </w:r>
          <w:r>
            <w:rPr>
              <w:rFonts w:ascii="Arial"/>
              <w:sz w:val="14"/>
              <w:szCs w:val="14"/>
            </w:rPr>
            <w:fldChar w:fldCharType="begin"/>
          </w:r>
          <w:r>
            <w:rPr>
              <w:rFonts w:ascii="Arial"/>
              <w:sz w:val="14"/>
              <w:szCs w:val="14"/>
            </w:rPr>
            <w:instrText>NUMPAGES</w:instrText>
          </w:r>
          <w:r>
            <w:rPr>
              <w:rFonts w:ascii="Arial"/>
              <w:sz w:val="14"/>
              <w:szCs w:val="14"/>
            </w:rPr>
            <w:fldChar w:fldCharType="separate"/>
          </w:r>
          <w:r w:rsidR="008D1371">
            <w:rPr>
              <w:rFonts w:ascii="Arial"/>
              <w:noProof/>
              <w:sz w:val="14"/>
              <w:szCs w:val="14"/>
            </w:rPr>
            <w:t>2</w:t>
          </w:r>
          <w:r>
            <w:rPr>
              <w:rFonts w:ascii="Arial"/>
              <w:sz w:val="14"/>
              <w:szCs w:val="14"/>
            </w:rPr>
            <w:fldChar w:fldCharType="end"/>
          </w:r>
        </w:p>
      </w:tc>
    </w:tr>
  </w:tbl>
  <w:p w14:paraId="5636F007" w14:textId="77777777" w:rsidR="00B30D04" w:rsidRDefault="00271FF6">
    <w:pPr>
      <w:spacing w:after="0"/>
    </w:pPr>
    <w:r>
      <w:rPr>
        <w:color w:val="FFFFFF"/>
        <w:sz w:val="2"/>
        <w:szCs w:val="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F11F7" w14:textId="77777777" w:rsidR="005703A1" w:rsidRDefault="005703A1">
      <w:pPr>
        <w:spacing w:after="0" w:line="240" w:lineRule="auto"/>
      </w:pPr>
      <w:r>
        <w:separator/>
      </w:r>
    </w:p>
  </w:footnote>
  <w:footnote w:type="continuationSeparator" w:id="0">
    <w:p w14:paraId="01258048" w14:textId="77777777" w:rsidR="005703A1" w:rsidRDefault="005703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F002" w14:textId="77777777" w:rsidR="00B30D04" w:rsidRDefault="00B30D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57C"/>
    <w:multiLevelType w:val="multilevel"/>
    <w:tmpl w:val="B7D0556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B7E69"/>
    <w:multiLevelType w:val="multilevel"/>
    <w:tmpl w:val="BDE45F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4F28C7"/>
    <w:multiLevelType w:val="multilevel"/>
    <w:tmpl w:val="3A844C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6C70C6"/>
    <w:multiLevelType w:val="multilevel"/>
    <w:tmpl w:val="5454813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FE65B7"/>
    <w:multiLevelType w:val="multilevel"/>
    <w:tmpl w:val="F602394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7F7774"/>
    <w:multiLevelType w:val="hybridMultilevel"/>
    <w:tmpl w:val="F2FE79A0"/>
    <w:lvl w:ilvl="0" w:tplc="60BA364E">
      <w:start w:val="1"/>
      <w:numFmt w:val="lowerLetter"/>
      <w:lvlText w:val="%1)"/>
      <w:lvlJc w:val="left"/>
      <w:pPr>
        <w:ind w:left="1840" w:hanging="360"/>
      </w:pPr>
    </w:lvl>
    <w:lvl w:ilvl="1" w:tplc="CF80023C">
      <w:start w:val="1"/>
      <w:numFmt w:val="lowerLetter"/>
      <w:lvlText w:val="%2)"/>
      <w:lvlJc w:val="left"/>
      <w:pPr>
        <w:ind w:left="1840" w:hanging="360"/>
      </w:pPr>
    </w:lvl>
    <w:lvl w:ilvl="2" w:tplc="1C02EF4C">
      <w:start w:val="1"/>
      <w:numFmt w:val="lowerLetter"/>
      <w:lvlText w:val="%3)"/>
      <w:lvlJc w:val="left"/>
      <w:pPr>
        <w:ind w:left="1840" w:hanging="360"/>
      </w:pPr>
    </w:lvl>
    <w:lvl w:ilvl="3" w:tplc="F9B8C028">
      <w:start w:val="1"/>
      <w:numFmt w:val="lowerLetter"/>
      <w:lvlText w:val="%4)"/>
      <w:lvlJc w:val="left"/>
      <w:pPr>
        <w:ind w:left="1840" w:hanging="360"/>
      </w:pPr>
    </w:lvl>
    <w:lvl w:ilvl="4" w:tplc="2EB89D0E">
      <w:start w:val="1"/>
      <w:numFmt w:val="lowerLetter"/>
      <w:lvlText w:val="%5)"/>
      <w:lvlJc w:val="left"/>
      <w:pPr>
        <w:ind w:left="1840" w:hanging="360"/>
      </w:pPr>
    </w:lvl>
    <w:lvl w:ilvl="5" w:tplc="9E04A356">
      <w:start w:val="1"/>
      <w:numFmt w:val="lowerLetter"/>
      <w:lvlText w:val="%6)"/>
      <w:lvlJc w:val="left"/>
      <w:pPr>
        <w:ind w:left="1840" w:hanging="360"/>
      </w:pPr>
    </w:lvl>
    <w:lvl w:ilvl="6" w:tplc="85D2407E">
      <w:start w:val="1"/>
      <w:numFmt w:val="lowerLetter"/>
      <w:lvlText w:val="%7)"/>
      <w:lvlJc w:val="left"/>
      <w:pPr>
        <w:ind w:left="1840" w:hanging="360"/>
      </w:pPr>
    </w:lvl>
    <w:lvl w:ilvl="7" w:tplc="A18C033C">
      <w:start w:val="1"/>
      <w:numFmt w:val="lowerLetter"/>
      <w:lvlText w:val="%8)"/>
      <w:lvlJc w:val="left"/>
      <w:pPr>
        <w:ind w:left="1840" w:hanging="360"/>
      </w:pPr>
    </w:lvl>
    <w:lvl w:ilvl="8" w:tplc="75C218F6">
      <w:start w:val="1"/>
      <w:numFmt w:val="lowerLetter"/>
      <w:lvlText w:val="%9)"/>
      <w:lvlJc w:val="left"/>
      <w:pPr>
        <w:ind w:left="1840" w:hanging="360"/>
      </w:pPr>
    </w:lvl>
  </w:abstractNum>
  <w:abstractNum w:abstractNumId="6" w15:restartNumberingAfterBreak="0">
    <w:nsid w:val="1EEB6269"/>
    <w:multiLevelType w:val="hybridMultilevel"/>
    <w:tmpl w:val="5C18599C"/>
    <w:lvl w:ilvl="0" w:tplc="4AEA420C">
      <w:start w:val="1"/>
      <w:numFmt w:val="decimal"/>
      <w:lvlText w:val="%1."/>
      <w:lvlJc w:val="left"/>
      <w:pPr>
        <w:ind w:left="720" w:hanging="360"/>
      </w:pPr>
    </w:lvl>
    <w:lvl w:ilvl="1" w:tplc="2344732C">
      <w:start w:val="1"/>
      <w:numFmt w:val="decimal"/>
      <w:lvlText w:val="%2."/>
      <w:lvlJc w:val="left"/>
      <w:pPr>
        <w:ind w:left="720" w:hanging="360"/>
      </w:pPr>
    </w:lvl>
    <w:lvl w:ilvl="2" w:tplc="E5883040">
      <w:start w:val="1"/>
      <w:numFmt w:val="decimal"/>
      <w:lvlText w:val="%3."/>
      <w:lvlJc w:val="left"/>
      <w:pPr>
        <w:ind w:left="720" w:hanging="360"/>
      </w:pPr>
    </w:lvl>
    <w:lvl w:ilvl="3" w:tplc="7D0CB374">
      <w:start w:val="1"/>
      <w:numFmt w:val="decimal"/>
      <w:lvlText w:val="%4."/>
      <w:lvlJc w:val="left"/>
      <w:pPr>
        <w:ind w:left="720" w:hanging="360"/>
      </w:pPr>
    </w:lvl>
    <w:lvl w:ilvl="4" w:tplc="D534E67A">
      <w:start w:val="1"/>
      <w:numFmt w:val="decimal"/>
      <w:lvlText w:val="%5."/>
      <w:lvlJc w:val="left"/>
      <w:pPr>
        <w:ind w:left="720" w:hanging="360"/>
      </w:pPr>
    </w:lvl>
    <w:lvl w:ilvl="5" w:tplc="8D84A2DA">
      <w:start w:val="1"/>
      <w:numFmt w:val="decimal"/>
      <w:lvlText w:val="%6."/>
      <w:lvlJc w:val="left"/>
      <w:pPr>
        <w:ind w:left="720" w:hanging="360"/>
      </w:pPr>
    </w:lvl>
    <w:lvl w:ilvl="6" w:tplc="0F0A37BE">
      <w:start w:val="1"/>
      <w:numFmt w:val="decimal"/>
      <w:lvlText w:val="%7."/>
      <w:lvlJc w:val="left"/>
      <w:pPr>
        <w:ind w:left="720" w:hanging="360"/>
      </w:pPr>
    </w:lvl>
    <w:lvl w:ilvl="7" w:tplc="E050F394">
      <w:start w:val="1"/>
      <w:numFmt w:val="decimal"/>
      <w:lvlText w:val="%8."/>
      <w:lvlJc w:val="left"/>
      <w:pPr>
        <w:ind w:left="720" w:hanging="360"/>
      </w:pPr>
    </w:lvl>
    <w:lvl w:ilvl="8" w:tplc="FC98FDA6">
      <w:start w:val="1"/>
      <w:numFmt w:val="decimal"/>
      <w:lvlText w:val="%9."/>
      <w:lvlJc w:val="left"/>
      <w:pPr>
        <w:ind w:left="720" w:hanging="360"/>
      </w:pPr>
    </w:lvl>
  </w:abstractNum>
  <w:abstractNum w:abstractNumId="7" w15:restartNumberingAfterBreak="0">
    <w:nsid w:val="266526F1"/>
    <w:multiLevelType w:val="multilevel"/>
    <w:tmpl w:val="64BE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5765B0"/>
    <w:multiLevelType w:val="hybridMultilevel"/>
    <w:tmpl w:val="9C363084"/>
    <w:lvl w:ilvl="0" w:tplc="8DAA23FA">
      <w:start w:val="1"/>
      <w:numFmt w:val="decimal"/>
      <w:lvlText w:val="%1."/>
      <w:lvlJc w:val="left"/>
      <w:pPr>
        <w:ind w:left="1280" w:hanging="360"/>
      </w:pPr>
    </w:lvl>
    <w:lvl w:ilvl="1" w:tplc="8CA632DA">
      <w:start w:val="1"/>
      <w:numFmt w:val="decimal"/>
      <w:lvlText w:val="%2."/>
      <w:lvlJc w:val="left"/>
      <w:pPr>
        <w:ind w:left="1280" w:hanging="360"/>
      </w:pPr>
    </w:lvl>
    <w:lvl w:ilvl="2" w:tplc="5238A070">
      <w:start w:val="1"/>
      <w:numFmt w:val="decimal"/>
      <w:lvlText w:val="%3."/>
      <w:lvlJc w:val="left"/>
      <w:pPr>
        <w:ind w:left="1280" w:hanging="360"/>
      </w:pPr>
    </w:lvl>
    <w:lvl w:ilvl="3" w:tplc="5C602FE4">
      <w:start w:val="1"/>
      <w:numFmt w:val="decimal"/>
      <w:lvlText w:val="%4."/>
      <w:lvlJc w:val="left"/>
      <w:pPr>
        <w:ind w:left="1280" w:hanging="360"/>
      </w:pPr>
    </w:lvl>
    <w:lvl w:ilvl="4" w:tplc="9A64660C">
      <w:start w:val="1"/>
      <w:numFmt w:val="decimal"/>
      <w:lvlText w:val="%5."/>
      <w:lvlJc w:val="left"/>
      <w:pPr>
        <w:ind w:left="1280" w:hanging="360"/>
      </w:pPr>
    </w:lvl>
    <w:lvl w:ilvl="5" w:tplc="4526228E">
      <w:start w:val="1"/>
      <w:numFmt w:val="decimal"/>
      <w:lvlText w:val="%6."/>
      <w:lvlJc w:val="left"/>
      <w:pPr>
        <w:ind w:left="1280" w:hanging="360"/>
      </w:pPr>
    </w:lvl>
    <w:lvl w:ilvl="6" w:tplc="1FB0E94E">
      <w:start w:val="1"/>
      <w:numFmt w:val="decimal"/>
      <w:lvlText w:val="%7."/>
      <w:lvlJc w:val="left"/>
      <w:pPr>
        <w:ind w:left="1280" w:hanging="360"/>
      </w:pPr>
    </w:lvl>
    <w:lvl w:ilvl="7" w:tplc="061CC2D8">
      <w:start w:val="1"/>
      <w:numFmt w:val="decimal"/>
      <w:lvlText w:val="%8."/>
      <w:lvlJc w:val="left"/>
      <w:pPr>
        <w:ind w:left="1280" w:hanging="360"/>
      </w:pPr>
    </w:lvl>
    <w:lvl w:ilvl="8" w:tplc="5420E538">
      <w:start w:val="1"/>
      <w:numFmt w:val="decimal"/>
      <w:lvlText w:val="%9."/>
      <w:lvlJc w:val="left"/>
      <w:pPr>
        <w:ind w:left="1280" w:hanging="360"/>
      </w:pPr>
    </w:lvl>
  </w:abstractNum>
  <w:abstractNum w:abstractNumId="9" w15:restartNumberingAfterBreak="0">
    <w:nsid w:val="27EA6898"/>
    <w:multiLevelType w:val="multilevel"/>
    <w:tmpl w:val="AF2840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D00A29"/>
    <w:multiLevelType w:val="multilevel"/>
    <w:tmpl w:val="0D4449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FC0771"/>
    <w:multiLevelType w:val="multilevel"/>
    <w:tmpl w:val="451C94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932D8"/>
    <w:multiLevelType w:val="hybridMultilevel"/>
    <w:tmpl w:val="81482540"/>
    <w:lvl w:ilvl="0" w:tplc="7D8038A6">
      <w:start w:val="1"/>
      <w:numFmt w:val="lowerLetter"/>
      <w:lvlText w:val="%1)"/>
      <w:lvlJc w:val="left"/>
      <w:pPr>
        <w:ind w:left="1840" w:hanging="360"/>
      </w:pPr>
    </w:lvl>
    <w:lvl w:ilvl="1" w:tplc="B058CC56">
      <w:start w:val="1"/>
      <w:numFmt w:val="lowerLetter"/>
      <w:lvlText w:val="%2)"/>
      <w:lvlJc w:val="left"/>
      <w:pPr>
        <w:ind w:left="1840" w:hanging="360"/>
      </w:pPr>
    </w:lvl>
    <w:lvl w:ilvl="2" w:tplc="8FA0806A">
      <w:start w:val="1"/>
      <w:numFmt w:val="lowerLetter"/>
      <w:lvlText w:val="%3)"/>
      <w:lvlJc w:val="left"/>
      <w:pPr>
        <w:ind w:left="1840" w:hanging="360"/>
      </w:pPr>
    </w:lvl>
    <w:lvl w:ilvl="3" w:tplc="FB8A7074">
      <w:start w:val="1"/>
      <w:numFmt w:val="lowerLetter"/>
      <w:lvlText w:val="%4)"/>
      <w:lvlJc w:val="left"/>
      <w:pPr>
        <w:ind w:left="1840" w:hanging="360"/>
      </w:pPr>
    </w:lvl>
    <w:lvl w:ilvl="4" w:tplc="B0BC9A3A">
      <w:start w:val="1"/>
      <w:numFmt w:val="lowerLetter"/>
      <w:lvlText w:val="%5)"/>
      <w:lvlJc w:val="left"/>
      <w:pPr>
        <w:ind w:left="1840" w:hanging="360"/>
      </w:pPr>
    </w:lvl>
    <w:lvl w:ilvl="5" w:tplc="50D2E462">
      <w:start w:val="1"/>
      <w:numFmt w:val="lowerLetter"/>
      <w:lvlText w:val="%6)"/>
      <w:lvlJc w:val="left"/>
      <w:pPr>
        <w:ind w:left="1840" w:hanging="360"/>
      </w:pPr>
    </w:lvl>
    <w:lvl w:ilvl="6" w:tplc="3782CA70">
      <w:start w:val="1"/>
      <w:numFmt w:val="lowerLetter"/>
      <w:lvlText w:val="%7)"/>
      <w:lvlJc w:val="left"/>
      <w:pPr>
        <w:ind w:left="1840" w:hanging="360"/>
      </w:pPr>
    </w:lvl>
    <w:lvl w:ilvl="7" w:tplc="D2909FD6">
      <w:start w:val="1"/>
      <w:numFmt w:val="lowerLetter"/>
      <w:lvlText w:val="%8)"/>
      <w:lvlJc w:val="left"/>
      <w:pPr>
        <w:ind w:left="1840" w:hanging="360"/>
      </w:pPr>
    </w:lvl>
    <w:lvl w:ilvl="8" w:tplc="657E129E">
      <w:start w:val="1"/>
      <w:numFmt w:val="lowerLetter"/>
      <w:lvlText w:val="%9)"/>
      <w:lvlJc w:val="left"/>
      <w:pPr>
        <w:ind w:left="1840" w:hanging="360"/>
      </w:pPr>
    </w:lvl>
  </w:abstractNum>
  <w:abstractNum w:abstractNumId="13" w15:restartNumberingAfterBreak="0">
    <w:nsid w:val="378659FA"/>
    <w:multiLevelType w:val="multilevel"/>
    <w:tmpl w:val="46C44E4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9367CFF"/>
    <w:multiLevelType w:val="multilevel"/>
    <w:tmpl w:val="1D8CE79A"/>
    <w:lvl w:ilvl="0">
      <w:start w:val="1"/>
      <w:numFmt w:val="bullet"/>
      <w:lvlText w:val=""/>
      <w:lvlJc w:val="left"/>
      <w:pPr>
        <w:tabs>
          <w:tab w:val="num" w:pos="-232"/>
        </w:tabs>
        <w:ind w:left="-232" w:hanging="360"/>
      </w:pPr>
      <w:rPr>
        <w:rFonts w:ascii="Symbol" w:hAnsi="Symbol" w:hint="default"/>
        <w:sz w:val="20"/>
      </w:rPr>
    </w:lvl>
    <w:lvl w:ilvl="1" w:tentative="1">
      <w:start w:val="1"/>
      <w:numFmt w:val="bullet"/>
      <w:lvlText w:val="o"/>
      <w:lvlJc w:val="left"/>
      <w:pPr>
        <w:tabs>
          <w:tab w:val="num" w:pos="488"/>
        </w:tabs>
        <w:ind w:left="488" w:hanging="360"/>
      </w:pPr>
      <w:rPr>
        <w:rFonts w:ascii="Courier New" w:hAnsi="Courier New" w:hint="default"/>
        <w:sz w:val="20"/>
      </w:rPr>
    </w:lvl>
    <w:lvl w:ilvl="2" w:tentative="1">
      <w:start w:val="1"/>
      <w:numFmt w:val="bullet"/>
      <w:lvlText w:val=""/>
      <w:lvlJc w:val="left"/>
      <w:pPr>
        <w:tabs>
          <w:tab w:val="num" w:pos="1208"/>
        </w:tabs>
        <w:ind w:left="1208" w:hanging="360"/>
      </w:pPr>
      <w:rPr>
        <w:rFonts w:ascii="Wingdings" w:hAnsi="Wingdings" w:hint="default"/>
        <w:sz w:val="20"/>
      </w:rPr>
    </w:lvl>
    <w:lvl w:ilvl="3" w:tentative="1">
      <w:start w:val="1"/>
      <w:numFmt w:val="bullet"/>
      <w:lvlText w:val=""/>
      <w:lvlJc w:val="left"/>
      <w:pPr>
        <w:tabs>
          <w:tab w:val="num" w:pos="1928"/>
        </w:tabs>
        <w:ind w:left="1928" w:hanging="360"/>
      </w:pPr>
      <w:rPr>
        <w:rFonts w:ascii="Wingdings" w:hAnsi="Wingdings" w:hint="default"/>
        <w:sz w:val="20"/>
      </w:rPr>
    </w:lvl>
    <w:lvl w:ilvl="4" w:tentative="1">
      <w:start w:val="1"/>
      <w:numFmt w:val="bullet"/>
      <w:lvlText w:val=""/>
      <w:lvlJc w:val="left"/>
      <w:pPr>
        <w:tabs>
          <w:tab w:val="num" w:pos="2648"/>
        </w:tabs>
        <w:ind w:left="2648" w:hanging="360"/>
      </w:pPr>
      <w:rPr>
        <w:rFonts w:ascii="Wingdings" w:hAnsi="Wingdings" w:hint="default"/>
        <w:sz w:val="20"/>
      </w:rPr>
    </w:lvl>
    <w:lvl w:ilvl="5" w:tentative="1">
      <w:start w:val="1"/>
      <w:numFmt w:val="bullet"/>
      <w:lvlText w:val=""/>
      <w:lvlJc w:val="left"/>
      <w:pPr>
        <w:tabs>
          <w:tab w:val="num" w:pos="3368"/>
        </w:tabs>
        <w:ind w:left="3368" w:hanging="360"/>
      </w:pPr>
      <w:rPr>
        <w:rFonts w:ascii="Wingdings" w:hAnsi="Wingdings" w:hint="default"/>
        <w:sz w:val="20"/>
      </w:rPr>
    </w:lvl>
    <w:lvl w:ilvl="6" w:tentative="1">
      <w:start w:val="1"/>
      <w:numFmt w:val="bullet"/>
      <w:lvlText w:val=""/>
      <w:lvlJc w:val="left"/>
      <w:pPr>
        <w:tabs>
          <w:tab w:val="num" w:pos="4088"/>
        </w:tabs>
        <w:ind w:left="4088" w:hanging="360"/>
      </w:pPr>
      <w:rPr>
        <w:rFonts w:ascii="Wingdings" w:hAnsi="Wingdings" w:hint="default"/>
        <w:sz w:val="20"/>
      </w:rPr>
    </w:lvl>
    <w:lvl w:ilvl="7" w:tentative="1">
      <w:start w:val="1"/>
      <w:numFmt w:val="bullet"/>
      <w:lvlText w:val=""/>
      <w:lvlJc w:val="left"/>
      <w:pPr>
        <w:tabs>
          <w:tab w:val="num" w:pos="4808"/>
        </w:tabs>
        <w:ind w:left="4808" w:hanging="360"/>
      </w:pPr>
      <w:rPr>
        <w:rFonts w:ascii="Wingdings" w:hAnsi="Wingdings" w:hint="default"/>
        <w:sz w:val="20"/>
      </w:rPr>
    </w:lvl>
    <w:lvl w:ilvl="8" w:tentative="1">
      <w:start w:val="1"/>
      <w:numFmt w:val="bullet"/>
      <w:lvlText w:val=""/>
      <w:lvlJc w:val="left"/>
      <w:pPr>
        <w:tabs>
          <w:tab w:val="num" w:pos="5528"/>
        </w:tabs>
        <w:ind w:left="5528" w:hanging="360"/>
      </w:pPr>
      <w:rPr>
        <w:rFonts w:ascii="Wingdings" w:hAnsi="Wingdings" w:hint="default"/>
        <w:sz w:val="20"/>
      </w:rPr>
    </w:lvl>
  </w:abstractNum>
  <w:abstractNum w:abstractNumId="15" w15:restartNumberingAfterBreak="0">
    <w:nsid w:val="3CFB36E2"/>
    <w:multiLevelType w:val="multilevel"/>
    <w:tmpl w:val="79E01ED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734EE8"/>
    <w:multiLevelType w:val="multilevel"/>
    <w:tmpl w:val="A306C6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AB2EE3"/>
    <w:multiLevelType w:val="multilevel"/>
    <w:tmpl w:val="DCF648EA"/>
    <w:lvl w:ilvl="0">
      <w:start w:val="1"/>
      <w:numFmt w:val="decimal"/>
      <w:lvlText w:val="%1."/>
      <w:lvlJc w:val="left"/>
      <w:pPr>
        <w:tabs>
          <w:tab w:val="num" w:pos="4046"/>
        </w:tabs>
        <w:ind w:left="404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4EA7BDF"/>
    <w:multiLevelType w:val="multilevel"/>
    <w:tmpl w:val="B5F02D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58066E"/>
    <w:multiLevelType w:val="multilevel"/>
    <w:tmpl w:val="C6B6A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0009DB"/>
    <w:multiLevelType w:val="multilevel"/>
    <w:tmpl w:val="80B046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C27487"/>
    <w:multiLevelType w:val="hybridMultilevel"/>
    <w:tmpl w:val="7F9AAF6E"/>
    <w:lvl w:ilvl="0" w:tplc="AD4A71A0">
      <w:start w:val="1"/>
      <w:numFmt w:val="decimal"/>
      <w:lvlText w:val="%1."/>
      <w:lvlJc w:val="left"/>
      <w:pPr>
        <w:ind w:left="720" w:hanging="360"/>
      </w:pPr>
    </w:lvl>
    <w:lvl w:ilvl="1" w:tplc="66181E8E">
      <w:start w:val="1"/>
      <w:numFmt w:val="decimal"/>
      <w:lvlText w:val="%2."/>
      <w:lvlJc w:val="left"/>
      <w:pPr>
        <w:ind w:left="720" w:hanging="360"/>
      </w:pPr>
    </w:lvl>
    <w:lvl w:ilvl="2" w:tplc="7CD2E27E">
      <w:start w:val="1"/>
      <w:numFmt w:val="decimal"/>
      <w:lvlText w:val="%3."/>
      <w:lvlJc w:val="left"/>
      <w:pPr>
        <w:ind w:left="720" w:hanging="360"/>
      </w:pPr>
    </w:lvl>
    <w:lvl w:ilvl="3" w:tplc="BCA0FF38">
      <w:start w:val="1"/>
      <w:numFmt w:val="decimal"/>
      <w:lvlText w:val="%4."/>
      <w:lvlJc w:val="left"/>
      <w:pPr>
        <w:ind w:left="720" w:hanging="360"/>
      </w:pPr>
    </w:lvl>
    <w:lvl w:ilvl="4" w:tplc="A61AB5E0">
      <w:start w:val="1"/>
      <w:numFmt w:val="decimal"/>
      <w:lvlText w:val="%5."/>
      <w:lvlJc w:val="left"/>
      <w:pPr>
        <w:ind w:left="720" w:hanging="360"/>
      </w:pPr>
    </w:lvl>
    <w:lvl w:ilvl="5" w:tplc="024EE552">
      <w:start w:val="1"/>
      <w:numFmt w:val="decimal"/>
      <w:lvlText w:val="%6."/>
      <w:lvlJc w:val="left"/>
      <w:pPr>
        <w:ind w:left="720" w:hanging="360"/>
      </w:pPr>
    </w:lvl>
    <w:lvl w:ilvl="6" w:tplc="254AEF5C">
      <w:start w:val="1"/>
      <w:numFmt w:val="decimal"/>
      <w:lvlText w:val="%7."/>
      <w:lvlJc w:val="left"/>
      <w:pPr>
        <w:ind w:left="720" w:hanging="360"/>
      </w:pPr>
    </w:lvl>
    <w:lvl w:ilvl="7" w:tplc="37A28ECE">
      <w:start w:val="1"/>
      <w:numFmt w:val="decimal"/>
      <w:lvlText w:val="%8."/>
      <w:lvlJc w:val="left"/>
      <w:pPr>
        <w:ind w:left="720" w:hanging="360"/>
      </w:pPr>
    </w:lvl>
    <w:lvl w:ilvl="8" w:tplc="029425EC">
      <w:start w:val="1"/>
      <w:numFmt w:val="decimal"/>
      <w:lvlText w:val="%9."/>
      <w:lvlJc w:val="left"/>
      <w:pPr>
        <w:ind w:left="720" w:hanging="360"/>
      </w:pPr>
    </w:lvl>
  </w:abstractNum>
  <w:abstractNum w:abstractNumId="22" w15:restartNumberingAfterBreak="0">
    <w:nsid w:val="58CC4050"/>
    <w:multiLevelType w:val="multilevel"/>
    <w:tmpl w:val="EB4456E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611577"/>
    <w:multiLevelType w:val="hybridMultilevel"/>
    <w:tmpl w:val="59BE3566"/>
    <w:lvl w:ilvl="0" w:tplc="FD7C014E">
      <w:start w:val="1"/>
      <w:numFmt w:val="decimal"/>
      <w:lvlText w:val="%1."/>
      <w:lvlJc w:val="left"/>
      <w:pPr>
        <w:ind w:left="1280" w:hanging="360"/>
      </w:pPr>
    </w:lvl>
    <w:lvl w:ilvl="1" w:tplc="6EB22C00">
      <w:start w:val="1"/>
      <w:numFmt w:val="decimal"/>
      <w:lvlText w:val="%2."/>
      <w:lvlJc w:val="left"/>
      <w:pPr>
        <w:ind w:left="1280" w:hanging="360"/>
      </w:pPr>
    </w:lvl>
    <w:lvl w:ilvl="2" w:tplc="51208816">
      <w:start w:val="1"/>
      <w:numFmt w:val="decimal"/>
      <w:lvlText w:val="%3."/>
      <w:lvlJc w:val="left"/>
      <w:pPr>
        <w:ind w:left="1280" w:hanging="360"/>
      </w:pPr>
    </w:lvl>
    <w:lvl w:ilvl="3" w:tplc="49362A5A">
      <w:start w:val="1"/>
      <w:numFmt w:val="decimal"/>
      <w:lvlText w:val="%4."/>
      <w:lvlJc w:val="left"/>
      <w:pPr>
        <w:ind w:left="1280" w:hanging="360"/>
      </w:pPr>
    </w:lvl>
    <w:lvl w:ilvl="4" w:tplc="1CF65056">
      <w:start w:val="1"/>
      <w:numFmt w:val="decimal"/>
      <w:lvlText w:val="%5."/>
      <w:lvlJc w:val="left"/>
      <w:pPr>
        <w:ind w:left="1280" w:hanging="360"/>
      </w:pPr>
    </w:lvl>
    <w:lvl w:ilvl="5" w:tplc="50F673D8">
      <w:start w:val="1"/>
      <w:numFmt w:val="decimal"/>
      <w:lvlText w:val="%6."/>
      <w:lvlJc w:val="left"/>
      <w:pPr>
        <w:ind w:left="1280" w:hanging="360"/>
      </w:pPr>
    </w:lvl>
    <w:lvl w:ilvl="6" w:tplc="8E0260D0">
      <w:start w:val="1"/>
      <w:numFmt w:val="decimal"/>
      <w:lvlText w:val="%7."/>
      <w:lvlJc w:val="left"/>
      <w:pPr>
        <w:ind w:left="1280" w:hanging="360"/>
      </w:pPr>
    </w:lvl>
    <w:lvl w:ilvl="7" w:tplc="957E6B38">
      <w:start w:val="1"/>
      <w:numFmt w:val="decimal"/>
      <w:lvlText w:val="%8."/>
      <w:lvlJc w:val="left"/>
      <w:pPr>
        <w:ind w:left="1280" w:hanging="360"/>
      </w:pPr>
    </w:lvl>
    <w:lvl w:ilvl="8" w:tplc="9A16EC20">
      <w:start w:val="1"/>
      <w:numFmt w:val="decimal"/>
      <w:lvlText w:val="%9."/>
      <w:lvlJc w:val="left"/>
      <w:pPr>
        <w:ind w:left="1280" w:hanging="360"/>
      </w:pPr>
    </w:lvl>
  </w:abstractNum>
  <w:abstractNum w:abstractNumId="24" w15:restartNumberingAfterBreak="0">
    <w:nsid w:val="5961270B"/>
    <w:multiLevelType w:val="multilevel"/>
    <w:tmpl w:val="2264E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5B78BE"/>
    <w:multiLevelType w:val="hybridMultilevel"/>
    <w:tmpl w:val="551456FA"/>
    <w:lvl w:ilvl="0" w:tplc="0BE6FA7E">
      <w:start w:val="1"/>
      <w:numFmt w:val="bullet"/>
      <w:lvlText w:val=""/>
      <w:lvlJc w:val="left"/>
      <w:pPr>
        <w:ind w:left="720" w:hanging="360"/>
      </w:pPr>
      <w:rPr>
        <w:rFonts w:ascii="Symbol" w:hAnsi="Symbol" w:hint="default"/>
      </w:rPr>
    </w:lvl>
    <w:lvl w:ilvl="1" w:tplc="6B306BF0">
      <w:start w:val="1"/>
      <w:numFmt w:val="bullet"/>
      <w:lvlText w:val="o"/>
      <w:lvlJc w:val="left"/>
      <w:pPr>
        <w:ind w:left="1440" w:hanging="360"/>
      </w:pPr>
      <w:rPr>
        <w:rFonts w:ascii="Courier New" w:hAnsi="Courier New" w:cs="Times New Roman" w:hint="default"/>
      </w:rPr>
    </w:lvl>
    <w:lvl w:ilvl="2" w:tplc="6078552C">
      <w:start w:val="1"/>
      <w:numFmt w:val="bullet"/>
      <w:lvlText w:val=""/>
      <w:lvlJc w:val="left"/>
      <w:pPr>
        <w:ind w:left="2160" w:hanging="360"/>
      </w:pPr>
      <w:rPr>
        <w:rFonts w:ascii="Wingdings" w:hAnsi="Wingdings" w:hint="default"/>
      </w:rPr>
    </w:lvl>
    <w:lvl w:ilvl="3" w:tplc="DEAC0BC0">
      <w:start w:val="1"/>
      <w:numFmt w:val="bullet"/>
      <w:lvlText w:val=""/>
      <w:lvlJc w:val="left"/>
      <w:pPr>
        <w:ind w:left="2880" w:hanging="360"/>
      </w:pPr>
      <w:rPr>
        <w:rFonts w:ascii="Symbol" w:hAnsi="Symbol" w:hint="default"/>
      </w:rPr>
    </w:lvl>
    <w:lvl w:ilvl="4" w:tplc="015803D4">
      <w:start w:val="1"/>
      <w:numFmt w:val="bullet"/>
      <w:lvlText w:val="o"/>
      <w:lvlJc w:val="left"/>
      <w:pPr>
        <w:ind w:left="3600" w:hanging="360"/>
      </w:pPr>
      <w:rPr>
        <w:rFonts w:ascii="Courier New" w:hAnsi="Courier New" w:cs="Times New Roman" w:hint="default"/>
      </w:rPr>
    </w:lvl>
    <w:lvl w:ilvl="5" w:tplc="2D462784">
      <w:start w:val="1"/>
      <w:numFmt w:val="bullet"/>
      <w:lvlText w:val=""/>
      <w:lvlJc w:val="left"/>
      <w:pPr>
        <w:ind w:left="4320" w:hanging="360"/>
      </w:pPr>
      <w:rPr>
        <w:rFonts w:ascii="Wingdings" w:hAnsi="Wingdings" w:hint="default"/>
      </w:rPr>
    </w:lvl>
    <w:lvl w:ilvl="6" w:tplc="61E62B66">
      <w:start w:val="1"/>
      <w:numFmt w:val="bullet"/>
      <w:lvlText w:val=""/>
      <w:lvlJc w:val="left"/>
      <w:pPr>
        <w:ind w:left="5040" w:hanging="360"/>
      </w:pPr>
      <w:rPr>
        <w:rFonts w:ascii="Symbol" w:hAnsi="Symbol" w:hint="default"/>
      </w:rPr>
    </w:lvl>
    <w:lvl w:ilvl="7" w:tplc="317CF1B2">
      <w:start w:val="1"/>
      <w:numFmt w:val="bullet"/>
      <w:lvlText w:val="o"/>
      <w:lvlJc w:val="left"/>
      <w:pPr>
        <w:ind w:left="5760" w:hanging="360"/>
      </w:pPr>
      <w:rPr>
        <w:rFonts w:ascii="Courier New" w:hAnsi="Courier New" w:cs="Times New Roman" w:hint="default"/>
      </w:rPr>
    </w:lvl>
    <w:lvl w:ilvl="8" w:tplc="C9CABD3A">
      <w:start w:val="1"/>
      <w:numFmt w:val="bullet"/>
      <w:lvlText w:val=""/>
      <w:lvlJc w:val="left"/>
      <w:pPr>
        <w:ind w:left="6480" w:hanging="360"/>
      </w:pPr>
      <w:rPr>
        <w:rFonts w:ascii="Wingdings" w:hAnsi="Wingdings" w:hint="default"/>
      </w:rPr>
    </w:lvl>
  </w:abstractNum>
  <w:abstractNum w:abstractNumId="26" w15:restartNumberingAfterBreak="0">
    <w:nsid w:val="5C7E2248"/>
    <w:multiLevelType w:val="multilevel"/>
    <w:tmpl w:val="B8146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5D4AF0"/>
    <w:multiLevelType w:val="multilevel"/>
    <w:tmpl w:val="3090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3D26A4"/>
    <w:multiLevelType w:val="multilevel"/>
    <w:tmpl w:val="15F6F3A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DB4F29"/>
    <w:multiLevelType w:val="multilevel"/>
    <w:tmpl w:val="1CD6B67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F07BEA"/>
    <w:multiLevelType w:val="multilevel"/>
    <w:tmpl w:val="1480C6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E4F75D6"/>
    <w:multiLevelType w:val="hybridMultilevel"/>
    <w:tmpl w:val="BC3A872A"/>
    <w:lvl w:ilvl="0" w:tplc="BF1C2EA8">
      <w:start w:val="1"/>
      <w:numFmt w:val="bullet"/>
      <w:lvlText w:val=""/>
      <w:lvlJc w:val="left"/>
      <w:pPr>
        <w:ind w:left="1440" w:hanging="360"/>
      </w:pPr>
      <w:rPr>
        <w:rFonts w:ascii="Symbol" w:hAnsi="Symbol"/>
      </w:rPr>
    </w:lvl>
    <w:lvl w:ilvl="1" w:tplc="60FAF544">
      <w:start w:val="1"/>
      <w:numFmt w:val="bullet"/>
      <w:lvlText w:val=""/>
      <w:lvlJc w:val="left"/>
      <w:pPr>
        <w:ind w:left="1440" w:hanging="360"/>
      </w:pPr>
      <w:rPr>
        <w:rFonts w:ascii="Symbol" w:hAnsi="Symbol"/>
      </w:rPr>
    </w:lvl>
    <w:lvl w:ilvl="2" w:tplc="D2407CFC">
      <w:start w:val="1"/>
      <w:numFmt w:val="bullet"/>
      <w:lvlText w:val=""/>
      <w:lvlJc w:val="left"/>
      <w:pPr>
        <w:ind w:left="1440" w:hanging="360"/>
      </w:pPr>
      <w:rPr>
        <w:rFonts w:ascii="Symbol" w:hAnsi="Symbol"/>
      </w:rPr>
    </w:lvl>
    <w:lvl w:ilvl="3" w:tplc="40684AA2">
      <w:start w:val="1"/>
      <w:numFmt w:val="bullet"/>
      <w:lvlText w:val=""/>
      <w:lvlJc w:val="left"/>
      <w:pPr>
        <w:ind w:left="1440" w:hanging="360"/>
      </w:pPr>
      <w:rPr>
        <w:rFonts w:ascii="Symbol" w:hAnsi="Symbol"/>
      </w:rPr>
    </w:lvl>
    <w:lvl w:ilvl="4" w:tplc="8E2A6C3C">
      <w:start w:val="1"/>
      <w:numFmt w:val="bullet"/>
      <w:lvlText w:val=""/>
      <w:lvlJc w:val="left"/>
      <w:pPr>
        <w:ind w:left="1440" w:hanging="360"/>
      </w:pPr>
      <w:rPr>
        <w:rFonts w:ascii="Symbol" w:hAnsi="Symbol"/>
      </w:rPr>
    </w:lvl>
    <w:lvl w:ilvl="5" w:tplc="B4140228">
      <w:start w:val="1"/>
      <w:numFmt w:val="bullet"/>
      <w:lvlText w:val=""/>
      <w:lvlJc w:val="left"/>
      <w:pPr>
        <w:ind w:left="1440" w:hanging="360"/>
      </w:pPr>
      <w:rPr>
        <w:rFonts w:ascii="Symbol" w:hAnsi="Symbol"/>
      </w:rPr>
    </w:lvl>
    <w:lvl w:ilvl="6" w:tplc="1E261C10">
      <w:start w:val="1"/>
      <w:numFmt w:val="bullet"/>
      <w:lvlText w:val=""/>
      <w:lvlJc w:val="left"/>
      <w:pPr>
        <w:ind w:left="1440" w:hanging="360"/>
      </w:pPr>
      <w:rPr>
        <w:rFonts w:ascii="Symbol" w:hAnsi="Symbol"/>
      </w:rPr>
    </w:lvl>
    <w:lvl w:ilvl="7" w:tplc="D9425B48">
      <w:start w:val="1"/>
      <w:numFmt w:val="bullet"/>
      <w:lvlText w:val=""/>
      <w:lvlJc w:val="left"/>
      <w:pPr>
        <w:ind w:left="1440" w:hanging="360"/>
      </w:pPr>
      <w:rPr>
        <w:rFonts w:ascii="Symbol" w:hAnsi="Symbol"/>
      </w:rPr>
    </w:lvl>
    <w:lvl w:ilvl="8" w:tplc="2E748316">
      <w:start w:val="1"/>
      <w:numFmt w:val="bullet"/>
      <w:lvlText w:val=""/>
      <w:lvlJc w:val="left"/>
      <w:pPr>
        <w:ind w:left="1440" w:hanging="360"/>
      </w:pPr>
      <w:rPr>
        <w:rFonts w:ascii="Symbol" w:hAnsi="Symbol"/>
      </w:rPr>
    </w:lvl>
  </w:abstractNum>
  <w:abstractNum w:abstractNumId="32" w15:restartNumberingAfterBreak="0">
    <w:nsid w:val="7F967856"/>
    <w:multiLevelType w:val="multilevel"/>
    <w:tmpl w:val="AD8EBEC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1890781">
    <w:abstractNumId w:val="26"/>
  </w:num>
  <w:num w:numId="2" w16cid:durableId="1268342655">
    <w:abstractNumId w:val="24"/>
  </w:num>
  <w:num w:numId="3" w16cid:durableId="769738269">
    <w:abstractNumId w:val="19"/>
  </w:num>
  <w:num w:numId="4" w16cid:durableId="884147447">
    <w:abstractNumId w:val="2"/>
  </w:num>
  <w:num w:numId="5" w16cid:durableId="1968077708">
    <w:abstractNumId w:val="10"/>
  </w:num>
  <w:num w:numId="6" w16cid:durableId="1145664724">
    <w:abstractNumId w:val="1"/>
  </w:num>
  <w:num w:numId="7" w16cid:durableId="813064252">
    <w:abstractNumId w:val="18"/>
  </w:num>
  <w:num w:numId="8" w16cid:durableId="2003855442">
    <w:abstractNumId w:val="9"/>
  </w:num>
  <w:num w:numId="9" w16cid:durableId="430786783">
    <w:abstractNumId w:val="30"/>
  </w:num>
  <w:num w:numId="10" w16cid:durableId="2066488335">
    <w:abstractNumId w:val="20"/>
  </w:num>
  <w:num w:numId="11" w16cid:durableId="1709447207">
    <w:abstractNumId w:val="11"/>
  </w:num>
  <w:num w:numId="12" w16cid:durableId="1424956082">
    <w:abstractNumId w:val="16"/>
  </w:num>
  <w:num w:numId="13" w16cid:durableId="65953273">
    <w:abstractNumId w:val="28"/>
  </w:num>
  <w:num w:numId="14" w16cid:durableId="1736967926">
    <w:abstractNumId w:val="22"/>
  </w:num>
  <w:num w:numId="15" w16cid:durableId="1195652199">
    <w:abstractNumId w:val="15"/>
  </w:num>
  <w:num w:numId="16" w16cid:durableId="2077585798">
    <w:abstractNumId w:val="32"/>
  </w:num>
  <w:num w:numId="17" w16cid:durableId="307173191">
    <w:abstractNumId w:val="27"/>
  </w:num>
  <w:num w:numId="18" w16cid:durableId="1551572479">
    <w:abstractNumId w:val="7"/>
  </w:num>
  <w:num w:numId="19" w16cid:durableId="10935554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58090882">
    <w:abstractNumId w:val="25"/>
  </w:num>
  <w:num w:numId="21" w16cid:durableId="1042052450">
    <w:abstractNumId w:val="13"/>
  </w:num>
  <w:num w:numId="22" w16cid:durableId="899486099">
    <w:abstractNumId w:val="3"/>
  </w:num>
  <w:num w:numId="23" w16cid:durableId="1835871711">
    <w:abstractNumId w:val="29"/>
  </w:num>
  <w:num w:numId="24" w16cid:durableId="946233464">
    <w:abstractNumId w:val="0"/>
  </w:num>
  <w:num w:numId="25" w16cid:durableId="1406491595">
    <w:abstractNumId w:val="4"/>
  </w:num>
  <w:num w:numId="26" w16cid:durableId="1075132083">
    <w:abstractNumId w:val="14"/>
  </w:num>
  <w:num w:numId="27" w16cid:durableId="869925001">
    <w:abstractNumId w:val="31"/>
  </w:num>
  <w:num w:numId="28" w16cid:durableId="581910106">
    <w:abstractNumId w:val="21"/>
  </w:num>
  <w:num w:numId="29" w16cid:durableId="708843009">
    <w:abstractNumId w:val="6"/>
  </w:num>
  <w:num w:numId="30" w16cid:durableId="299462276">
    <w:abstractNumId w:val="23"/>
  </w:num>
  <w:num w:numId="31" w16cid:durableId="52780774">
    <w:abstractNumId w:val="5"/>
  </w:num>
  <w:num w:numId="32" w16cid:durableId="616638234">
    <w:abstractNumId w:val="8"/>
  </w:num>
  <w:num w:numId="33" w16cid:durableId="11472359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30D04"/>
    <w:rsid w:val="00030237"/>
    <w:rsid w:val="000546BC"/>
    <w:rsid w:val="000772CC"/>
    <w:rsid w:val="000A1632"/>
    <w:rsid w:val="000B4F8F"/>
    <w:rsid w:val="000C4475"/>
    <w:rsid w:val="000E52B3"/>
    <w:rsid w:val="000F24BE"/>
    <w:rsid w:val="001009B1"/>
    <w:rsid w:val="00110E06"/>
    <w:rsid w:val="00134101"/>
    <w:rsid w:val="00161DC8"/>
    <w:rsid w:val="00161E71"/>
    <w:rsid w:val="001B06A7"/>
    <w:rsid w:val="001B33B7"/>
    <w:rsid w:val="001B4DB3"/>
    <w:rsid w:val="001E79C7"/>
    <w:rsid w:val="002025EF"/>
    <w:rsid w:val="0022552F"/>
    <w:rsid w:val="00255E74"/>
    <w:rsid w:val="00266127"/>
    <w:rsid w:val="00271FF6"/>
    <w:rsid w:val="002738EF"/>
    <w:rsid w:val="00276E3F"/>
    <w:rsid w:val="00280A4A"/>
    <w:rsid w:val="0028223E"/>
    <w:rsid w:val="00286081"/>
    <w:rsid w:val="00291B50"/>
    <w:rsid w:val="002A5941"/>
    <w:rsid w:val="002B3C50"/>
    <w:rsid w:val="00310B42"/>
    <w:rsid w:val="003116C5"/>
    <w:rsid w:val="00343B17"/>
    <w:rsid w:val="00361152"/>
    <w:rsid w:val="003A09A3"/>
    <w:rsid w:val="003B6B99"/>
    <w:rsid w:val="003E231F"/>
    <w:rsid w:val="003F414D"/>
    <w:rsid w:val="0041013D"/>
    <w:rsid w:val="00427697"/>
    <w:rsid w:val="00441B45"/>
    <w:rsid w:val="004749FD"/>
    <w:rsid w:val="00491DD1"/>
    <w:rsid w:val="00496262"/>
    <w:rsid w:val="004A4345"/>
    <w:rsid w:val="004C0C8E"/>
    <w:rsid w:val="004C136C"/>
    <w:rsid w:val="004C494D"/>
    <w:rsid w:val="004D0448"/>
    <w:rsid w:val="004E47A1"/>
    <w:rsid w:val="005027B1"/>
    <w:rsid w:val="00515874"/>
    <w:rsid w:val="00523252"/>
    <w:rsid w:val="00527400"/>
    <w:rsid w:val="0055700F"/>
    <w:rsid w:val="005703A1"/>
    <w:rsid w:val="005764E6"/>
    <w:rsid w:val="0057745A"/>
    <w:rsid w:val="00596D30"/>
    <w:rsid w:val="005A62CD"/>
    <w:rsid w:val="005C5F7C"/>
    <w:rsid w:val="005D4C0D"/>
    <w:rsid w:val="005F2662"/>
    <w:rsid w:val="005F57CC"/>
    <w:rsid w:val="006318D2"/>
    <w:rsid w:val="00681216"/>
    <w:rsid w:val="0069702C"/>
    <w:rsid w:val="00697CBB"/>
    <w:rsid w:val="006C3500"/>
    <w:rsid w:val="006D2953"/>
    <w:rsid w:val="006F7A9E"/>
    <w:rsid w:val="0073025F"/>
    <w:rsid w:val="00734B18"/>
    <w:rsid w:val="00754473"/>
    <w:rsid w:val="00755ECA"/>
    <w:rsid w:val="00770865"/>
    <w:rsid w:val="00782821"/>
    <w:rsid w:val="007B1F41"/>
    <w:rsid w:val="007B3916"/>
    <w:rsid w:val="007C21B5"/>
    <w:rsid w:val="0087592B"/>
    <w:rsid w:val="0088185A"/>
    <w:rsid w:val="00887388"/>
    <w:rsid w:val="008B5DBB"/>
    <w:rsid w:val="008C3255"/>
    <w:rsid w:val="008C5B0F"/>
    <w:rsid w:val="008D1371"/>
    <w:rsid w:val="008D1DEB"/>
    <w:rsid w:val="008E71EE"/>
    <w:rsid w:val="00913598"/>
    <w:rsid w:val="009222A6"/>
    <w:rsid w:val="00947998"/>
    <w:rsid w:val="00957576"/>
    <w:rsid w:val="00970511"/>
    <w:rsid w:val="00986AC3"/>
    <w:rsid w:val="00995AB0"/>
    <w:rsid w:val="00996F79"/>
    <w:rsid w:val="009B018F"/>
    <w:rsid w:val="009B3E40"/>
    <w:rsid w:val="009B56B8"/>
    <w:rsid w:val="009C2589"/>
    <w:rsid w:val="009D5AFE"/>
    <w:rsid w:val="009D6407"/>
    <w:rsid w:val="009E28D8"/>
    <w:rsid w:val="009E7CA5"/>
    <w:rsid w:val="009F4820"/>
    <w:rsid w:val="00A46122"/>
    <w:rsid w:val="00A83158"/>
    <w:rsid w:val="00A90C52"/>
    <w:rsid w:val="00AA78D7"/>
    <w:rsid w:val="00AF62C4"/>
    <w:rsid w:val="00B30D04"/>
    <w:rsid w:val="00B37079"/>
    <w:rsid w:val="00B42103"/>
    <w:rsid w:val="00B4393E"/>
    <w:rsid w:val="00B441FB"/>
    <w:rsid w:val="00B90FE9"/>
    <w:rsid w:val="00B97254"/>
    <w:rsid w:val="00BD2538"/>
    <w:rsid w:val="00BF17F3"/>
    <w:rsid w:val="00C46788"/>
    <w:rsid w:val="00C81E38"/>
    <w:rsid w:val="00CB1671"/>
    <w:rsid w:val="00CC4EB7"/>
    <w:rsid w:val="00CE2C96"/>
    <w:rsid w:val="00CE5BF9"/>
    <w:rsid w:val="00CF12BB"/>
    <w:rsid w:val="00CF2D2F"/>
    <w:rsid w:val="00D32719"/>
    <w:rsid w:val="00D5190D"/>
    <w:rsid w:val="00D527EF"/>
    <w:rsid w:val="00D91310"/>
    <w:rsid w:val="00DA2529"/>
    <w:rsid w:val="00DA6F85"/>
    <w:rsid w:val="00DC76E8"/>
    <w:rsid w:val="00DD5B30"/>
    <w:rsid w:val="00DF425E"/>
    <w:rsid w:val="00E02214"/>
    <w:rsid w:val="00E126BB"/>
    <w:rsid w:val="00E40F10"/>
    <w:rsid w:val="00E60C59"/>
    <w:rsid w:val="00E9201D"/>
    <w:rsid w:val="00EB6843"/>
    <w:rsid w:val="00EC706B"/>
    <w:rsid w:val="00ED29A8"/>
    <w:rsid w:val="00F24BA0"/>
    <w:rsid w:val="00F5553F"/>
    <w:rsid w:val="00F61911"/>
    <w:rsid w:val="00F640ED"/>
    <w:rsid w:val="00F65487"/>
    <w:rsid w:val="00F6671A"/>
    <w:rsid w:val="00FA71BC"/>
    <w:rsid w:val="00FB2C8F"/>
    <w:rsid w:val="00FB59BB"/>
    <w:rsid w:val="00FB5B34"/>
    <w:rsid w:val="00FC1C33"/>
    <w:rsid w:val="00FD038A"/>
    <w:rsid w:val="00FD1580"/>
    <w:rsid w:val="00FF2D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6F002"/>
  <w15:docId w15:val="{8A374CF5-16BA-4284-AAF0-C9192F655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hAnsi="Times New Roman" w:cs="Times New Roman"/>
      <w:kern w:val="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ListParagraphChar">
    <w:name w:val="List Paragraph Char"/>
    <w:aliases w:val="DdeM List Paragraph Char,NFP GP Bulleted List Char,Recommendation Char,List Paragraph1 Char,2. List Bullet 2 Char,List Paragraph11 Char,L Char,F5 List Paragraph Char,Dot pt Char,CV text Char,Table text Char,List Paragraph111 Char"/>
    <w:link w:val="ListParagraph"/>
    <w:uiPriority w:val="34"/>
    <w:qFormat/>
    <w:locked/>
    <w:rsid w:val="008D1371"/>
    <w:rPr>
      <w:rFonts w:ascii="Times New Roman" w:eastAsia="Times New Roman" w:hAnsi="Times New Roman" w:cs="Times New Roman"/>
      <w:kern w:val="0"/>
      <w:sz w:val="20"/>
      <w:szCs w:val="20"/>
      <w:lang w:val="en-US" w:eastAsia="en-US"/>
    </w:rPr>
  </w:style>
  <w:style w:type="paragraph" w:styleId="ListParagraph">
    <w:name w:val="List Paragraph"/>
    <w:aliases w:val="DdeM List Paragraph,NFP GP Bulleted List,Recommendation,List Paragraph1,2. List Bullet 2,List Paragraph11,L,F5 List Paragraph,Dot pt,CV text,Table text,List Paragraph111,Medium Grid 1 - Accent 21,Numbered Paragraph,List Paragraph2"/>
    <w:basedOn w:val="Normal"/>
    <w:link w:val="ListParagraphChar"/>
    <w:uiPriority w:val="34"/>
    <w:qFormat/>
    <w:rsid w:val="008D1371"/>
    <w:pPr>
      <w:spacing w:after="0" w:line="240" w:lineRule="auto"/>
      <w:ind w:left="720"/>
      <w:contextualSpacing/>
    </w:pPr>
    <w:rPr>
      <w:rFonts w:ascii="Times New Roman" w:eastAsia="Times New Roman" w:hAnsi="Times New Roman" w:cs="Times New Roman"/>
      <w:kern w:val="0"/>
      <w:sz w:val="20"/>
      <w:szCs w:val="20"/>
      <w:lang w:val="en-US" w:eastAsia="en-US"/>
    </w:rPr>
  </w:style>
  <w:style w:type="paragraph" w:styleId="Header">
    <w:name w:val="header"/>
    <w:basedOn w:val="Normal"/>
    <w:link w:val="HeaderChar"/>
    <w:uiPriority w:val="99"/>
    <w:semiHidden/>
    <w:unhideWhenUsed/>
    <w:rsid w:val="00FB5B3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B5B34"/>
  </w:style>
  <w:style w:type="paragraph" w:styleId="Footer">
    <w:name w:val="footer"/>
    <w:basedOn w:val="Normal"/>
    <w:link w:val="FooterChar"/>
    <w:uiPriority w:val="99"/>
    <w:semiHidden/>
    <w:unhideWhenUsed/>
    <w:rsid w:val="00FB5B3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B5B34"/>
  </w:style>
  <w:style w:type="character" w:styleId="CommentReference">
    <w:name w:val="annotation reference"/>
    <w:basedOn w:val="DefaultParagraphFont"/>
    <w:uiPriority w:val="99"/>
    <w:semiHidden/>
    <w:unhideWhenUsed/>
    <w:rsid w:val="009D6407"/>
    <w:rPr>
      <w:sz w:val="16"/>
      <w:szCs w:val="16"/>
    </w:rPr>
  </w:style>
  <w:style w:type="paragraph" w:styleId="CommentText">
    <w:name w:val="annotation text"/>
    <w:basedOn w:val="Normal"/>
    <w:link w:val="CommentTextChar"/>
    <w:uiPriority w:val="99"/>
    <w:unhideWhenUsed/>
    <w:rsid w:val="009D6407"/>
    <w:pPr>
      <w:spacing w:line="240" w:lineRule="auto"/>
    </w:pPr>
    <w:rPr>
      <w:sz w:val="20"/>
      <w:szCs w:val="20"/>
    </w:rPr>
  </w:style>
  <w:style w:type="character" w:customStyle="1" w:styleId="CommentTextChar">
    <w:name w:val="Comment Text Char"/>
    <w:basedOn w:val="DefaultParagraphFont"/>
    <w:link w:val="CommentText"/>
    <w:uiPriority w:val="99"/>
    <w:rsid w:val="009D6407"/>
    <w:rPr>
      <w:sz w:val="20"/>
      <w:szCs w:val="20"/>
    </w:rPr>
  </w:style>
  <w:style w:type="paragraph" w:styleId="CommentSubject">
    <w:name w:val="annotation subject"/>
    <w:basedOn w:val="CommentText"/>
    <w:next w:val="CommentText"/>
    <w:link w:val="CommentSubjectChar"/>
    <w:uiPriority w:val="99"/>
    <w:semiHidden/>
    <w:unhideWhenUsed/>
    <w:rsid w:val="009D6407"/>
    <w:rPr>
      <w:b/>
      <w:bCs/>
    </w:rPr>
  </w:style>
  <w:style w:type="character" w:customStyle="1" w:styleId="CommentSubjectChar">
    <w:name w:val="Comment Subject Char"/>
    <w:basedOn w:val="CommentTextChar"/>
    <w:link w:val="CommentSubject"/>
    <w:uiPriority w:val="99"/>
    <w:semiHidden/>
    <w:rsid w:val="009D6407"/>
    <w:rPr>
      <w:b/>
      <w:bCs/>
      <w:sz w:val="20"/>
      <w:szCs w:val="20"/>
    </w:rPr>
  </w:style>
  <w:style w:type="character" w:customStyle="1" w:styleId="NormalWebChar">
    <w:name w:val="Normal (Web) Char"/>
    <w:basedOn w:val="DefaultParagraphFont"/>
    <w:link w:val="NormalWeb"/>
    <w:uiPriority w:val="99"/>
    <w:rsid w:val="00B4393E"/>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1" Type="http://schemas.openxmlformats.org/officeDocument/2006/relationships/endnotes" Target="endnotes.xml"/><Relationship Id="rId6"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1C22981C9C628A478FB16498A5BF937A" ma:contentTypeVersion="54" ma:contentTypeDescription="Create a new document." ma:contentTypeScope="" ma:versionID="69b7e1ecf0671f4c5e2f0cd8d753a94a">
  <xsd:schema xmlns:xsd="http://www.w3.org/2001/XMLSchema" xmlns:xs="http://www.w3.org/2001/XMLSchema" xmlns:p="http://schemas.microsoft.com/office/2006/metadata/properties" xmlns:ns2="4fdd728e-833c-48c5-805e-65ec2f07fb05" xmlns:ns3="e2da5281-84a0-430a-a803-36456b4c9a2c" targetNamespace="http://schemas.microsoft.com/office/2006/metadata/properties" ma:root="true" ma:fieldsID="aa3aa58dc1141ccbd2898b93abfdd913" ns2:_="" ns3:_="">
    <xsd:import namespace="4fdd728e-833c-48c5-805e-65ec2f07fb05"/>
    <xsd:import namespace="e2da5281-84a0-430a-a803-36456b4c9a2c"/>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_dlc_DocIdUrl" minOccurs="0"/>
                <xsd:element ref="ns2:DocumentType"/>
                <xsd:element ref="ns2:StakeholderTypes" minOccurs="0"/>
                <xsd:element ref="ns2:Document_x0020_content" minOccurs="0"/>
                <xsd:element ref="ns2:DocCreatedSaved" minOccurs="0"/>
                <xsd:element ref="ns2:DocModifiedSaved" minOccurs="0"/>
                <xsd:element ref="ns2:EmAttachCount" minOccurs="0"/>
                <xsd:element ref="ns2:EmAttachmentNames" minOccurs="0"/>
                <xsd:element ref="ns2:EmBCC" minOccurs="0"/>
                <xsd:element ref="ns2:EmBCCSMTPAddress" minOccurs="0"/>
                <xsd:element ref="ns2:EmBody" minOccurs="0"/>
                <xsd:element ref="ns2:EmCategory" minOccurs="0"/>
                <xsd:element ref="ns2:EmCC" minOccurs="0"/>
                <xsd:element ref="ns2:EmCCSMTPAddress" minOccurs="0"/>
                <xsd:element ref="ns2:EmCompanies" minOccurs="0"/>
                <xsd:element ref="ns2:EmCon" minOccurs="0"/>
                <xsd:element ref="ns2:EmConversationID" minOccurs="0"/>
                <xsd:element ref="ns2:EmConversationIndex" minOccurs="0"/>
                <xsd:element ref="ns2:EmDate" minOccurs="0"/>
                <xsd:element ref="ns2:EmDateReceived" minOccurs="0"/>
                <xsd:element ref="ns2:EmDateSent" minOccurs="0"/>
                <xsd:element ref="ns2:EmFrom" minOccurs="0"/>
                <xsd:element ref="ns2:EmFromName" minOccurs="0"/>
                <xsd:element ref="ns2:EmFromSMTPAddress" minOccurs="0"/>
                <xsd:element ref="ns2:EmHasAttachments" minOccurs="0"/>
                <xsd:element ref="ns2:EmID" minOccurs="0"/>
                <xsd:element ref="ns2:EmImportance" minOccurs="0"/>
                <xsd:element ref="ns2:EmReceivedByName" minOccurs="0"/>
                <xsd:element ref="ns2:EmReceivedOnBehalfOfName" minOccurs="0"/>
                <xsd:element ref="ns2:EmReplyRecipientNames" minOccurs="0"/>
                <xsd:element ref="ns2:EmReplyRecipients" minOccurs="0"/>
                <xsd:element ref="ns2:EmRetentionPolicyName" minOccurs="0"/>
                <xsd:element ref="ns2:EmSensitivity" minOccurs="0"/>
                <xsd:element ref="ns2:EmSentOnBehalfOfName" minOccurs="0"/>
                <xsd:element ref="ns2:EmSubject" minOccurs="0"/>
                <xsd:element ref="ns2:EmTo" minOccurs="0"/>
                <xsd:element ref="ns2:EmToAddress" minOccurs="0"/>
                <xsd:element ref="ns2:EmToSMTPAddres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d728e-833c-48c5-805e-65ec2f07fb05"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_dlc_DocIdUrl" ma:index="14"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DocumentType" ma:index="15" ma:displayName="Document Type" ma:description="VPA Document Type Meta Data" ma:format="Dropdown" ma:internalName="DocumentType" ma:readOnly="false">
      <xsd:simpleType>
        <xsd:restriction base="dms:Choice">
          <xsd:enumeration value="Document"/>
          <xsd:enumeration value="Agenda and Minutes"/>
          <xsd:enumeration value="Presentation"/>
          <xsd:enumeration value="Report"/>
          <xsd:enumeration value="Submission"/>
        </xsd:restriction>
      </xsd:simpleType>
    </xsd:element>
    <xsd:element name="StakeholderTypes" ma:index="16" nillable="true" ma:displayName="Stakeholder Types" ma:description="VPA Document Type Meta Data" ma:internalName="StakeholderTypes" ma:readOnly="false" ma:requiredMultiChoice="true">
      <xsd:complexType>
        <xsd:complexContent>
          <xsd:extension base="dms:MultiChoice">
            <xsd:sequence>
              <xsd:element name="Value" maxOccurs="unbounded" minOccurs="0" nillable="true">
                <xsd:simpleType>
                  <xsd:restriction base="dms:Choice">
                    <xsd:enumeration value="Government - State"/>
                    <xsd:enumeration value="Government - Local"/>
                    <xsd:enumeration value="Developers and Builders"/>
                    <xsd:enumeration value="Utilities and Infrastructure providers"/>
                    <xsd:enumeration value="Traditional Owners"/>
                    <xsd:enumeration value="Groups (community organisations &amp; groups &amp; non-government organisations and businesses)"/>
                    <xsd:enumeration value="Public"/>
                    <xsd:enumeration value="TBA"/>
                  </xsd:restriction>
                </xsd:simpleType>
              </xsd:element>
            </xsd:sequence>
          </xsd:extension>
        </xsd:complexContent>
      </xsd:complexType>
    </xsd:element>
    <xsd:element name="Document_x0020_content" ma:index="17" nillable="true" ma:displayName="Document content" ma:description="Description of key document content" ma:internalName="Document_x0020_content" ma:readOnly="false">
      <xsd:complexType>
        <xsd:complexContent>
          <xsd:extension base="dms:MultiChoice">
            <xsd:sequence>
              <xsd:element name="Value" maxOccurs="unbounded" minOccurs="0" nillable="true">
                <xsd:simpleType>
                  <xsd:restriction base="dms:Choice">
                    <xsd:enumeration value="N/A"/>
                    <xsd:enumeration value="Biodiversity and Ecology"/>
                    <xsd:enumeration value="Land Capability"/>
                    <xsd:enumeration value="Land Use"/>
                    <xsd:enumeration value="Utilities"/>
                    <xsd:enumeration value="Economics"/>
                    <xsd:enumeration value="Heritage Indigenous"/>
                    <xsd:enumeration value="Heritage Post Contact"/>
                    <xsd:enumeration value="Housing"/>
                    <xsd:enumeration value="Infrastructure - Community"/>
                    <xsd:enumeration value="Infrastructure - Other"/>
                    <xsd:enumeration value="Transport"/>
                    <xsd:enumeration value="Open Space"/>
                    <xsd:enumeration value="Sustainability"/>
                    <xsd:enumeration value="Water"/>
                    <xsd:enumeration value="Freight"/>
                    <xsd:enumeration value="Air Quality"/>
                  </xsd:restriction>
                </xsd:simpleType>
              </xsd:element>
            </xsd:sequence>
          </xsd:extension>
        </xsd:complexContent>
      </xsd:complexType>
    </xsd:element>
    <xsd:element name="DocCreatedSaved" ma:index="18" nillable="true" ma:displayName="Document Created Saved" ma:format="DateTime" ma:internalName="DocCreatedSaved" ma:readOnly="false">
      <xsd:simpleType>
        <xsd:restriction base="dms:DateTime"/>
      </xsd:simpleType>
    </xsd:element>
    <xsd:element name="DocModifiedSaved" ma:index="19" nillable="true" ma:displayName="Document Modified Saved" ma:format="DateTime" ma:internalName="DocModifiedSaved" ma:readOnly="false">
      <xsd:simpleType>
        <xsd:restriction base="dms:DateTime"/>
      </xsd:simpleType>
    </xsd:element>
    <xsd:element name="EmAttachCount" ma:index="20" nillable="true" ma:displayName="Email Attachment Count" ma:internalName="EmAttachCount" ma:readOnly="false">
      <xsd:simpleType>
        <xsd:restriction base="dms:Text">
          <xsd:maxLength value="255"/>
        </xsd:restriction>
      </xsd:simpleType>
    </xsd:element>
    <xsd:element name="EmAttachmentNames" ma:index="21" nillable="true" ma:displayName="Email Attachment Names" ma:internalName="EmAttachmentNames" ma:readOnly="false">
      <xsd:simpleType>
        <xsd:restriction base="dms:Note">
          <xsd:maxLength value="255"/>
        </xsd:restriction>
      </xsd:simpleType>
    </xsd:element>
    <xsd:element name="EmBCC" ma:index="22" nillable="true" ma:displayName="Email BCC" ma:internalName="EmBCC" ma:readOnly="false">
      <xsd:simpleType>
        <xsd:restriction base="dms:Note">
          <xsd:maxLength value="255"/>
        </xsd:restriction>
      </xsd:simpleType>
    </xsd:element>
    <xsd:element name="EmBCCSMTPAddress" ma:index="23" nillable="true" ma:displayName="Email BCC SMTP Address" ma:internalName="EmBCCSMTPAddress" ma:readOnly="false">
      <xsd:simpleType>
        <xsd:restriction base="dms:Note">
          <xsd:maxLength value="255"/>
        </xsd:restriction>
      </xsd:simpleType>
    </xsd:element>
    <xsd:element name="EmBody" ma:index="24" nillable="true" ma:displayName="Email Body" ma:internalName="EmBody" ma:readOnly="false">
      <xsd:simpleType>
        <xsd:restriction base="dms:Note">
          <xsd:maxLength value="255"/>
        </xsd:restriction>
      </xsd:simpleType>
    </xsd:element>
    <xsd:element name="EmCategory" ma:index="25" nillable="true" ma:displayName="Email Category" ma:internalName="EmCategory" ma:readOnly="false">
      <xsd:simpleType>
        <xsd:restriction base="dms:Text">
          <xsd:maxLength value="255"/>
        </xsd:restriction>
      </xsd:simpleType>
    </xsd:element>
    <xsd:element name="EmCC" ma:index="26" nillable="true" ma:displayName="Email CC" ma:internalName="EmCC" ma:readOnly="false">
      <xsd:simpleType>
        <xsd:restriction base="dms:Note">
          <xsd:maxLength value="255"/>
        </xsd:restriction>
      </xsd:simpleType>
    </xsd:element>
    <xsd:element name="EmCCSMTPAddress" ma:index="27" nillable="true" ma:displayName="Email CC SMTP Address" ma:internalName="EmCCSMTPAddress" ma:readOnly="false">
      <xsd:simpleType>
        <xsd:restriction base="dms:Note">
          <xsd:maxLength value="255"/>
        </xsd:restriction>
      </xsd:simpleType>
    </xsd:element>
    <xsd:element name="EmCompanies" ma:index="28" nillable="true" ma:displayName="Email Companies" ma:internalName="EmCompanies" ma:readOnly="false">
      <xsd:simpleType>
        <xsd:restriction base="dms:Text">
          <xsd:maxLength value="255"/>
        </xsd:restriction>
      </xsd:simpleType>
    </xsd:element>
    <xsd:element name="EmCon" ma:index="29" nillable="true" ma:displayName="Email Conversation" ma:internalName="EmCon" ma:readOnly="false">
      <xsd:simpleType>
        <xsd:restriction base="dms:Text">
          <xsd:maxLength value="255"/>
        </xsd:restriction>
      </xsd:simpleType>
    </xsd:element>
    <xsd:element name="EmConversationID" ma:index="30" nillable="true" ma:displayName="Email Conversation ID" ma:internalName="EmConversationID" ma:readOnly="false">
      <xsd:simpleType>
        <xsd:restriction base="dms:Note">
          <xsd:maxLength value="255"/>
        </xsd:restriction>
      </xsd:simpleType>
    </xsd:element>
    <xsd:element name="EmConversationIndex" ma:index="31" nillable="true" ma:displayName="Email Conversation Index" ma:internalName="EmConversationIndex" ma:readOnly="false">
      <xsd:simpleType>
        <xsd:restriction base="dms:Note">
          <xsd:maxLength value="255"/>
        </xsd:restriction>
      </xsd:simpleType>
    </xsd:element>
    <xsd:element name="EmDate" ma:index="32" nillable="true" ma:displayName="Email Date" ma:format="DateTime" ma:internalName="EmDate" ma:readOnly="false">
      <xsd:simpleType>
        <xsd:restriction base="dms:DateTime"/>
      </xsd:simpleType>
    </xsd:element>
    <xsd:element name="EmDateReceived" ma:index="33" nillable="true" ma:displayName="Email Date Received" ma:format="DateTime" ma:internalName="EmDateReceived" ma:readOnly="false">
      <xsd:simpleType>
        <xsd:restriction base="dms:DateTime"/>
      </xsd:simpleType>
    </xsd:element>
    <xsd:element name="EmDateSent" ma:index="34" nillable="true" ma:displayName="Email Date Sent" ma:format="DateTime" ma:internalName="EmDateSent" ma:readOnly="false">
      <xsd:simpleType>
        <xsd:restriction base="dms:DateTime"/>
      </xsd:simpleType>
    </xsd:element>
    <xsd:element name="EmFrom" ma:index="35" nillable="true" ma:displayName="Email From" ma:internalName="EmFrom" ma:readOnly="false">
      <xsd:simpleType>
        <xsd:restriction base="dms:Text">
          <xsd:maxLength value="255"/>
        </xsd:restriction>
      </xsd:simpleType>
    </xsd:element>
    <xsd:element name="EmFromName" ma:index="36" nillable="true" ma:displayName="Email From Name" ma:internalName="EmFromName" ma:readOnly="false">
      <xsd:simpleType>
        <xsd:restriction base="dms:Text">
          <xsd:maxLength value="255"/>
        </xsd:restriction>
      </xsd:simpleType>
    </xsd:element>
    <xsd:element name="EmFromSMTPAddress" ma:index="37" nillable="true" ma:displayName="Email From SMTP Address" ma:internalName="EmFromSMTPAddress" ma:readOnly="false">
      <xsd:simpleType>
        <xsd:restriction base="dms:Text">
          <xsd:maxLength value="255"/>
        </xsd:restriction>
      </xsd:simpleType>
    </xsd:element>
    <xsd:element name="EmHasAttachments" ma:index="38" nillable="true" ma:displayName="Email Has Attachments" ma:internalName="EmHasAttachments" ma:readOnly="false">
      <xsd:simpleType>
        <xsd:restriction base="dms:Boolean"/>
      </xsd:simpleType>
    </xsd:element>
    <xsd:element name="EmID" ma:index="39" nillable="true" ma:displayName="Email ID" ma:internalName="EmID" ma:readOnly="false">
      <xsd:simpleType>
        <xsd:restriction base="dms:Text">
          <xsd:maxLength value="255"/>
        </xsd:restriction>
      </xsd:simpleType>
    </xsd:element>
    <xsd:element name="EmImportance" ma:index="40" nillable="true" ma:displayName="Email Importance" ma:internalName="EmImportance" ma:readOnly="false" ma:percentage="FALSE">
      <xsd:simpleType>
        <xsd:restriction base="dms:Number"/>
      </xsd:simpleType>
    </xsd:element>
    <xsd:element name="EmReceivedByName" ma:index="41" nillable="true" ma:displayName="Email Received By Name" ma:internalName="EmReceivedByName" ma:readOnly="false">
      <xsd:simpleType>
        <xsd:restriction base="dms:Text">
          <xsd:maxLength value="255"/>
        </xsd:restriction>
      </xsd:simpleType>
    </xsd:element>
    <xsd:element name="EmReceivedOnBehalfOfName" ma:index="42" nillable="true" ma:displayName="Email Received On Behalf Of Name" ma:internalName="EmReceivedOnBehalfOfName" ma:readOnly="false">
      <xsd:simpleType>
        <xsd:restriction base="dms:Text">
          <xsd:maxLength value="255"/>
        </xsd:restriction>
      </xsd:simpleType>
    </xsd:element>
    <xsd:element name="EmReplyRecipientNames" ma:index="43" nillable="true" ma:displayName="Email Reply Recipient Names" ma:internalName="EmReplyRecipientNames" ma:readOnly="false">
      <xsd:simpleType>
        <xsd:restriction base="dms:Text">
          <xsd:maxLength value="255"/>
        </xsd:restriction>
      </xsd:simpleType>
    </xsd:element>
    <xsd:element name="EmReplyRecipients" ma:index="44" nillable="true" ma:displayName="Email Reply Recipients" ma:internalName="EmReplyRecipients" ma:readOnly="false">
      <xsd:simpleType>
        <xsd:restriction base="dms:Text">
          <xsd:maxLength value="255"/>
        </xsd:restriction>
      </xsd:simpleType>
    </xsd:element>
    <xsd:element name="EmRetentionPolicyName" ma:index="45" nillable="true" ma:displayName="Email Retention Policy Name" ma:internalName="EmRetentionPolicyName" ma:readOnly="false">
      <xsd:simpleType>
        <xsd:restriction base="dms:Text">
          <xsd:maxLength value="255"/>
        </xsd:restriction>
      </xsd:simpleType>
    </xsd:element>
    <xsd:element name="EmSensitivity" ma:index="46" nillable="true" ma:displayName="Email Sensitivity" ma:internalName="EmSensitivity" ma:readOnly="false" ma:percentage="FALSE">
      <xsd:simpleType>
        <xsd:restriction base="dms:Number"/>
      </xsd:simpleType>
    </xsd:element>
    <xsd:element name="EmSentOnBehalfOfName" ma:index="47" nillable="true" ma:displayName="Email Sent On Behalf Of Name" ma:internalName="EmSentOnBehalfOfName" ma:readOnly="false">
      <xsd:simpleType>
        <xsd:restriction base="dms:Text">
          <xsd:maxLength value="255"/>
        </xsd:restriction>
      </xsd:simpleType>
    </xsd:element>
    <xsd:element name="EmSubject" ma:index="48" nillable="true" ma:displayName="Email Subject" ma:internalName="EmSubject" ma:readOnly="false">
      <xsd:simpleType>
        <xsd:restriction base="dms:Text">
          <xsd:maxLength value="255"/>
        </xsd:restriction>
      </xsd:simpleType>
    </xsd:element>
    <xsd:element name="EmTo" ma:index="49" nillable="true" ma:displayName="Email To" ma:internalName="EmTo" ma:readOnly="false">
      <xsd:simpleType>
        <xsd:restriction base="dms:Note">
          <xsd:maxLength value="255"/>
        </xsd:restriction>
      </xsd:simpleType>
    </xsd:element>
    <xsd:element name="EmToAddress" ma:index="50" nillable="true" ma:displayName="Email To Address" ma:internalName="EmToAddress" ma:readOnly="false">
      <xsd:simpleType>
        <xsd:restriction base="dms:Note">
          <xsd:maxLength value="255"/>
        </xsd:restriction>
      </xsd:simpleType>
    </xsd:element>
    <xsd:element name="EmToSMTPAddress" ma:index="51" nillable="true" ma:displayName="Email To SMTP Address" ma:internalName="EmToSMTPAddress" ma:readOnly="false">
      <xsd:simpleType>
        <xsd:restriction base="dms:Note">
          <xsd:maxLength value="255"/>
        </xsd:restriction>
      </xsd:simpleType>
    </xsd:element>
    <xsd:element name="MediaServiceMetadata" ma:index="52" nillable="true" ma:displayName="MediaServiceMetadata" ma:hidden="true" ma:internalName="MediaServiceMetadata" ma:readOnly="true">
      <xsd:simpleType>
        <xsd:restriction base="dms:Note"/>
      </xsd:simpleType>
    </xsd:element>
    <xsd:element name="MediaServiceFastMetadata" ma:index="53" nillable="true" ma:displayName="MediaServiceFastMetadata" ma:hidden="true" ma:internalName="MediaServiceFastMetadata" ma:readOnly="true">
      <xsd:simpleType>
        <xsd:restriction base="dms:Note"/>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DateTaken" ma:index="55" nillable="true" ma:displayName="MediaServiceDateTaken" ma:hidden="true" ma:indexed="true" ma:internalName="MediaServiceDateTaken" ma:readOnly="true">
      <xsd:simpleType>
        <xsd:restriction base="dms:Text"/>
      </xsd:simpleType>
    </xsd:element>
    <xsd:element name="lcf76f155ced4ddcb4097134ff3c332f" ma:index="57"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GenerationTime" ma:index="59" nillable="true" ma:displayName="MediaServiceGenerationTime" ma:hidden="true" ma:internalName="MediaServiceGenerationTime" ma:readOnly="true">
      <xsd:simpleType>
        <xsd:restriction base="dms:Text"/>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OCR" ma:index="6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da5281-84a0-430a-a803-36456b4c9a2c" elementFormDefault="qualified">
    <xsd:import namespace="http://schemas.microsoft.com/office/2006/documentManagement/types"/>
    <xsd:import namespace="http://schemas.microsoft.com/office/infopath/2007/PartnerControls"/>
    <xsd:element name="TaxCatchAll" ma:index="58" nillable="true" ma:displayName="Taxonomy Catch All Column" ma:hidden="true" ma:list="{a721963e-08fc-45e3-ba88-e0e395c7a6a5}" ma:internalName="TaxCatchAll" ma:showField="CatchAllData" ma:web="e2da5281-84a0-430a-a803-36456b4c9a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da5281-84a0-430a-a803-36456b4c9a2c" xsi:nil="true"/>
    <lcf76f155ced4ddcb4097134ff3c332f xmlns="4fdd728e-833c-48c5-805e-65ec2f07fb05">
      <Terms xmlns="http://schemas.microsoft.com/office/infopath/2007/PartnerControls"/>
    </lcf76f155ced4ddcb4097134ff3c332f>
    <MigrationWizIdDocumentLibraryPermissions xmlns="4fdd728e-833c-48c5-805e-65ec2f07fb05" xsi:nil="true"/>
    <MigrationWizIdSecurityGroups xmlns="4fdd728e-833c-48c5-805e-65ec2f07fb05" xsi:nil="true"/>
    <StakeholderTypes xmlns="4fdd728e-833c-48c5-805e-65ec2f07fb05">
      <Value>Government - State</Value>
    </StakeholderTypes>
    <_dlc_DocIdUrl xmlns="4fdd728e-833c-48c5-805e-65ec2f07fb05">
      <Url xsi:nil="true"/>
      <Description xsi:nil="true"/>
    </_dlc_DocIdUrl>
    <EmBCCSMTPAddress xmlns="4fdd728e-833c-48c5-805e-65ec2f07fb05" xsi:nil="true"/>
    <EmCon xmlns="4fdd728e-833c-48c5-805e-65ec2f07fb05" xsi:nil="true"/>
    <EmDateSent xmlns="4fdd728e-833c-48c5-805e-65ec2f07fb05" xsi:nil="true"/>
    <EmID xmlns="4fdd728e-833c-48c5-805e-65ec2f07fb05" xsi:nil="true"/>
    <EmAttachCount xmlns="4fdd728e-833c-48c5-805e-65ec2f07fb05" xsi:nil="true"/>
    <EmReceivedByName xmlns="4fdd728e-833c-48c5-805e-65ec2f07fb05" xsi:nil="true"/>
    <EmSentOnBehalfOfName xmlns="4fdd728e-833c-48c5-805e-65ec2f07fb05" xsi:nil="true"/>
    <EmHasAttachments xmlns="4fdd728e-833c-48c5-805e-65ec2f07fb05" xsi:nil="true"/>
    <MigrationWizIdVersion xmlns="4fdd728e-833c-48c5-805e-65ec2f07fb05" xsi:nil="true"/>
    <EmFromName xmlns="4fdd728e-833c-48c5-805e-65ec2f07fb05" xsi:nil="true"/>
    <EmAttachmentNames xmlns="4fdd728e-833c-48c5-805e-65ec2f07fb05" xsi:nil="true"/>
    <MigrationWizIdPermissionLevels xmlns="4fdd728e-833c-48c5-805e-65ec2f07fb05" xsi:nil="true"/>
    <EmDate xmlns="4fdd728e-833c-48c5-805e-65ec2f07fb05" xsi:nil="true"/>
    <EmReceivedOnBehalfOfName xmlns="4fdd728e-833c-48c5-805e-65ec2f07fb05" xsi:nil="true"/>
    <EmToSMTPAddress xmlns="4fdd728e-833c-48c5-805e-65ec2f07fb05" xsi:nil="true"/>
    <EmCC xmlns="4fdd728e-833c-48c5-805e-65ec2f07fb05" xsi:nil="true"/>
    <EmReplyRecipients xmlns="4fdd728e-833c-48c5-805e-65ec2f07fb05" xsi:nil="true"/>
    <EmBody xmlns="4fdd728e-833c-48c5-805e-65ec2f07fb05" xsi:nil="true"/>
    <EmCategory xmlns="4fdd728e-833c-48c5-805e-65ec2f07fb05" xsi:nil="true"/>
    <MigrationWizIdPermissions xmlns="4fdd728e-833c-48c5-805e-65ec2f07fb05" xsi:nil="true"/>
    <DocModifiedSaved xmlns="4fdd728e-833c-48c5-805e-65ec2f07fb05" xsi:nil="true"/>
    <EmDateReceived xmlns="4fdd728e-833c-48c5-805e-65ec2f07fb05" xsi:nil="true"/>
    <EmTo xmlns="4fdd728e-833c-48c5-805e-65ec2f07fb05" xsi:nil="true"/>
    <EmCCSMTPAddress xmlns="4fdd728e-833c-48c5-805e-65ec2f07fb05" xsi:nil="true"/>
    <Document_x0020_content xmlns="4fdd728e-833c-48c5-805e-65ec2f07fb05" xsi:nil="true"/>
    <MigrationWizId xmlns="4fdd728e-833c-48c5-805e-65ec2f07fb05" xsi:nil="true"/>
    <DocCreatedSaved xmlns="4fdd728e-833c-48c5-805e-65ec2f07fb05" xsi:nil="true"/>
    <EmBCC xmlns="4fdd728e-833c-48c5-805e-65ec2f07fb05" xsi:nil="true"/>
    <EmConversationID xmlns="4fdd728e-833c-48c5-805e-65ec2f07fb05" xsi:nil="true"/>
    <EmFrom xmlns="4fdd728e-833c-48c5-805e-65ec2f07fb05" xsi:nil="true"/>
    <EmFromSMTPAddress xmlns="4fdd728e-833c-48c5-805e-65ec2f07fb05" xsi:nil="true"/>
    <EmImportance xmlns="4fdd728e-833c-48c5-805e-65ec2f07fb05" xsi:nil="true"/>
    <EmReplyRecipientNames xmlns="4fdd728e-833c-48c5-805e-65ec2f07fb05" xsi:nil="true"/>
    <EmRetentionPolicyName xmlns="4fdd728e-833c-48c5-805e-65ec2f07fb05" xsi:nil="true"/>
    <EmSubject xmlns="4fdd728e-833c-48c5-805e-65ec2f07fb05" xsi:nil="true"/>
    <EmToAddress xmlns="4fdd728e-833c-48c5-805e-65ec2f07fb05" xsi:nil="true"/>
    <DocumentType xmlns="4fdd728e-833c-48c5-805e-65ec2f07fb05">Document</DocumentType>
    <EmCompanies xmlns="4fdd728e-833c-48c5-805e-65ec2f07fb05" xsi:nil="true"/>
    <EmConversationIndex xmlns="4fdd728e-833c-48c5-805e-65ec2f07fb05" xsi:nil="true"/>
    <EmSensitivity xmlns="4fdd728e-833c-48c5-805e-65ec2f07fb0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AFD9AD45-EB59-43FC-89D9-30834DFA3DCF}">
  <ds:schemaRefs>
    <ds:schemaRef ds:uri="Microsoft.SharePoint.Taxonomy.ContentTypeSync"/>
  </ds:schemaRefs>
</ds:datastoreItem>
</file>

<file path=customXml/itemProps2.xml><?xml version="1.0" encoding="utf-8"?>
<ds:datastoreItem xmlns:ds="http://schemas.openxmlformats.org/officeDocument/2006/customXml" ds:itemID="{717F4CBB-BBD0-49FD-AE58-CEF0FC8E96C1}"/>
</file>

<file path=customXml/itemProps3.xml><?xml version="1.0" encoding="utf-8"?>
<ds:datastoreItem xmlns:ds="http://schemas.openxmlformats.org/officeDocument/2006/customXml" ds:itemID="{6021F7F2-7F24-4972-83EA-EF28DB045EC6}">
  <ds:schemaRefs>
    <ds:schemaRef ds:uri="http://schemas.microsoft.com/office/2006/metadata/properties"/>
    <ds:schemaRef ds:uri="http://schemas.microsoft.com/office/infopath/2007/PartnerControls"/>
    <ds:schemaRef ds:uri="9fd47c19-1c4a-4d7d-b342-c10cef269344"/>
    <ds:schemaRef ds:uri="4bd58b96-cc7f-4c1b-801f-2bc3c6bd79dd"/>
  </ds:schemaRefs>
</ds:datastoreItem>
</file>

<file path=customXml/itemProps4.xml><?xml version="1.0" encoding="utf-8"?>
<ds:datastoreItem xmlns:ds="http://schemas.openxmlformats.org/officeDocument/2006/customXml" ds:itemID="{481DC71E-56D3-497D-B007-22B1B91D8DDF}">
  <ds:schemaRefs>
    <ds:schemaRef ds:uri="http://schemas.microsoft.com/sharepoint/v3/contenttype/forms"/>
  </ds:schemaRefs>
</ds:datastoreItem>
</file>

<file path=customXml/itemProps5.xml><?xml version="1.0" encoding="utf-8"?>
<ds:datastoreItem xmlns:ds="http://schemas.openxmlformats.org/officeDocument/2006/customXml" ds:itemID="{754B0750-0CAD-4652-8609-25AC4AFCEACC}">
  <ds:schemaRefs>
    <ds:schemaRef ds:uri="http://schemas.microsoft.com/sharepoint/event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60</TotalTime>
  <Pages>4</Pages>
  <Words>1624</Words>
  <Characters>9259</Characters>
  <Application>Microsoft Office Word</Application>
  <DocSecurity>0</DocSecurity>
  <Lines>77</Lines>
  <Paragraphs>21</Paragraphs>
  <ScaleCrop>false</ScaleCrop>
  <Company/>
  <LinksUpToDate>false</LinksUpToDate>
  <CharactersWithSpaces>10862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C Salmon (DTP)</dc:creator>
  <cp:lastModifiedBy>Sarah A Hathalmy (DTP)</cp:lastModifiedBy>
  <cp:revision>56</cp:revision>
  <dcterms:created xsi:type="dcterms:W3CDTF">2026-08-12T03:41:00Z</dcterms:created>
  <dcterms:modified xsi:type="dcterms:W3CDTF">2026-08-27T22:52:00Z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0x0101001C22981C9C628A478FB16498A5BF937A</vt:lpwstr>
  </property>
  <property fmtid="{D5CDD505-2E9C-101B-9397-08002B2CF9AE}" pid="3" name="MediaServiceImageTags">
    <vt:lpwstr/>
  </property>
</Properties>
</file>